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15 February 2025</w:t>
            </w:r>
          </w:p>
        </w:tc>
      </w:tr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256"/>
            <w:vAlign w:val="top"/>
            <w:shd w:fill="DDEBF7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</w:tbl>
    <w:p/>
    <w:p>
      <w:r>
        <w:t>Solution Architecture:</w:t>
      </w:r>
    </w:p>
    <w:p>
      <w:r>
        <w:t>EduGenie bridges the identified student-learning problems with an AI-powered web solution. The architecture defines the structure and interaction of the user interface, FastAPI application, learning feature modules and Google Gemini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48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EduGenie solution architecture and learning-request flow.</w:t>
      </w:r>
    </w:p>
    <w:p>
      <w:r>
        <w:t>Architecture Flow: Student → Web Interface → FastAPI Application → Learning Feature / Gemini Service → Generated Learning Result → Web Interface.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