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189.png" ContentType="image/png"/>
  <Override PartName="/word/media/rId33.png" ContentType="image/png"/>
  <Override PartName="/word/media/rId36.png" ContentType="image/png"/>
  <Override PartName="/word/media/rId40.png" ContentType="image/png"/>
  <Override PartName="/word/media/rId192.png" ContentType="image/png"/>
  <Override PartName="/word/media/rId195.png" ContentType="image/png"/>
  <Override PartName="/word/media/rId44.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1" w:name="X8ed34ca32abc5fb4485485ab463d6a4e41edd35"/>
    <w:p>
      <w:pPr>
        <w:pStyle w:val="Heading1"/>
      </w:pPr>
      <w:r>
        <w:t xml:space="preserve">Whole-brain comparison of rodent and human brains using spatial transcriptomics</w:t>
      </w:r>
    </w:p>
    <w:bookmarkStart w:id="20" w:name="authors"/>
    <w:p>
      <w:pPr>
        <w:pStyle w:val="Heading2"/>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r>
              <m:rPr>
                <m:sty m:val="p"/>
              </m:rPr>
              <m:t>*</m:t>
            </m:r>
          </m:sup>
        </m:sSup>
      </m:oMath>
      <w:r>
        <w:t xml:space="preserve">, Yohan Yee</w:t>
      </w:r>
      <m:oMath>
        <m:sSup>
          <m:e>
            <m:r>
              <m:t>​</m:t>
            </m:r>
          </m:e>
          <m:sup>
            <m:r>
              <m:t>1</m:t>
            </m:r>
            <m:r>
              <m:rPr>
                <m:sty m:val="p"/>
              </m:rPr>
              <m:t>,</m:t>
            </m:r>
            <m:r>
              <m:t>2</m:t>
            </m:r>
            <m:r>
              <m:rPr>
                <m:sty m:val="p"/>
              </m:rPr>
              <m:t>,</m:t>
            </m:r>
            <m:r>
              <m:t>3</m:t>
            </m:r>
          </m:sup>
        </m:sSup>
      </m:oMath>
      <w:r>
        <w:t xml:space="preserve">, Ben C.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r>
              <m:rPr>
                <m:sty m:val="p"/>
              </m:rPr>
              <m:t>,</m:t>
            </m:r>
            <m:r>
              <m:rPr>
                <m:sty m:val="p"/>
              </m:rPr>
              <m:t>†</m:t>
            </m:r>
          </m:sup>
        </m:sSup>
      </m:oMath>
    </w:p>
    <w:bookmarkEnd w:id="20"/>
    <w:bookmarkStart w:id="23" w:name="affiliations"/>
    <w:p>
      <w:pPr>
        <w:pStyle w:val="Heading2"/>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1">
        <w:r>
          <w:rPr>
            <w:rStyle w:val="Hyperlink"/>
          </w:rPr>
          <w:t xml:space="preserve">antoine.beauchamp@mail.utoronto.ca</w:t>
        </w:r>
      </w:hyperlink>
      <w:r>
        <w:t xml:space="preserve"> </w:t>
      </w:r>
      <w:r>
        <w:t xml:space="preserve">(A.B.);</w:t>
      </w:r>
      <w:r>
        <w:t xml:space="preserve"> </w:t>
      </w:r>
      <w:hyperlink r:id="rId22">
        <w:r>
          <w:rPr>
            <w:rStyle w:val="Hyperlink"/>
          </w:rPr>
          <w:t xml:space="preserve">jason.lerch@ndcn.ox.ac.uk</w:t>
        </w:r>
      </w:hyperlink>
      <w:r>
        <w:t xml:space="preserve"> </w:t>
      </w:r>
      <w:r>
        <w:t xml:space="preserve">(J.P.L)</w:t>
      </w:r>
    </w:p>
    <w:bookmarkEnd w:id="23"/>
    <w:bookmarkStart w:id="24" w:name="abstract"/>
    <w:p>
      <w:pPr>
        <w:pStyle w:val="Heading2"/>
      </w:pPr>
      <w:r>
        <w:t xml:space="preserve">Abstract</w:t>
      </w:r>
    </w:p>
    <w:p>
      <w:pPr>
        <w:pStyle w:val="FirstParagraph"/>
      </w:pPr>
      <w:r>
        <w:t xml:space="preserve">The ever-increasing use of mouse models in preclinical neuroscience research calls for an improvement in the methods used to translate findings between mouse and human brains. Previously we showed that the brains of primates can be compared in a direct quantitative manner using a common reference space built from white matter tractography data</w:t>
      </w:r>
      <w:r>
        <w:t xml:space="preserve"> </w:t>
      </w:r>
      <w:r>
        <w:t xml:space="preserve">(Rogier B. Mars et al., 2018b)</w:t>
      </w:r>
      <w:r>
        <w:t xml:space="preserve">. Here we extend the common space approach to evaluate the similarity of mouse and human brain regions using openly accessible brain-wide transcriptomic data sets. We show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isocortex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4"/>
    <w:bookmarkStart w:id="25" w:name="intro"/>
    <w:p>
      <w:pPr>
        <w:pStyle w:val="Heading2"/>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(Dietrich et al., 2014; Ellenbroek and Youn, 2016; Hedrich et al., 2004; Houdebine, 2004)</w:t>
      </w:r>
      <w:r>
        <w:t xml:space="preserve">. Mouse models have proven to be extremely useful for understanding diverse features of the brain, from its molecular neurobiological properties to its large-scale network properties</w:t>
      </w:r>
      <w:r>
        <w:t xml:space="preserve"> </w:t>
      </w:r>
      <w:r>
        <w:t xml:space="preserve">(Hodge et al., 2019; Oh et al., 2014; Yao et al., 2021)</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(Hay et al., 2014)</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(Kaas, 2012)</w:t>
      </w:r>
      <w:r>
        <w:t xml:space="preserve">. Although common themes are apparent in the brains of all mammalian species studied to date</w:t>
      </w:r>
      <w:r>
        <w:t xml:space="preserve"> </w:t>
      </w:r>
      <w:r>
        <w:t xml:space="preserve">(Krubitzer, 2007)</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(Preuss, 1995)</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(Heukelum et al., 2020; Laubach et al., 2018)</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(Mars et al., 2021)</w:t>
      </w:r>
      <w:r>
        <w:t xml:space="preserve">. This way, potential homologues can be formally tested and regions of the brain that do not allow for straightforward translation can be identified</w:t>
      </w:r>
      <w:r>
        <w:t xml:space="preserve"> </w:t>
      </w:r>
      <w:r>
        <w:t xml:space="preserve">(Rogier B. Mars et al., 2018b)</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It has previously been demonstrated that brain regions can be identified via their unique set of connections to other regions in the brain. This</w:t>
      </w:r>
      <w:r>
        <w:t xml:space="preserve"> </w:t>
      </w:r>
      <w:r>
        <w:rPr>
          <w:iCs/>
          <w:i/>
        </w:rPr>
        <w:t xml:space="preserve">connectivity fingerprint</w:t>
      </w:r>
      <w:r>
        <w:t xml:space="preserve"> </w:t>
      </w:r>
      <w:r>
        <w:t xml:space="preserve">can therefore be seen as a diagnostic of an area</w:t>
      </w:r>
      <w:r>
        <w:t xml:space="preserve"> </w:t>
      </w:r>
      <w:r>
        <w:t xml:space="preserve">(Rogier B. Mars et al., 2018a; Passingham et al., 2002)</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(Mars et al., 2016b)</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(Mars et al., 2013; Neubert et al., 2014; Sallet et al., 2013)</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(Balsters et al., 2020)</w:t>
      </w:r>
      <w:r>
        <w:t xml:space="preserve">. A similar study recently compared connectivity of the medial frontal cortex across rats, marmosets, and humans</w:t>
      </w:r>
      <w:r>
        <w:t xml:space="preserve"> </w:t>
      </w:r>
      <w:r>
        <w:t xml:space="preserve">(Schaeffer et al., 2020)</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(Ortiz et al., 2020)</w:t>
      </w:r>
      <w:r>
        <w:t xml:space="preserve">. Moreover, the availability of whole-brain spatial transcriptomic data sets for multiple species provides an opportunity to run novel analyses at low cost</w:t>
      </w:r>
      <w:r>
        <w:t xml:space="preserve"> </w:t>
      </w:r>
      <w:r>
        <w:t xml:space="preserve">(Hawrylycz et al., 2012; Lein et al., 2007)</w:t>
      </w:r>
      <w:r>
        <w:t xml:space="preserve">. Such maps for the human cortex show topographic patterns that mimic those observed in other modalities, such as a gradient between primary and heteromodal areas of the neocortex</w:t>
      </w:r>
      <w:r>
        <w:t xml:space="preserve"> </w:t>
      </w:r>
      <w:r>
        <w:t xml:space="preserve">(Burt et al., 2018)</w:t>
      </w:r>
      <w:r>
        <w:t xml:space="preserve">. Importantly, these patterns appear to be conserved across mammalian species</w:t>
      </w:r>
      <w:r>
        <w:t xml:space="preserve"> </w:t>
      </w:r>
      <w:r>
        <w:t xml:space="preserve">(Fulcher et al., 2019)</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(Englund et al., 2021)</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2835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5"/>
    <w:bookmarkStart w:id="48" w:name="results"/>
    <w:p>
      <w:pPr>
        <w:pStyle w:val="Heading2"/>
      </w:pPr>
      <w:r>
        <w:t xml:space="preserve">Results</w:t>
      </w:r>
    </w:p>
    <w:bookmarkStart w:id="29" w:name="results-1"/>
    <w:p>
      <w:pPr>
        <w:pStyle w:val="Heading3"/>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(Hawrylycz et al., 2012; Lein et al., 2007)</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Using a gene enrichment analysis, we found that this reduced gene set was significantly associated with a number of biological processes related to the nervous system, with Gene Ontology labels such as</w:t>
      </w:r>
      <w:r>
        <w:t xml:space="preserve"> </w:t>
      </w:r>
      <w:r>
        <w:t xml:space="preserve">“</w:t>
      </w:r>
      <w:r>
        <w:t xml:space="preserve">nervous system development</w:t>
      </w:r>
      <w:r>
        <w:t xml:space="preserve">”</w:t>
      </w:r>
      <w:r>
        <w:t xml:space="preserve">,</w:t>
      </w:r>
      <w:r>
        <w:t xml:space="preserve"> </w:t>
      </w:r>
      <w:r>
        <w:t xml:space="preserve">“</w:t>
      </w:r>
      <w:r>
        <w:t xml:space="preserve">neurogenesis</w:t>
      </w:r>
      <w:r>
        <w:t xml:space="preserve">”</w:t>
      </w:r>
      <w:r>
        <w:t xml:space="preserve">, and</w:t>
      </w:r>
      <w:r>
        <w:t xml:space="preserve"> </w:t>
      </w:r>
      <w:r>
        <w:t xml:space="preserve">“</w:t>
      </w:r>
      <w:r>
        <w:t xml:space="preserve">regulation of nervous system development</w:t>
      </w:r>
      <w:r>
        <w:t xml:space="preserve">”</w:t>
      </w:r>
      <w:r>
        <w:t xml:space="preserve">. Additional modules returned with high significance were</w:t>
      </w:r>
      <w:r>
        <w:t xml:space="preserve"> </w:t>
      </w:r>
      <w:r>
        <w:t xml:space="preserve">“</w:t>
      </w:r>
      <w:r>
        <w:t xml:space="preserve">regulation of multicellular organismal process</w:t>
      </w:r>
      <w:r>
        <w:t xml:space="preserve">”</w:t>
      </w:r>
      <w:r>
        <w:t xml:space="preserve">,</w:t>
      </w:r>
      <w:r>
        <w:t xml:space="preserve"> </w:t>
      </w:r>
      <w:r>
        <w:t xml:space="preserve">“</w:t>
      </w:r>
      <w:r>
        <w:t xml:space="preserve">regulation of biological quality</w:t>
      </w:r>
      <w:r>
        <w:t xml:space="preserve">”</w:t>
      </w:r>
      <w:r>
        <w:t xml:space="preserve">, and</w:t>
      </w:r>
      <w:r>
        <w:t xml:space="preserve"> </w:t>
      </w:r>
      <w:r>
        <w:t xml:space="preserve">“</w:t>
      </w:r>
      <w:r>
        <w:t xml:space="preserve">multicellular organism development</w:t>
      </w:r>
      <w:r>
        <w:t xml:space="preserve">”</w:t>
      </w:r>
      <w:r>
        <w:t xml:space="preserve">. The full set of significant modules can be found in Supplementary File 1.</w:t>
      </w:r>
    </w:p>
    <w:p>
      <w:pPr>
        <w:pStyle w:val="BodyText"/>
      </w:pPr>
      <w:r>
        <w:t xml:space="preserve">Prior to analysis, the mouse and human homologous gene expression data sets were pre-processed using a pipeline that included quality control checks, normalization procedures, and aggregation of the expression values under a set of atlas labels. The result was a gene-by-region matrix in either species, describing the normalized expression of 2835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(Figure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w:t>
      </w:r>
      <m:oMath>
        <m:r>
          <m:t>r</m:t>
        </m:r>
        <m:r>
          <m:rPr>
            <m:sty m:val="p"/>
          </m:rPr>
          <m:t>=</m:t>
        </m:r>
        <m:r>
          <m:t>0.351</m:t>
        </m:r>
      </m:oMath>
      <w:r>
        <w:t xml:space="preserve">) as well as to brain stem structures like the pons (</w:t>
      </w:r>
      <m:oMath>
        <m:r>
          <m:t>r</m:t>
        </m:r>
        <m:r>
          <m:rPr>
            <m:sty m:val="p"/>
          </m:rPr>
          <m:t>=</m:t>
        </m:r>
        <m:r>
          <m:t>0.328</m:t>
        </m:r>
      </m:oMath>
      <w:r>
        <w:t xml:space="preserve"> </w:t>
      </w:r>
      <w:r>
        <w:t xml:space="preserve">and</w:t>
      </w:r>
      <w:r>
        <w:t xml:space="preserve"> </w:t>
      </w:r>
      <m:oMath>
        <m:r>
          <m:t>r</m:t>
        </m:r>
        <m:r>
          <m:rPr>
            <m:sty m:val="p"/>
          </m:rPr>
          <m:t>=</m:t>
        </m:r>
        <m:r>
          <m:t>0.335</m:t>
        </m:r>
      </m:oMath>
      <w:r>
        <w:t xml:space="preserve"> </w:t>
      </w:r>
      <w:r>
        <w:t xml:space="preserve">for the mouse and human nuclei respectively) and myelencephalon (</w:t>
      </w:r>
      <m:oMath>
        <m:r>
          <m:t>r</m:t>
        </m:r>
        <m:r>
          <m:rPr>
            <m:sty m:val="p"/>
          </m:rPr>
          <m:t>=</m:t>
        </m:r>
        <m:r>
          <m:t>0.288</m:t>
        </m:r>
      </m:oMath>
      <w:r>
        <w:t xml:space="preserve"> </w:t>
      </w:r>
      <w:r>
        <w:t xml:space="preserve">and</w:t>
      </w:r>
      <w:r>
        <w:t xml:space="preserve"> </w:t>
      </w:r>
      <m:oMath>
        <m:r>
          <m:t>r</m:t>
        </m:r>
        <m:r>
          <m:rPr>
            <m:sty m:val="p"/>
          </m:rPr>
          <m:t>=</m:t>
        </m:r>
        <m:r>
          <m:t>0.351</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(Figure 1B), the profiles of the two seeds are highly similar despite the regions having very different functions (Figure 1C). Indeed, the correlation between the similarity profiles of the precentral gyrus and cuneus is</w:t>
      </w:r>
      <w:r>
        <w:t xml:space="preserve"> </w:t>
      </w:r>
      <m:oMath>
        <m:r>
          <m:t>r</m:t>
        </m:r>
        <m:r>
          <m:rPr>
            <m:sty m:val="p"/>
          </m:rPr>
          <m:t>=</m:t>
        </m:r>
        <m:r>
          <m:t>0.975</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0.213</m:t>
        </m:r>
      </m:oMath>
      <w:r>
        <w:t xml:space="preserve"> </w:t>
      </w:r>
      <w:r>
        <w:t xml:space="preserve">and a standard deviation of</w:t>
      </w:r>
      <w:r>
        <w:t xml:space="preserve"> </w:t>
      </w:r>
      <m:oMath>
        <m:r>
          <m:t>σ</m:t>
        </m:r>
        <m:r>
          <m:rPr>
            <m:sty m:val="p"/>
          </m:rPr>
          <m:t>=</m:t>
        </m:r>
        <m:r>
          <m:t>0.034</m:t>
        </m:r>
      </m:oMath>
      <w:r>
        <w:t xml:space="preserve">. Across all regions, the variance of the correlations across cortical regions is</w:t>
      </w:r>
      <w:r>
        <w:t xml:space="preserve"> </w:t>
      </w:r>
      <m:oMath>
        <m:sSup>
          <m:e>
            <m:r>
              <m:t>σ</m:t>
            </m:r>
          </m:e>
          <m:sup>
            <m:r>
              <m:t>2</m:t>
            </m:r>
          </m:sup>
        </m:sSup>
        <m:r>
          <m:rPr>
            <m:sty m:val="p"/>
          </m:rPr>
          <m:t>=</m:t>
        </m:r>
        <m:r>
          <m:t>0.0067</m:t>
        </m:r>
      </m:oMath>
      <w:r>
        <w:t xml:space="preserve"> </w:t>
      </w:r>
      <w:r>
        <w:t xml:space="preserve">while that across cerebellar hemispheric regions is</w:t>
      </w:r>
      <w:r>
        <w:t xml:space="preserve"> </w:t>
      </w:r>
      <m:oMath>
        <m:sSup>
          <m:e>
            <m:r>
              <m:t>σ</m:t>
            </m:r>
          </m:e>
          <m:sup>
            <m:r>
              <m:t>2</m:t>
            </m:r>
          </m:sup>
        </m:sSup>
        <m:r>
          <m:rPr>
            <m:sty m:val="p"/>
          </m:rPr>
          <m:t>=</m:t>
        </m:r>
        <m:r>
          <m:t>0.0013</m:t>
        </m:r>
      </m:oMath>
      <w:r>
        <w:t xml:space="preserve">, compared with a total variation of</w:t>
      </w:r>
      <w:r>
        <w:t xml:space="preserve"> </w:t>
      </w:r>
      <m:oMath>
        <m:sSup>
          <m:e>
            <m:r>
              <m:t>σ</m:t>
            </m:r>
          </m:e>
          <m:sup>
            <m:r>
              <m:t>2</m:t>
            </m:r>
          </m:sup>
        </m:sSup>
        <m:r>
          <m:rPr>
            <m:sty m:val="p"/>
          </m:rPr>
          <m:t>=</m:t>
        </m:r>
        <m:r>
          <m:t>0.031</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p>
      <w:pPr>
        <w:pStyle w:val="CaptionedFigure"/>
      </w:pPr>
      <w:r>
        <w:drawing>
          <wp:inline>
            <wp:extent cx="5943600" cy="5646420"/>
            <wp:effectExtent b="0" l="0" r="0" t="0"/>
            <wp:docPr descr="Figure 1. Transcriptomic similarity in the mouse and human brains. (A) Similarity matrix displaying the correlation between 67 mouse regions and 88 human regions based on the expression of 2835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B)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C)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Source data 1. Related to Figure 1A, B, and C." title="" id="27" name="Picture"/>
            <a:graphic>
              <a:graphicData uri="http://schemas.openxmlformats.org/drawingml/2006/picture">
                <pic:pic>
                  <pic:nvPicPr>
                    <pic:cNvPr descr="TranscriptomicSimilarity_elife_docx_files/figure-docx/results1-fig1-print-1.png" id="28" name="Picture"/>
                    <pic:cNvPicPr>
                      <a:picLocks noChangeArrowheads="1" noChangeAspect="1"/>
                    </pic:cNvPicPr>
                  </pic:nvPicPr>
                  <pic:blipFill>
                    <a:blip r:embed="rId26"/>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Figure 1. Transcriptomic similarity in the mouse and human brains. (A) Similarity matrix displaying the correlation between 67 mouse regions and 88 human regions based on the expression of 2835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(B)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(C)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Source data 1. Related to Figure 1A, B, and C.</w:t>
      </w:r>
    </w:p>
    <w:bookmarkEnd w:id="29"/>
    <w:bookmarkStart w:id="39" w:name="results-2"/>
    <w:p>
      <w:pPr>
        <w:pStyle w:val="Heading3"/>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2835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(Figure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(Figure 2B). Finally, we used these gene expression latent common space matrices to compute the new similarity matrix (Figure 2C). Since the optimization algorithm used to train the perceptron features an inherent degree of stochasticity, we repeated this training and transformation process 500 times to generate a distribution of latent spaces and similarity matrices over training runs. Although the neural network and associated latent space do not directly provide information about which genes are most important for the classification of specific mouse atlas labels, this type of information can be derived from the model using attribution methods such as integrated gradients (Figure 2–figure supplement 1)</w:t>
      </w:r>
      <w:r>
        <w:t xml:space="preserve"> </w:t>
      </w:r>
      <w:r>
        <w:t xml:space="preserve">(Sundararajan et al., 2017)</w:t>
      </w:r>
      <w:r>
        <w:t xml:space="preserve">. Each brain region in the classification task is associated with the input genes in different ways, such that there isn’t a single weighting of gene importance for the entire model. While most genes contribute to the classification of any given label in some capacity, it is often the case that the network relies on a reduced subset of genes to arrive at a decision. For example, the genes</w:t>
      </w:r>
      <w:r>
        <w:t xml:space="preserve"> </w:t>
      </w:r>
      <w:r>
        <w:rPr>
          <w:iCs/>
          <w:i/>
        </w:rPr>
        <w:t xml:space="preserve">Prrg2</w:t>
      </w:r>
      <w:r>
        <w:t xml:space="preserve"> </w:t>
      </w:r>
      <w:r>
        <w:t xml:space="preserve">and</w:t>
      </w:r>
      <w:r>
        <w:t xml:space="preserve"> </w:t>
      </w:r>
      <w:r>
        <w:rPr>
          <w:iCs/>
          <w:i/>
        </w:rPr>
        <w:t xml:space="preserve">Cd4</w:t>
      </w:r>
      <w:r>
        <w:t xml:space="preserve"> </w:t>
      </w:r>
      <w:r>
        <w:t xml:space="preserve">were found to be most influential for the classification of the caudoputamen, when the feature attributions were averaged over all training runs. In contrast,</w:t>
      </w:r>
      <w:r>
        <w:t xml:space="preserve"> </w:t>
      </w:r>
      <w:r>
        <w:rPr>
          <w:iCs/>
          <w:i/>
        </w:rPr>
        <w:t xml:space="preserve">Rfx4</w:t>
      </w:r>
      <w:r>
        <w:t xml:space="preserve"> </w:t>
      </w:r>
      <w:r>
        <w:t xml:space="preserve">and</w:t>
      </w:r>
      <w:r>
        <w:t xml:space="preserve"> </w:t>
      </w:r>
      <w:r>
        <w:rPr>
          <w:iCs/>
          <w:i/>
        </w:rPr>
        <w:t xml:space="preserve">Glra3</w:t>
      </w:r>
      <w:r>
        <w:t xml:space="preserve"> </w:t>
      </w:r>
      <w:r>
        <w:t xml:space="preserve">were the most influential for the classification of the primary motor area. In some cases, the spatial expression pattern of the gene clearly shows a demarcation of the region of interest (e.g. </w:t>
      </w:r>
      <w:r>
        <w:rPr>
          <w:iCs/>
          <w:i/>
        </w:rPr>
        <w:t xml:space="preserve">Cd4</w:t>
      </w:r>
      <w:r>
        <w:t xml:space="preserve">), but this is not always the case, nor is it necessary, as the network learns from the entire gene expression signature of all voxels.</w:t>
      </w:r>
    </w:p>
    <w:p>
      <w:pPr>
        <w:pStyle w:val="CaptionedFigure"/>
      </w:pPr>
      <w:r>
        <w:drawing>
          <wp:inline>
            <wp:extent cx="5943600" cy="3801427"/>
            <wp:effectExtent b="0" l="0" r="0" t="0"/>
            <wp:docPr descr="Figure 2. Creating a new common space. (A) Voxel-wise expression maps from 2835 homologous genes in the AMBA were used to train the neural network to classify each mouse voxel into one of 67 atlas regions. (B) Once the network is trained, the output layer is removed. The mouse and human regional gene expression matrices are passed through the network, resulting in lower-dimensional latent space representations of the data. The training and transformation process was repeated 500 times. (C) A similarity matrix displaying the gene expression latent space correlation between mouse and human regions, averaged over 500 neural network training runs. Similar brain regions exhibit very high correlation values. Column and row annotations as described in Figure 1. Source data 1. Related to Figure 2C. Source data 2. Related to Figure 2C. Source data 3. Related to Figure 2C. Figure supplement 1. Multi-layer perceptron feature importance for the classification of the caudoputamen, the primary motor area, and the infralimbic area." title="" id="31" name="Picture"/>
            <a:graphic>
              <a:graphicData uri="http://schemas.openxmlformats.org/drawingml/2006/picture">
                <pic:pic>
                  <pic:nvPicPr>
                    <pic:cNvPr descr="TranscriptomicSimilarity_elife_docx_files/figure-docx/results2-fig2-print-1.png" id="32" name="Picture"/>
                    <pic:cNvPicPr>
                      <a:picLocks noChangeArrowheads="1" noChangeAspect="1"/>
                    </pic:cNvPicPr>
                  </pic:nvPicPr>
                  <pic:blipFill>
                    <a:blip r:embed="rId30"/>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Figure 2. Creating a new common space. (A) Voxel-wise expression maps from 2835 homologous genes in the AMBA were used to train the neural network to classify each mouse voxel into one of 67 atlas regions. (B) Once the network is trained, the output layer is removed. The mouse and human regional gene expression matrices are passed through the network, resulting in lower-dimensional latent space representations of the data. The training and transformation process was repeated 500 times. (C) A similarity matrix displaying the gene expression latent space correlation between mouse and human regions, averaged over 500 neural network training runs. Similar brain regions exhibit very high correlation values. Column and row annotations as described in Figure 1. Source data 1. Related to Figure 2C. Source data 2. Related to Figure 2C. Source data 3. Related to Figure 2C. Figure supplement 1. Multi-layer perceptron feature importance for the classification of the caudoputamen, the primary motor area, and the infralimbic area.</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(Figure 1, A and C; Figure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(Figure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(Figure 3, B and C). We quantified the improvement overall by fitting a logistic regression model with no predictors to the mean rank differences of each of the atlas regions. We considered the success condition for the Bernoulli trials to be a mean rank difference less than or equal to zero. The model estimate for the Bernoulli probability – which we denote</w:t>
      </w:r>
      <w:r>
        <w:t xml:space="preserve"> </w:t>
      </w:r>
      <m:oMath>
        <m:sSub>
          <m:e>
            <m:r>
              <m:t>p</m:t>
            </m:r>
          </m:e>
          <m:sub>
            <m:r>
              <m:rPr>
                <m:nor/>
                <m:sty m:val="p"/>
              </m:rPr>
              <m:t>B</m:t>
            </m:r>
          </m:sub>
        </m:sSub>
      </m:oMath>
      <w:r>
        <w:t xml:space="preserve"> </w:t>
      </w:r>
      <w:r>
        <w:t xml:space="preserve">to distinguish from the p-value</w:t>
      </w:r>
      <w:r>
        <w:t xml:space="preserve"> </w:t>
      </w:r>
      <m:oMath>
        <m:r>
          <m:t>p</m:t>
        </m:r>
      </m:oMath>
      <w:r>
        <w:t xml:space="preserve"> </w:t>
      </w:r>
      <w:r>
        <w:t xml:space="preserve">– was</w:t>
      </w:r>
      <w:r>
        <w:t xml:space="preserve"> </w:t>
      </w:r>
      <m:oMath>
        <m:sSub>
          <m:e>
            <m:r>
              <m:t>p</m:t>
            </m:r>
          </m:e>
          <m:sub>
            <m:r>
              <m:rPr>
                <m:nor/>
                <m:sty m:val="p"/>
              </m:rPr>
              <m:t>B</m:t>
            </m:r>
          </m:sub>
        </m:sSub>
        <m:r>
          <m:rPr>
            <m:sty m:val="p"/>
          </m:rPr>
          <m:t>=</m:t>
        </m:r>
        <m:r>
          <m:t>0.78</m:t>
        </m:r>
      </m:oMath>
      <w:r>
        <w:t xml:space="preserve"> </w:t>
      </w:r>
      <w:r>
        <w:t xml:space="preserve">with a 95% confidence interval of</w:t>
      </w:r>
      <w:r>
        <w:t xml:space="preserve"> </w:t>
      </w:r>
      <m:oMath>
        <m:d>
          <m:dPr>
            <m:begChr m:val="["/>
            <m:endChr m:val="]"/>
            <m:sepChr m:val=""/>
            <m:grow/>
          </m:dPr>
          <m:e>
            <m:r>
              <m:t>0.66</m:t>
            </m:r>
            <m:r>
              <m:rPr>
                <m:sty m:val="p"/>
              </m:rPr>
              <m:t>,</m:t>
            </m:r>
            <m:r>
              <m:t>0.86</m:t>
            </m:r>
          </m:e>
        </m:d>
      </m:oMath>
      <w:r>
        <w:t xml:space="preserve">. In other words, 52 of the 67 brain regions saw an improvement on average when using the latent spaces. The probability of obtaining at least as many successes as this under the null model, i.e. a binomial distribution with</w:t>
      </w:r>
      <w:r>
        <w:t xml:space="preserve"> </w:t>
      </w:r>
      <m:oMath>
        <m:sSub>
          <m:e>
            <m:r>
              <m:t>p</m:t>
            </m:r>
          </m:e>
          <m:sub>
            <m:r>
              <m:rPr>
                <m:nor/>
                <m:sty m:val="p"/>
              </m:rPr>
              <m:t>B</m:t>
            </m:r>
          </m:sub>
        </m:sSub>
        <m:r>
          <m:rPr>
            <m:sty m:val="p"/>
          </m:rPr>
          <m:t>=</m:t>
        </m:r>
        <m:r>
          <m:t>0.50</m:t>
        </m:r>
      </m:oMath>
      <w:r>
        <w:t xml:space="preserve"> </w:t>
      </w:r>
      <w:r>
        <w:t xml:space="preserve">and</w:t>
      </w:r>
      <w:r>
        <w:t xml:space="preserve"> </w:t>
      </w:r>
      <m:oMath>
        <m:r>
          <m:t>n</m:t>
        </m:r>
        <m:r>
          <m:rPr>
            <m:sty m:val="p"/>
          </m:rPr>
          <m:t>=</m:t>
        </m:r>
        <m:r>
          <m:t>67</m:t>
        </m:r>
      </m:oMath>
      <w:r>
        <w:t xml:space="preserve">, is</w:t>
      </w:r>
      <w:r>
        <w:t xml:space="preserve"> </w:t>
      </w:r>
      <m:oMath>
        <m:r>
          <m:t>p</m:t>
        </m:r>
        <m:r>
          <m:rPr>
            <m:sty m:val="p"/>
          </m:rPr>
          <m:t>=</m:t>
        </m:r>
        <m:r>
          <m:t>8.64</m:t>
        </m:r>
        <m:r>
          <m:rPr>
            <m:sty m:val="p"/>
          </m:rPr>
          <m:t>⋅</m:t>
        </m:r>
        <m:sSup>
          <m:e>
            <m:r>
              <m:t>10</m:t>
            </m:r>
          </m:e>
          <m:sup>
            <m:r>
              <m:rPr>
                <m:sty m:val="p"/>
              </m:rPr>
              <m:t>−</m:t>
            </m:r>
            <m:r>
              <m:t>7</m:t>
            </m:r>
          </m:sup>
        </m:sSup>
      </m:oMath>
      <w:r>
        <w:t xml:space="preserve">. We additionally evaluated the same kind of logistic regression on a region-wise basis to quantify how often the latent spaces resulted in an improvement for individual brain regions (Figure 3C). We found that for 46 regions (69%), the model estimated the probability to be at least at high as</w:t>
      </w:r>
      <w:r>
        <w:t xml:space="preserve"> </w:t>
      </w:r>
      <m:oMath>
        <m:sSub>
          <m:e>
            <m:r>
              <m:t>p</m:t>
            </m:r>
          </m:e>
          <m:sub>
            <m:r>
              <m:rPr>
                <m:nor/>
                <m:sty m:val="p"/>
              </m:rPr>
              <m:t>B</m:t>
            </m:r>
          </m:sub>
        </m:sSub>
        <m:r>
          <m:rPr>
            <m:sty m:val="p"/>
          </m:rPr>
          <m:t>=</m:t>
        </m:r>
        <m:r>
          <m:t>0.95</m:t>
        </m:r>
      </m:oMath>
      <w:r>
        <w:t xml:space="preserve">. While confidence intervals varied around this estimate, the range between the upper and lower bound was only ever as high as 0.04. For 53 of the 67 regions (79%), the q-values, i.e. p-values adjusted for multiple comparisons, were effectively null, with the largest being</w:t>
      </w:r>
      <w:r>
        <w:t xml:space="preserve"> </w:t>
      </w:r>
      <m:oMath>
        <m:r>
          <m:t>q</m:t>
        </m:r>
        <m:r>
          <m:rPr>
            <m:sty m:val="p"/>
          </m:rPr>
          <m:t>=</m:t>
        </m:r>
        <m:r>
          <m:t>3.77</m:t>
        </m:r>
        <m:r>
          <m:rPr>
            <m:sty m:val="p"/>
          </m:rPr>
          <m:t>⋅</m:t>
        </m:r>
        <m:sSup>
          <m:e>
            <m:r>
              <m:t>10</m:t>
            </m:r>
          </m:e>
          <m:sup>
            <m:r>
              <m:rPr>
                <m:sty m:val="p"/>
              </m:rPr>
              <m:t>−</m:t>
            </m:r>
            <m:r>
              <m:t>16</m:t>
            </m:r>
          </m:sup>
        </m:sSup>
      </m:oMath>
      <w:r>
        <w:t xml:space="preserve">. Of the remaining 14 regions, 13 had q-values equal to 1 and one region, the periacqueductal gray, had a q-value of</w:t>
      </w:r>
      <w:r>
        <w:t xml:space="preserve"> </w:t>
      </w:r>
      <m:oMath>
        <m:r>
          <m:t>q</m:t>
        </m:r>
        <m:r>
          <m:rPr>
            <m:sty m:val="p"/>
          </m:rPr>
          <m:t>=</m:t>
        </m:r>
        <m:r>
          <m:t>0.854</m:t>
        </m:r>
      </m:oMath>
      <w:r>
        <w:t xml:space="preserve">. The regions with the smallest estimates for the Bernouilli probabilities are the dentate gyrus (</w:t>
      </w:r>
      <m:oMath>
        <m:sSub>
          <m:e>
            <m:r>
              <m:t>p</m:t>
            </m:r>
          </m:e>
          <m:sub>
            <m:r>
              <m:rPr>
                <m:nor/>
                <m:sty m:val="p"/>
              </m:rPr>
              <m:t>B</m:t>
            </m:r>
          </m:sub>
        </m:sSub>
        <m:r>
          <m:rPr>
            <m:sty m:val="p"/>
          </m:rPr>
          <m:t>=</m:t>
        </m:r>
        <m:r>
          <m:t>0.0</m:t>
        </m:r>
      </m:oMath>
      <w:r>
        <w:t xml:space="preserve">, no variance,</w:t>
      </w:r>
      <w:r>
        <w:t xml:space="preserve"> </w:t>
      </w:r>
      <m:oMath>
        <m:r>
          <m:t>q</m:t>
        </m:r>
        <m:r>
          <m:rPr>
            <m:sty m:val="p"/>
          </m:rPr>
          <m:t>=</m:t>
        </m:r>
        <m:r>
          <m:t>1</m:t>
        </m:r>
      </m:oMath>
      <w:r>
        <w:t xml:space="preserve">), the striatum ventral region (</w:t>
      </w:r>
      <m:oMath>
        <m:sSub>
          <m:e>
            <m:r>
              <m:t>p</m:t>
            </m:r>
          </m:e>
          <m:sub>
            <m:r>
              <m:rPr>
                <m:nor/>
                <m:sty m:val="p"/>
              </m:rPr>
              <m:t>B</m:t>
            </m:r>
          </m:sub>
        </m:sSub>
        <m:r>
          <m:rPr>
            <m:sty m:val="p"/>
          </m:rPr>
          <m:t>=</m:t>
        </m:r>
        <m:r>
          <m:t>0.016</m:t>
        </m:r>
      </m:oMath>
      <w:r>
        <w:t xml:space="preserve">, 95% CI</w:t>
      </w:r>
      <w:r>
        <w:t xml:space="preserve"> </w:t>
      </w:r>
      <m:oMath>
        <m:d>
          <m:dPr>
            <m:begChr m:val="["/>
            <m:endChr m:val="]"/>
            <m:sepChr m:val=""/>
            <m:grow/>
          </m:dPr>
          <m:e>
            <m:r>
              <m:t>0.008</m:t>
            </m:r>
            <m:r>
              <m:rPr>
                <m:sty m:val="p"/>
              </m:rPr>
              <m:t>,</m:t>
            </m:r>
            <m:r>
              <m:t>0.032</m:t>
            </m:r>
          </m:e>
        </m:d>
      </m:oMath>
      <w:r>
        <w:t xml:space="preserve">,</w:t>
      </w:r>
      <w:r>
        <w:t xml:space="preserve"> </w:t>
      </w:r>
      <m:oMath>
        <m:r>
          <m:t>q</m:t>
        </m:r>
        <m:r>
          <m:rPr>
            <m:sty m:val="p"/>
          </m:rPr>
          <m:t>=</m:t>
        </m:r>
        <m:r>
          <m:t>1</m:t>
        </m:r>
      </m:oMath>
      <w:r>
        <w:t xml:space="preserve">), and the lateral septal complex (</w:t>
      </w:r>
      <m:oMath>
        <m:r>
          <m:t>p</m:t>
        </m:r>
        <m:r>
          <m:rPr>
            <m:sty m:val="p"/>
          </m:rPr>
          <m:t>=</m:t>
        </m:r>
        <m:r>
          <m:t>0.016</m:t>
        </m:r>
      </m:oMath>
      <w:r>
        <w:t xml:space="preserve">, 95% CI</w:t>
      </w:r>
      <w:r>
        <w:t xml:space="preserve"> </w:t>
      </w:r>
      <m:oMath>
        <m:d>
          <m:dPr>
            <m:begChr m:val="["/>
            <m:endChr m:val="]"/>
            <m:sepChr m:val=""/>
            <m:grow/>
          </m:dPr>
          <m:e>
            <m:r>
              <m:t>0.008</m:t>
            </m:r>
            <m:r>
              <m:rPr>
                <m:sty m:val="p"/>
              </m:rPr>
              <m:t>,</m:t>
            </m:r>
            <m:r>
              <m:t>0.032</m:t>
            </m:r>
          </m:e>
        </m:d>
      </m:oMath>
      <w:r>
        <w:t xml:space="preserve">,</w:t>
      </w:r>
      <w:r>
        <w:t xml:space="preserve"> </w:t>
      </w:r>
      <m:oMath>
        <m:r>
          <m:t>q</m:t>
        </m:r>
        <m:r>
          <m:rPr>
            <m:sty m:val="p"/>
          </m:rPr>
          <m:t>=</m:t>
        </m:r>
        <m:r>
          <m:t>1</m:t>
        </m:r>
      </m:oMath>
      <w:r>
        <w:t xml:space="preserve">). The remaining regions with</w:t>
      </w:r>
      <w:r>
        <w:t xml:space="preserve"> </w:t>
      </w:r>
      <m:oMath>
        <m:r>
          <m:t>q</m:t>
        </m:r>
        <m:r>
          <m:rPr>
            <m:sty m:val="p"/>
          </m:rPr>
          <m:t>=</m:t>
        </m:r>
        <m:r>
          <m:t>1</m:t>
        </m:r>
      </m:oMath>
      <w:r>
        <w:t xml:space="preserve"> </w:t>
      </w:r>
      <w:r>
        <w:t xml:space="preserve">are all subcortical and fall under the broad subdivisions of cerebral nuclei, olfactory areas, interbrain, midbrain, pons, medulla, and cerebellar nuclei. Beyond this binary measure of improvement, some regions exhibited a large range of differences in rank over the various latent spaces. In particular regions like the main olfactory bulb (mean rank difference of</w:t>
      </w:r>
      <w:r>
        <w:t xml:space="preserve"> </w:t>
      </w:r>
      <m:oMath>
        <m:r>
          <m:t>μ</m:t>
        </m:r>
        <m:r>
          <m:rPr>
            <m:sty m:val="p"/>
          </m:rPr>
          <m:t>=</m:t>
        </m:r>
        <m:r>
          <m:t>10</m:t>
        </m:r>
      </m:oMath>
      <w:r>
        <w:t xml:space="preserve">, 95% CI</w:t>
      </w:r>
      <w:r>
        <w:t xml:space="preserve"> </w:t>
      </w:r>
      <m:oMath>
        <m:d>
          <m:dPr>
            <m:begChr m:val="["/>
            <m:endChr m:val="]"/>
            <m:sepChr m:val=""/>
            <m:grow/>
          </m:dPr>
          <m:e>
            <m:r>
              <m:rPr>
                <m:sty m:val="p"/>
              </m:rPr>
              <m:t>−</m:t>
            </m:r>
            <m:r>
              <m:t>12</m:t>
            </m:r>
            <m:r>
              <m:rPr>
                <m:sty m:val="p"/>
              </m:rPr>
              <m:t>,</m:t>
            </m:r>
            <m:r>
              <m:t>33</m:t>
            </m:r>
          </m:e>
        </m:d>
      </m:oMath>
      <w:r>
        <w:t xml:space="preserve">) and accessory olfactory bulb</w:t>
      </w:r>
      <w:r>
        <w:t xml:space="preserve"> </w:t>
      </w:r>
      <m:oMath>
        <m:r>
          <m:t>μ</m:t>
        </m:r>
        <m:r>
          <m:rPr>
            <m:sty m:val="p"/>
          </m:rPr>
          <m:t>=</m:t>
        </m:r>
        <m:r>
          <m:t>9</m:t>
        </m:r>
      </m:oMath>
      <w:r>
        <w:t xml:space="preserve">, 95% CI</w:t>
      </w:r>
      <w:r>
        <w:t xml:space="preserve"> </w:t>
      </w:r>
      <m:oMath>
        <m:d>
          <m:dPr>
            <m:begChr m:val="["/>
            <m:endChr m:val="]"/>
            <m:sepChr m:val=""/>
            <m:grow/>
          </m:dPr>
          <m:e>
            <m:r>
              <m:rPr>
                <m:sty m:val="p"/>
              </m:rPr>
              <m:t>−</m:t>
            </m:r>
            <m:r>
              <m:t>13</m:t>
            </m:r>
            <m:r>
              <m:rPr>
                <m:sty m:val="p"/>
              </m:rPr>
              <m:t>,</m:t>
            </m:r>
            <m:r>
              <m:t>31</m:t>
            </m:r>
          </m:e>
        </m:d>
      </m:oMath>
      <w:r>
        <w:t xml:space="preserve">) exhibit a substantial degree of variance. Other than these two areas, regions within the olfactory areas (e.g. piriform area) were among those that benefited the most from the classification approach, showing improvement in all sampled latent spaces, with all Bernouilli probability estimates equal to 1 and all q-values equal to 0. While the effects, i.e. rank differences, are smaller, the similarity profiles of regions belonging to the isocortex and cerebellar cortex also saw an improvement in locality. All models for isocortical areas returned Bernouilli probability estimates greater than</w:t>
      </w:r>
      <w:r>
        <w:t xml:space="preserve"> </w:t>
      </w:r>
      <m:oMath>
        <m:sSub>
          <m:e>
            <m:r>
              <m:t>p</m:t>
            </m:r>
          </m:e>
          <m:sub>
            <m:r>
              <m:rPr>
                <m:nor/>
                <m:sty m:val="p"/>
              </m:rPr>
              <m:t>B</m:t>
            </m:r>
          </m:sub>
        </m:sSub>
        <m:r>
          <m:rPr>
            <m:sty m:val="p"/>
          </m:rPr>
          <m:t>=</m:t>
        </m:r>
        <m:r>
          <m:t>0.85</m:t>
        </m:r>
      </m:oMath>
      <w:r>
        <w:t xml:space="preserve"> </w:t>
      </w:r>
      <w:r>
        <w:t xml:space="preserve">and q-values that were at most</w:t>
      </w:r>
      <w:r>
        <w:t xml:space="preserve"> </w:t>
      </w:r>
      <m:oMath>
        <m:r>
          <m:t>q</m:t>
        </m:r>
        <m:r>
          <m:rPr>
            <m:sty m:val="p"/>
          </m:rPr>
          <m:t>=</m:t>
        </m:r>
        <m:r>
          <m:t>1.35</m:t>
        </m:r>
        <m:r>
          <m:rPr>
            <m:sty m:val="p"/>
          </m:rPr>
          <m:t>⋅</m:t>
        </m:r>
        <m:sSup>
          <m:e>
            <m:r>
              <m:t>10</m:t>
            </m:r>
          </m:e>
          <m:sup>
            <m:r>
              <m:rPr>
                <m:sty m:val="p"/>
              </m:rPr>
              <m:t>−</m:t>
            </m:r>
            <m:r>
              <m:t>67</m:t>
            </m:r>
          </m:sup>
        </m:sSup>
      </m:oMath>
      <w:r>
        <w:t xml:space="preserve">. Moreover, 9 of the 19 isocortical regions were improved in all latent spaces, i.e. </w:t>
      </w:r>
      <m:oMath>
        <m:sSub>
          <m:e>
            <m:r>
              <m:t>p</m:t>
            </m:r>
          </m:e>
          <m:sub>
            <m:r>
              <m:rPr>
                <m:nor/>
                <m:sty m:val="p"/>
              </m:rPr>
              <m:t>B</m:t>
            </m:r>
          </m:sub>
        </m:sSub>
        <m:r>
          <m:rPr>
            <m:sty m:val="p"/>
          </m:rPr>
          <m:t>=</m:t>
        </m:r>
        <m:r>
          <m:t>1</m:t>
        </m:r>
      </m:oMath>
      <w:r>
        <w:t xml:space="preserve">. Brain regions belonging to the cerebellar cortex saw similar improvement. In contrast, regions belonging to the cerebral nuclei, the diencephalon, midbrain and hindbrain did not see much improvement in this new common space, with an average Bernouilli probability estimate of</w:t>
      </w:r>
      <w:r>
        <w:t xml:space="preserve"> </w:t>
      </w:r>
      <m:oMath>
        <m:sSub>
          <m:e>
            <m:r>
              <m:t>p</m:t>
            </m:r>
          </m:e>
          <m:sub>
            <m:r>
              <m:rPr>
                <m:nor/>
                <m:sty m:val="p"/>
              </m:rPr>
              <m:t>B</m:t>
            </m:r>
          </m:sub>
        </m:sSub>
        <m:r>
          <m:rPr>
            <m:sty m:val="p"/>
          </m:rPr>
          <m:t>=</m:t>
        </m:r>
        <m:r>
          <m:t>0.36</m:t>
        </m:r>
      </m:oMath>
      <w:r>
        <w:t xml:space="preserve"> </w:t>
      </w:r>
      <w:r>
        <w:t xml:space="preserve">for this subset. Other than the caudoputamen (</w:t>
      </w:r>
      <m:oMath>
        <m:sSub>
          <m:e>
            <m:r>
              <m:t>p</m:t>
            </m:r>
          </m:e>
          <m:sub>
            <m:r>
              <m:rPr>
                <m:nor/>
                <m:sty m:val="p"/>
              </m:rPr>
              <m:t>B</m:t>
            </m:r>
          </m:sub>
        </m:sSub>
        <m:r>
          <m:rPr>
            <m:sty m:val="p"/>
          </m:rPr>
          <m:t>=</m:t>
        </m:r>
        <m:r>
          <m:t>0.99</m:t>
        </m:r>
      </m:oMath>
      <w:r>
        <w:t xml:space="preserve">, 95% CI</w:t>
      </w:r>
      <w:r>
        <w:t xml:space="preserve"> </w:t>
      </w:r>
      <m:oMath>
        <m:d>
          <m:dPr>
            <m:begChr m:val="["/>
            <m:endChr m:val="]"/>
            <m:sepChr m:val=""/>
            <m:grow/>
          </m:dPr>
          <m:e>
            <m:r>
              <m:t>0.97</m:t>
            </m:r>
            <m:r>
              <m:rPr>
                <m:sty m:val="p"/>
              </m:rPr>
              <m:t>,</m:t>
            </m:r>
            <m:r>
              <m:t>1.00</m:t>
            </m:r>
          </m:e>
        </m:d>
      </m:oMath>
      <w:r>
        <w:t xml:space="preserve">,</w:t>
      </w:r>
      <w:r>
        <w:t xml:space="preserve"> </w:t>
      </w:r>
      <m:oMath>
        <m:r>
          <m:t>q</m:t>
        </m:r>
        <m:r>
          <m:rPr>
            <m:sty m:val="p"/>
          </m:rPr>
          <m:t>=</m:t>
        </m:r>
        <m:r>
          <m:t>1.35</m:t>
        </m:r>
        <m:r>
          <m:rPr>
            <m:sty m:val="p"/>
          </m:rPr>
          <m:t>⋅</m:t>
        </m:r>
        <m:sSup>
          <m:e>
            <m:r>
              <m:t>10</m:t>
            </m:r>
          </m:e>
          <m:sup>
            <m:r>
              <m:rPr>
                <m:sty m:val="p"/>
              </m:rPr>
              <m:t>−</m:t>
            </m:r>
            <m:r>
              <m:t>139</m:t>
            </m:r>
          </m:sup>
        </m:sSup>
      </m:oMath>
      <w:r>
        <w:t xml:space="preserve">), the superior colliculus (</w:t>
      </w:r>
      <m:oMath>
        <m:sSub>
          <m:e>
            <m:r>
              <m:t>p</m:t>
            </m:r>
          </m:e>
          <m:sub>
            <m:r>
              <m:rPr>
                <m:nor/>
                <m:sty m:val="p"/>
              </m:rPr>
              <m:t>B</m:t>
            </m:r>
          </m:sub>
        </m:sSub>
        <m:r>
          <m:rPr>
            <m:sty m:val="p"/>
          </m:rPr>
          <m:t>=</m:t>
        </m:r>
        <m:r>
          <m:t>0.90</m:t>
        </m:r>
      </m:oMath>
      <w:r>
        <w:t xml:space="preserve">, 95% CI</w:t>
      </w:r>
      <w:r>
        <w:t xml:space="preserve"> </w:t>
      </w:r>
      <m:oMath>
        <m:d>
          <m:dPr>
            <m:begChr m:val="["/>
            <m:endChr m:val="]"/>
            <m:sepChr m:val=""/>
            <m:grow/>
          </m:dPr>
          <m:e>
            <m:r>
              <m:t>0.87</m:t>
            </m:r>
            <m:r>
              <m:rPr>
                <m:sty m:val="p"/>
              </m:rPr>
              <m:t>,</m:t>
            </m:r>
            <m:r>
              <m:t>0.92</m:t>
            </m:r>
          </m:e>
        </m:d>
      </m:oMath>
      <w:r>
        <w:t xml:space="preserve">,</w:t>
      </w:r>
      <w:r>
        <w:t xml:space="preserve"> </w:t>
      </w:r>
      <m:oMath>
        <m:r>
          <m:t>q</m:t>
        </m:r>
        <m:r>
          <m:rPr>
            <m:sty m:val="p"/>
          </m:rPr>
          <m:t>=</m:t>
        </m:r>
        <m:r>
          <m:t>9.82</m:t>
        </m:r>
        <m:r>
          <m:rPr>
            <m:sty m:val="p"/>
          </m:rPr>
          <m:t>⋅</m:t>
        </m:r>
        <m:sSup>
          <m:e>
            <m:r>
              <m:t>10</m:t>
            </m:r>
          </m:e>
          <m:sup>
            <m:r>
              <m:rPr>
                <m:sty m:val="p"/>
              </m:rPr>
              <m:t>−</m:t>
            </m:r>
            <m:r>
              <m:t>81</m:t>
            </m:r>
          </m:sup>
        </m:sSup>
      </m:oMath>
      <w:r>
        <w:t xml:space="preserve">), and the inferior colliculus (</w:t>
      </w:r>
      <m:oMath>
        <m:sSub>
          <m:e>
            <m:r>
              <m:t>p</m:t>
            </m:r>
          </m:e>
          <m:sub>
            <m:r>
              <m:rPr>
                <m:nor/>
                <m:sty m:val="p"/>
              </m:rPr>
              <m:t>B</m:t>
            </m:r>
          </m:sub>
        </m:sSub>
        <m:r>
          <m:rPr>
            <m:sty m:val="p"/>
          </m:rPr>
          <m:t>=</m:t>
        </m:r>
        <m:r>
          <m:t>0.75</m:t>
        </m:r>
      </m:oMath>
      <w:r>
        <w:t xml:space="preserve">, 95% CI</w:t>
      </w:r>
      <w:r>
        <w:t xml:space="preserve"> </w:t>
      </w:r>
      <m:oMath>
        <m:d>
          <m:dPr>
            <m:begChr m:val="["/>
            <m:endChr m:val="]"/>
            <m:sepChr m:val=""/>
            <m:grow/>
          </m:dPr>
          <m:e>
            <m:r>
              <m:t>0.71</m:t>
            </m:r>
            <m:r>
              <m:rPr>
                <m:sty m:val="p"/>
              </m:rPr>
              <m:t>,</m:t>
            </m:r>
            <m:r>
              <m:t>0.78</m:t>
            </m:r>
          </m:e>
        </m:d>
      </m:oMath>
      <w:r>
        <w:t xml:space="preserve">,</w:t>
      </w:r>
      <w:r>
        <w:t xml:space="preserve"> </w:t>
      </w:r>
      <m:oMath>
        <m:r>
          <m:t>q</m:t>
        </m:r>
        <m:r>
          <m:rPr>
            <m:sty m:val="p"/>
          </m:rPr>
          <m:t>=</m:t>
        </m:r>
        <m:r>
          <m:t>3.12</m:t>
        </m:r>
        <m:r>
          <m:rPr>
            <m:sty m:val="p"/>
          </m:rPr>
          <m:t>⋅</m:t>
        </m:r>
        <m:sSup>
          <m:e>
            <m:r>
              <m:t>10</m:t>
            </m:r>
          </m:e>
          <m:sup>
            <m:r>
              <m:rPr>
                <m:sty m:val="p"/>
              </m:rPr>
              <m:t>−</m:t>
            </m:r>
            <m:r>
              <m:t>30</m:t>
            </m:r>
          </m:sup>
        </m:sSup>
      </m:oMath>
      <w:r>
        <w:t xml:space="preserve">), all regions in this subset return q-values equal to 1. For many such regions the degree of locality appears to be worse in this space, though only by a small number of ranks, e.g. striatum ventral region (mean rank difference of</w:t>
      </w:r>
      <w:r>
        <w:t xml:space="preserve"> </w:t>
      </w:r>
      <m:oMath>
        <m:r>
          <m:t>μ</m:t>
        </m:r>
        <m:r>
          <m:rPr>
            <m:sty m:val="p"/>
          </m:rPr>
          <m:t>=</m:t>
        </m:r>
        <m:r>
          <m:t>4</m:t>
        </m:r>
      </m:oMath>
      <w:r>
        <w:t xml:space="preserve">, 95% CI</w:t>
      </w:r>
      <w:r>
        <w:t xml:space="preserve"> </w:t>
      </w:r>
      <m:oMath>
        <m:d>
          <m:dPr>
            <m:begChr m:val="["/>
            <m:endChr m:val="]"/>
            <m:sepChr m:val=""/>
            <m:grow/>
          </m:dPr>
          <m:e>
            <m:r>
              <m:t>1</m:t>
            </m:r>
            <m:r>
              <m:rPr>
                <m:sty m:val="p"/>
              </m:rPr>
              <m:t>,</m:t>
            </m:r>
            <m:r>
              <m:t>7</m:t>
            </m:r>
          </m:e>
        </m:d>
      </m:oMath>
      <w:r>
        <w:t xml:space="preserve">) and lateral septal complex (</w:t>
      </w:r>
      <m:oMath>
        <m:r>
          <m:t>μ</m:t>
        </m:r>
        <m:r>
          <m:rPr>
            <m:sty m:val="p"/>
          </m:rPr>
          <m:t>=</m:t>
        </m:r>
        <m:r>
          <m:t>6</m:t>
        </m:r>
      </m:oMath>
      <w:r>
        <w:t xml:space="preserve">, 95% CI</w:t>
      </w:r>
      <w:r>
        <w:t xml:space="preserve"> </w:t>
      </w:r>
      <m:oMath>
        <m:d>
          <m:dPr>
            <m:begChr m:val="["/>
            <m:endChr m:val="]"/>
            <m:sepChr m:val=""/>
            <m:grow/>
          </m:dPr>
          <m:e>
            <m:r>
              <m:t>0</m:t>
            </m:r>
            <m:r>
              <m:rPr>
                <m:sty m:val="p"/>
              </m:rPr>
              <m:t>,</m:t>
            </m:r>
            <m:r>
              <m:t>11</m:t>
            </m:r>
          </m:e>
        </m:d>
      </m:oMath>
      <w:r>
        <w:t xml:space="preserve">). Indeed, computing the average rank difference over this subset of regions across all latent spaces, we find</w:t>
      </w:r>
      <w:r>
        <w:t xml:space="preserve"> </w:t>
      </w:r>
      <m:oMath>
        <m:r>
          <m:t>μ</m:t>
        </m:r>
        <m:r>
          <m:rPr>
            <m:sty m:val="p"/>
          </m:rPr>
          <m:t>=</m:t>
        </m:r>
        <m:r>
          <m:t>2</m:t>
        </m:r>
      </m:oMath>
      <w:r>
        <w:t xml:space="preserve"> </w:t>
      </w:r>
      <w:r>
        <w:t xml:space="preserve">with 95% confidence interval</w:t>
      </w:r>
      <w:r>
        <w:t xml:space="preserve"> </w:t>
      </w:r>
      <m:oMath>
        <m:d>
          <m:dPr>
            <m:begChr m:val="["/>
            <m:endChr m:val="]"/>
            <m:sepChr m:val=""/>
            <m:grow/>
          </m:dPr>
          <m:e>
            <m:r>
              <m:rPr>
                <m:sty m:val="p"/>
              </m:rPr>
              <m:t>−</m:t>
            </m:r>
            <m:r>
              <m:t>5</m:t>
            </m:r>
            <m:r>
              <m:rPr>
                <m:sty m:val="p"/>
              </m:rPr>
              <m:t>,</m:t>
            </m:r>
            <m:r>
              <m:t>8</m:t>
            </m:r>
          </m:e>
        </m:d>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CaptionedFigure"/>
      </w:pPr>
      <w:r>
        <w:drawing>
          <wp:inline>
            <wp:extent cx="5943600" cy="4395787"/>
            <wp:effectExtent b="0" l="0" r="0" t="0"/>
            <wp:docPr descr="Figure 3. Quantifying improvement in locality in gene expression latent space. (A)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B)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ures 1 and 2. Binomial likelihood (logistic regression) estimate of p_{\text{B}} = 0.78 with %95 CI [0.66, 0.86]. The probability of obtaining at least this many successes under the null binomial distribution, B(67, 0.5), is p = 8.64 \cdot 10^{-7}. (C) Proportion of perceptron training runs resulting in an improvement or null difference in the gene expression latent space compared with the initial space, estimated using region-wise logistic regressions. Cortical and cerebellar regions exhibit high proportions of improvement, while subcortical regions are less likely to be improved by the classification process. Source data 1. Related to Figure 3A. Source data 2. Related to Figure 3B. Source data 3. Related to Figure 3C." title="" id="34" name="Picture"/>
            <a:graphic>
              <a:graphicData uri="http://schemas.openxmlformats.org/drawingml/2006/picture">
                <pic:pic>
                  <pic:nvPicPr>
                    <pic:cNvPr descr="TranscriptomicSimilarity_elife_docx_files/figure-docx/results2-fig3-print-1.png" id="35" name="Picture"/>
                    <pic:cNvPicPr>
                      <a:picLocks noChangeArrowheads="1" noChangeAspect="1"/>
                    </pic:cNvPicPr>
                  </pic:nvPicPr>
                  <pic:blipFill>
                    <a:blip r:embed="rId33"/>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Figure 3. Quantifying improvement in locality in gene expression latent space. (A)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(B)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Figures 1 and 2. Binomial likelihood (logistic regression) estimate of</w:t>
      </w:r>
      <w:r>
        <w:t xml:space="preserve"> </w:t>
      </w:r>
      <m:oMath>
        <m:sSub>
          <m:e>
            <m:r>
              <m:t>p</m:t>
            </m:r>
          </m:e>
          <m:sub>
            <m:r>
              <m:rPr>
                <m:nor/>
                <m:sty m:val="p"/>
              </m:rPr>
              <m:t>B</m:t>
            </m:r>
          </m:sub>
        </m:sSub>
        <m:r>
          <m:rPr>
            <m:sty m:val="p"/>
          </m:rPr>
          <m:t>=</m:t>
        </m:r>
        <m:r>
          <m:t>0.78</m:t>
        </m:r>
      </m:oMath>
      <w:r>
        <w:t xml:space="preserve"> </w:t>
      </w:r>
      <w:r>
        <w:t xml:space="preserve">with %95 CI [0.66, 0.86]. The probability of obtaining at least this many successes under the null binomial distribution,</w:t>
      </w:r>
      <w:r>
        <w:t xml:space="preserve"> </w:t>
      </w:r>
      <m:oMath>
        <m:r>
          <m:t>B</m:t>
        </m:r>
        <m:d>
          <m:dPr>
            <m:begChr m:val="("/>
            <m:endChr m:val=")"/>
            <m:sepChr m:val=""/>
            <m:grow/>
          </m:dPr>
          <m:e>
            <m:r>
              <m:t>67</m:t>
            </m:r>
            <m:r>
              <m:rPr>
                <m:sty m:val="p"/>
              </m:rPr>
              <m:t>,</m:t>
            </m:r>
            <m:r>
              <m:t>0.5</m:t>
            </m:r>
          </m:e>
        </m:d>
      </m:oMath>
      <w:r>
        <w:t xml:space="preserve">, is</w:t>
      </w:r>
      <w:r>
        <w:t xml:space="preserve"> </w:t>
      </w:r>
      <m:oMath>
        <m:r>
          <m:t>p</m:t>
        </m:r>
        <m:r>
          <m:rPr>
            <m:sty m:val="p"/>
          </m:rPr>
          <m:t>=</m:t>
        </m:r>
        <m:r>
          <m:t>8.64</m:t>
        </m:r>
        <m:r>
          <m:rPr>
            <m:sty m:val="p"/>
          </m:rPr>
          <m:t>⋅</m:t>
        </m:r>
        <m:sSup>
          <m:e>
            <m:r>
              <m:t>10</m:t>
            </m:r>
          </m:e>
          <m:sup>
            <m:r>
              <m:rPr>
                <m:sty m:val="p"/>
              </m:rPr>
              <m:t>−</m:t>
            </m:r>
            <m:r>
              <m:t>7</m:t>
            </m:r>
          </m:sup>
        </m:sSup>
      </m:oMath>
      <w:r>
        <w:t xml:space="preserve">. (C) Proportion of perceptron training runs resulting in an improvement or null difference in the gene expression latent space compared with the initial space, estimated using region-wise logistic regressions. Cortical and cerebellar regions exhibit high proportions of improvement, while subcortical regions are less likely to be improved by the classification process. Source data 1. Related to Figure 3A. Source data 2. Related to Figure 3B. Source data 3. Related to Figure 3C.</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(Figure 4A). The lower the rank, the more similar the canonical pair, with a rank of 1 indicating maximal similarity. As described above, we evaluated the overall performance of the classification approach by running a logistic regression using the average latent space rank difference over all regions in our subset. Here we find an estimated Bernouilli probability of</w:t>
      </w:r>
      <w:r>
        <w:t xml:space="preserve"> </w:t>
      </w:r>
      <m:oMath>
        <m:sSub>
          <m:e>
            <m:r>
              <m:t>p</m:t>
            </m:r>
          </m:e>
          <m:sub>
            <m:r>
              <m:rPr>
                <m:nor/>
                <m:sty m:val="p"/>
              </m:rPr>
              <m:t>B</m:t>
            </m:r>
          </m:sub>
        </m:sSub>
        <m:r>
          <m:rPr>
            <m:sty m:val="p"/>
          </m:rPr>
          <m:t>=</m:t>
        </m:r>
        <m:r>
          <m:t>0.64</m:t>
        </m:r>
      </m:oMath>
      <w:r>
        <w:t xml:space="preserve"> </w:t>
      </w:r>
      <w:r>
        <w:t xml:space="preserve">with 95% confidence interval</w:t>
      </w:r>
      <w:r>
        <w:t xml:space="preserve"> </w:t>
      </w:r>
      <m:oMath>
        <m:d>
          <m:dPr>
            <m:begChr m:val="["/>
            <m:endChr m:val="]"/>
            <m:sepChr m:val=""/>
            <m:grow/>
          </m:dPr>
          <m:e>
            <m:r>
              <m:t>0.47</m:t>
            </m:r>
            <m:r>
              <m:rPr>
                <m:sty m:val="p"/>
              </m:rPr>
              <m:t>,</m:t>
            </m:r>
            <m:r>
              <m:t>0.78</m:t>
            </m:r>
          </m:e>
        </m:d>
      </m:oMath>
      <w:r>
        <w:t xml:space="preserve">. Under the null binomial distribution,</w:t>
      </w:r>
      <w:r>
        <w:t xml:space="preserve"> </w:t>
      </w:r>
      <m:oMath>
        <m:r>
          <m:t>B</m:t>
        </m:r>
        <m:d>
          <m:dPr>
            <m:begChr m:val="("/>
            <m:endChr m:val=")"/>
            <m:sepChr m:val=""/>
            <m:grow/>
          </m:dPr>
          <m:e>
            <m:r>
              <m:t>36</m:t>
            </m:r>
            <m:r>
              <m:rPr>
                <m:sty m:val="p"/>
              </m:rPr>
              <m:t>,</m:t>
            </m:r>
            <m:r>
              <m:t>0.5</m:t>
            </m:r>
          </m:e>
        </m:d>
      </m:oMath>
      <w:r>
        <w:t xml:space="preserve">, the probability of getting at least as many successes as this is</w:t>
      </w:r>
      <w:r>
        <w:t xml:space="preserve"> </w:t>
      </w:r>
      <m:oMath>
        <m:r>
          <m:t>p</m:t>
        </m:r>
        <m:r>
          <m:rPr>
            <m:sty m:val="p"/>
          </m:rPr>
          <m:t>=</m:t>
        </m:r>
        <m:r>
          <m:t>0.033</m:t>
        </m:r>
      </m:oMath>
      <w:r>
        <w:t xml:space="preserve">. We also evaluated the model for each brain region and found that 30 of the 36 regions (83%) return Bernouilli probability estimates of at least</w:t>
      </w:r>
      <w:r>
        <w:t xml:space="preserve"> </w:t>
      </w:r>
      <m:oMath>
        <m:sSub>
          <m:e>
            <m:r>
              <m:t>p</m:t>
            </m:r>
          </m:e>
          <m:sub>
            <m:r>
              <m:rPr>
                <m:nor/>
                <m:sty m:val="p"/>
              </m:rPr>
              <m:t>B</m:t>
            </m:r>
          </m:sub>
        </m:sSub>
        <m:r>
          <m:rPr>
            <m:sty m:val="p"/>
          </m:rPr>
          <m:t>=</m:t>
        </m:r>
        <m:r>
          <m:t>0.80</m:t>
        </m:r>
      </m:oMath>
      <w:r>
        <w:t xml:space="preserve">. Under the null binomial distribution,</w:t>
      </w:r>
      <w:r>
        <w:t xml:space="preserve"> </w:t>
      </w:r>
      <m:oMath>
        <m:r>
          <m:t>B</m:t>
        </m:r>
        <m:d>
          <m:dPr>
            <m:begChr m:val="("/>
            <m:endChr m:val=")"/>
            <m:sepChr m:val=""/>
            <m:grow/>
          </m:dPr>
          <m:e>
            <m:r>
              <m:t>500</m:t>
            </m:r>
            <m:r>
              <m:rPr>
                <m:sty m:val="p"/>
              </m:rPr>
              <m:t>,</m:t>
            </m:r>
            <m:r>
              <m:t>0.5</m:t>
            </m:r>
          </m:e>
        </m:d>
      </m:oMath>
      <w:r>
        <w:t xml:space="preserve">, we find that the largest q-value among these 30 regions is</w:t>
      </w:r>
      <w:r>
        <w:t xml:space="preserve"> </w:t>
      </w:r>
      <m:oMath>
        <m:r>
          <m:t>q</m:t>
        </m:r>
        <m:r>
          <m:rPr>
            <m:sty m:val="p"/>
          </m:rPr>
          <m:t>=</m:t>
        </m:r>
        <m:r>
          <m:t>4.39</m:t>
        </m:r>
        <m:r>
          <m:rPr>
            <m:sty m:val="p"/>
          </m:rPr>
          <m:t>⋅</m:t>
        </m:r>
        <m:sSup>
          <m:e>
            <m:r>
              <m:t>10</m:t>
            </m:r>
          </m:e>
          <m:sup>
            <m:r>
              <m:rPr>
                <m:sty m:val="p"/>
              </m:rPr>
              <m:t>−</m:t>
            </m:r>
            <m:r>
              <m:t>54</m:t>
            </m:r>
          </m:sup>
        </m:sSup>
      </m:oMath>
      <w:r>
        <w:t xml:space="preserve">. Moreover, 24 regions (67%) return Bernouilli probability estimates of at least</w:t>
      </w:r>
      <w:r>
        <w:t xml:space="preserve"> </w:t>
      </w:r>
      <m:oMath>
        <m:sSub>
          <m:e>
            <m:r>
              <m:t>p</m:t>
            </m:r>
          </m:e>
          <m:sub>
            <m:r>
              <m:rPr>
                <m:nor/>
                <m:sty m:val="p"/>
              </m:rPr>
              <m:t>B</m:t>
            </m:r>
          </m:sub>
        </m:sSub>
        <m:r>
          <m:rPr>
            <m:sty m:val="p"/>
          </m:rPr>
          <m:t>=</m:t>
        </m:r>
        <m:r>
          <m:t>0.90</m:t>
        </m:r>
      </m:oMath>
      <w:r>
        <w:t xml:space="preserve"> </w:t>
      </w:r>
      <w:r>
        <w:t xml:space="preserve">and 8 regions show improvement in all latent spaces, i.e. </w:t>
      </w:r>
      <m:oMath>
        <m:sSub>
          <m:e>
            <m:r>
              <m:t>p</m:t>
            </m:r>
          </m:e>
          <m:sub>
            <m:r>
              <m:rPr>
                <m:nor/>
                <m:sty m:val="p"/>
              </m:rPr>
              <m:t>B</m:t>
            </m:r>
          </m:sub>
        </m:sSub>
        <m:r>
          <m:rPr>
            <m:sty m:val="p"/>
          </m:rPr>
          <m:t>=</m:t>
        </m:r>
        <m:r>
          <m:t>1</m:t>
        </m:r>
      </m:oMath>
      <w:r>
        <w:t xml:space="preserve"> </w:t>
      </w:r>
      <w:r>
        <w:t xml:space="preserve">and</w:t>
      </w:r>
      <w:r>
        <w:t xml:space="preserve"> </w:t>
      </w:r>
      <m:oMath>
        <m:r>
          <m:t>q</m:t>
        </m:r>
        <m:r>
          <m:rPr>
            <m:sty m:val="p"/>
          </m:rPr>
          <m:t>=</m:t>
        </m:r>
        <m:r>
          <m:t>0</m:t>
        </m:r>
      </m:oMath>
      <w:r>
        <w:t xml:space="preserve"> </w:t>
      </w:r>
      <w:r>
        <w:t xml:space="preserve">(Figure 4B). Among these 8 regions are the claustrum, the piriform area, the primary motor and somatosensory areas, and the crus 2. Additional examples of the many regions that demonstrate improvement include: the primary auditory area (</w:t>
      </w:r>
      <m:oMath>
        <m:sSub>
          <m:e>
            <m:r>
              <m:t>p</m:t>
            </m:r>
          </m:e>
          <m:sub>
            <m:r>
              <m:rPr>
                <m:nor/>
                <m:sty m:val="p"/>
              </m:rPr>
              <m:t>B</m:t>
            </m:r>
          </m:sub>
        </m:sSub>
        <m:r>
          <m:rPr>
            <m:sty m:val="p"/>
          </m:rPr>
          <m:t>=</m:t>
        </m:r>
        <m:r>
          <m:t>0.83</m:t>
        </m:r>
      </m:oMath>
      <w:r>
        <w:t xml:space="preserve">, 95% CI</w:t>
      </w:r>
      <w:r>
        <w:t xml:space="preserve"> </w:t>
      </w:r>
      <m:oMath>
        <m:d>
          <m:dPr>
            <m:begChr m:val="["/>
            <m:endChr m:val="]"/>
            <m:sepChr m:val=""/>
            <m:grow/>
          </m:dPr>
          <m:e>
            <m:r>
              <m:t>0.80</m:t>
            </m:r>
            <m:r>
              <m:rPr>
                <m:sty m:val="p"/>
              </m:rPr>
              <m:t>,</m:t>
            </m:r>
            <m:r>
              <m:t>0.86</m:t>
            </m:r>
          </m:e>
        </m:d>
      </m:oMath>
      <w:r>
        <w:t xml:space="preserve">,</w:t>
      </w:r>
      <w:r>
        <w:t xml:space="preserve"> </w:t>
      </w:r>
      <m:oMath>
        <m:r>
          <m:t>q</m:t>
        </m:r>
        <m:r>
          <m:rPr>
            <m:sty m:val="p"/>
          </m:rPr>
          <m:t>=</m:t>
        </m:r>
        <m:r>
          <m:t>1.80</m:t>
        </m:r>
        <m:r>
          <m:rPr>
            <m:sty m:val="p"/>
          </m:rPr>
          <m:t>⋅</m:t>
        </m:r>
        <m:sSup>
          <m:e>
            <m:r>
              <m:t>10</m:t>
            </m:r>
          </m:e>
          <m:sup>
            <m:r>
              <m:rPr>
                <m:sty m:val="p"/>
              </m:rPr>
              <m:t>−</m:t>
            </m:r>
            <m:r>
              <m:t>55</m:t>
            </m:r>
          </m:sup>
        </m:sSup>
      </m:oMath>
      <w:r>
        <w:t xml:space="preserve">), the pallidum (</w:t>
      </w:r>
      <m:oMath>
        <m:sSub>
          <m:e>
            <m:r>
              <m:t>p</m:t>
            </m:r>
          </m:e>
          <m:sub>
            <m:r>
              <m:rPr>
                <m:nor/>
                <m:sty m:val="p"/>
              </m:rPr>
              <m:t>B</m:t>
            </m:r>
          </m:sub>
        </m:sSub>
        <m:r>
          <m:rPr>
            <m:sty m:val="p"/>
          </m:rPr>
          <m:t>=</m:t>
        </m:r>
        <m:r>
          <m:t>0.86</m:t>
        </m:r>
      </m:oMath>
      <w:r>
        <w:t xml:space="preserve">, 95% CI</w:t>
      </w:r>
      <w:r>
        <w:t xml:space="preserve"> </w:t>
      </w:r>
      <m:oMath>
        <m:d>
          <m:dPr>
            <m:begChr m:val="["/>
            <m:endChr m:val="]"/>
            <m:sepChr m:val=""/>
            <m:grow/>
          </m:dPr>
          <m:e>
            <m:r>
              <m:t>0.83</m:t>
            </m:r>
            <m:r>
              <m:rPr>
                <m:sty m:val="p"/>
              </m:rPr>
              <m:t>,</m:t>
            </m:r>
            <m:r>
              <m:t>0.89</m:t>
            </m:r>
          </m:e>
        </m:d>
      </m:oMath>
      <w:r>
        <w:t xml:space="preserve">,</w:t>
      </w:r>
      <w:r>
        <w:t xml:space="preserve"> </w:t>
      </w:r>
      <m:oMath>
        <m:r>
          <m:t>q</m:t>
        </m:r>
        <m:r>
          <m:rPr>
            <m:sty m:val="p"/>
          </m:rPr>
          <m:t>=</m:t>
        </m:r>
        <m:r>
          <m:t>3.63</m:t>
        </m:r>
        <m:r>
          <m:rPr>
            <m:sty m:val="p"/>
          </m:rPr>
          <m:t>⋅</m:t>
        </m:r>
        <m:sSup>
          <m:e>
            <m:r>
              <m:t>10</m:t>
            </m:r>
          </m:e>
          <m:sup>
            <m:r>
              <m:rPr>
                <m:sty m:val="p"/>
              </m:rPr>
              <m:t>−</m:t>
            </m:r>
            <m:r>
              <m:t>65</m:t>
            </m:r>
          </m:sup>
        </m:sSup>
      </m:oMath>
      <w:r>
        <w:t xml:space="preserve">), and the crus 1 (</w:t>
      </w:r>
      <m:oMath>
        <m:sSub>
          <m:e>
            <m:r>
              <m:t>p</m:t>
            </m:r>
          </m:e>
          <m:sub>
            <m:r>
              <m:rPr>
                <m:nor/>
                <m:sty m:val="p"/>
              </m:rPr>
              <m:t>B</m:t>
            </m:r>
          </m:sub>
        </m:sSub>
        <m:r>
          <m:rPr>
            <m:sty m:val="p"/>
          </m:rPr>
          <m:t>=</m:t>
        </m:r>
        <m:r>
          <m:t>0.92</m:t>
        </m:r>
      </m:oMath>
      <w:r>
        <w:t xml:space="preserve">, 95% CI</w:t>
      </w:r>
      <w:r>
        <w:t xml:space="preserve"> </w:t>
      </w:r>
      <m:oMath>
        <m:d>
          <m:dPr>
            <m:begChr m:val="["/>
            <m:endChr m:val="]"/>
            <m:sepChr m:val=""/>
            <m:grow/>
          </m:dPr>
          <m:e>
            <m:r>
              <m:t>0.90</m:t>
            </m:r>
            <m:r>
              <m:rPr>
                <m:sty m:val="p"/>
              </m:rPr>
              <m:t>,</m:t>
            </m:r>
            <m:r>
              <m:t>0.94</m:t>
            </m:r>
          </m:e>
        </m:d>
      </m:oMath>
      <w:r>
        <w:t xml:space="preserve">,</w:t>
      </w:r>
      <w:r>
        <w:t xml:space="preserve"> </w:t>
      </w:r>
      <m:oMath>
        <m:r>
          <m:t>q</m:t>
        </m:r>
        <m:r>
          <m:rPr>
            <m:sty m:val="p"/>
          </m:rPr>
          <m:t>=</m:t>
        </m:r>
        <m:r>
          <m:t>7.68</m:t>
        </m:r>
        <m:r>
          <m:rPr>
            <m:sty m:val="p"/>
          </m:rPr>
          <m:t>⋅</m:t>
        </m:r>
        <m:sSup>
          <m:e>
            <m:r>
              <m:t>10</m:t>
            </m:r>
          </m:e>
          <m:sup>
            <m:r>
              <m:rPr>
                <m:sty m:val="p"/>
              </m:rPr>
              <m:t>−</m:t>
            </m:r>
            <m:r>
              <m:t>95</m:t>
            </m:r>
          </m:sup>
        </m:sSup>
      </m:oMath>
      <w:r>
        <w:t xml:space="preserve">). Once again we find that many regions in the sub-cortex do not benefit greatly from the gene expression latent spaces, since the initial gene set was already recapitulating the appropriate match with maximal similarity. We find that the striatum ventral region, caudoputamen, hypothalamus, and pons are maximally similar to their canonical matches in at least 95% of latent spaces. In such cases, the classification approach performs as well as the original approach. While these probability estimates provide a sense of how often an improvement is returned, it is important to note that many regions in this set exhibit a substantial degree of variance over the latent spaces in the ranking of the canonical pairs, e.g. the primary auditory area (</w:t>
      </w:r>
      <m:oMath>
        <m:r>
          <m:t>μ</m:t>
        </m:r>
        <m:r>
          <m:rPr>
            <m:sty m:val="p"/>
          </m:rPr>
          <m:t>=</m:t>
        </m:r>
        <m:r>
          <m:t>9</m:t>
        </m:r>
      </m:oMath>
      <w:r>
        <w:t xml:space="preserve">, 95% CI</w:t>
      </w:r>
      <w:r>
        <w:t xml:space="preserve"> </w:t>
      </w:r>
      <m:oMath>
        <m:d>
          <m:dPr>
            <m:begChr m:val="["/>
            <m:endChr m:val="]"/>
            <m:sepChr m:val=""/>
            <m:grow/>
          </m:dPr>
          <m:e>
            <m:r>
              <m:t>1</m:t>
            </m:r>
            <m:r>
              <m:rPr>
                <m:sty m:val="p"/>
              </m:rPr>
              <m:t>,</m:t>
            </m:r>
            <m:r>
              <m:t>19</m:t>
            </m:r>
          </m:e>
        </m:d>
      </m:oMath>
      <w:r>
        <w:t xml:space="preserve">), the visual areas (</w:t>
      </w:r>
      <m:oMath>
        <m:r>
          <m:t>μ</m:t>
        </m:r>
        <m:r>
          <m:rPr>
            <m:sty m:val="p"/>
          </m:rPr>
          <m:t>=</m:t>
        </m:r>
        <m:r>
          <m:t>18</m:t>
        </m:r>
      </m:oMath>
      <w:r>
        <w:t xml:space="preserve">, 95% CI</w:t>
      </w:r>
      <w:r>
        <w:t xml:space="preserve"> </w:t>
      </w:r>
      <m:oMath>
        <m:d>
          <m:dPr>
            <m:begChr m:val="["/>
            <m:endChr m:val="]"/>
            <m:sepChr m:val=""/>
            <m:grow/>
          </m:dPr>
          <m:e>
            <m:r>
              <m:t>7</m:t>
            </m:r>
            <m:r>
              <m:rPr>
                <m:sty m:val="p"/>
              </m:rPr>
              <m:t>,</m:t>
            </m:r>
            <m:r>
              <m:t>29</m:t>
            </m:r>
          </m:e>
        </m:d>
      </m:oMath>
      <w:r>
        <w:t xml:space="preserve">), the paraflocculus (</w:t>
      </w:r>
      <m:oMath>
        <m:r>
          <m:t>μ</m:t>
        </m:r>
        <m:r>
          <m:rPr>
            <m:sty m:val="p"/>
          </m:rPr>
          <m:t>=</m:t>
        </m:r>
        <m:r>
          <m:t>16</m:t>
        </m:r>
      </m:oMath>
      <w:r>
        <w:t xml:space="preserve">, 95% CI</w:t>
      </w:r>
      <w:r>
        <w:t xml:space="preserve"> </w:t>
      </w:r>
      <m:oMath>
        <m:d>
          <m:dPr>
            <m:begChr m:val="["/>
            <m:endChr m:val="]"/>
            <m:sepChr m:val=""/>
            <m:grow/>
          </m:dPr>
          <m:e>
            <m:r>
              <m:t>2</m:t>
            </m:r>
            <m:r>
              <m:rPr>
                <m:sty m:val="p"/>
              </m:rPr>
              <m:t>,</m:t>
            </m:r>
            <m:r>
              <m:t>29</m:t>
            </m:r>
          </m:e>
        </m:d>
      </m:oMath>
      <w:r>
        <w:t xml:space="preserve">). This is especially apparent for cerebellar regions, indicating some instability in the neural network’s ability to recover these matches.</w:t>
      </w:r>
    </w:p>
    <w:p>
      <w:pPr>
        <w:pStyle w:val="CaptionedFigure"/>
      </w:pPr>
      <w:r>
        <w:drawing>
          <wp:inline>
            <wp:extent cx="5943600" cy="5087525"/>
            <wp:effectExtent b="0" l="0" r="0" t="0"/>
            <wp:docPr descr="Figure 4. Recovering canonical neuroanatomical pairs in gene expression space. (A) Comparison between the ranks of canonical human matches for mouse seed regions between the initial gene expression space and gene expression latent spaces. Points and error bars represent mean and 95% confidence interval. Intervals are truncated at a minimal rank of 1, since values below this are meaningless. Mouse region names are coloured according to the AMBA palette. Binomial likelihood estimate of p = 0.64 with 95% CI [0.47, 0.78]. The probability of obtaining at least this many successes under the null binomial distribution, B(36, 0.5), is p = 0.033. (B) Proportion of latent spaces resulting in an improvement or null difference compared with the initial gene space, estimated using region-wise logistic regressions. Uncoloured voxels correspond to regions with no established canonical human match. Source data 1. Related to Figure 4A. Source data 2. Related to Figure 4B." title="" id="37" name="Picture"/>
            <a:graphic>
              <a:graphicData uri="http://schemas.openxmlformats.org/drawingml/2006/picture">
                <pic:pic>
                  <pic:nvPicPr>
                    <pic:cNvPr descr="TranscriptomicSimilarity_elife_docx_files/figure-docx/results2-fig4-print-1.png" id="38" name="Picture"/>
                    <pic:cNvPicPr>
                      <a:picLocks noChangeArrowheads="1" noChangeAspect="1"/>
                    </pic:cNvPicPr>
                  </pic:nvPicPr>
                  <pic:blipFill>
                    <a:blip r:embed="rId36"/>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Figure 4. Recovering canonical neuroanatomical pairs in gene expression space. (A) Comparison between the ranks of canonical human matches for mouse seed regions between the initial gene expression space and gene expression latent spaces. Points and error bars represent mean and 95% confidence interval. Intervals are truncated at a minimal rank of 1, since values below this are meaningless. Mouse region names are coloured according to the AMBA palette. Binomial likelihood estimate of p = 0.64 with 95% CI [0.47, 0.78]. The probability of obtaining at least this many successes under the null binomial distribution,</w:t>
      </w:r>
      <w:r>
        <w:t xml:space="preserve"> </w:t>
      </w:r>
      <m:oMath>
        <m:r>
          <m:t>B</m:t>
        </m:r>
        <m:d>
          <m:dPr>
            <m:begChr m:val="("/>
            <m:endChr m:val=")"/>
            <m:sepChr m:val=""/>
            <m:grow/>
          </m:dPr>
          <m:e>
            <m:r>
              <m:t>36</m:t>
            </m:r>
            <m:r>
              <m:rPr>
                <m:sty m:val="p"/>
              </m:rPr>
              <m:t>,</m:t>
            </m:r>
            <m:r>
              <m:t>0.5</m:t>
            </m:r>
          </m:e>
        </m:d>
      </m:oMath>
      <w:r>
        <w:t xml:space="preserve">, is</w:t>
      </w:r>
      <w:r>
        <w:t xml:space="preserve"> </w:t>
      </w:r>
      <m:oMath>
        <m:r>
          <m:t>p</m:t>
        </m:r>
        <m:r>
          <m:rPr>
            <m:sty m:val="p"/>
          </m:rPr>
          <m:t>=</m:t>
        </m:r>
        <m:r>
          <m:t>0.033</m:t>
        </m:r>
      </m:oMath>
      <w:r>
        <w:t xml:space="preserve">. (B) Proportion of latent spaces resulting in an improvement or null difference compared with the initial gene space, estimated using region-wise logistic regressions. Uncoloured voxels correspond to regions with no established canonical human match. Source data 1. Related to Figure 4A. Source data 2. Related to Figure 4B.</w:t>
      </w:r>
    </w:p>
    <w:p>
      <w:pPr>
        <w:pStyle w:val="BodyText"/>
      </w:pPr>
      <w:r>
        <w:t xml:space="preserve">Together, these results demonstrate that the multi-layer perceptron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9"/>
    <w:bookmarkStart w:id="43" w:name="results-3"/>
    <w:p>
      <w:pPr>
        <w:pStyle w:val="Heading3"/>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(Kaas, 2011a)</w:t>
      </w:r>
      <w:r>
        <w:t xml:space="preserve">. A number of cortical subdivisions have consistently been identified in members of many distantly related mammalian species</w:t>
      </w:r>
      <w:r>
        <w:t xml:space="preserve"> </w:t>
      </w:r>
      <w:r>
        <w:t xml:space="preserve">(Krubitzer, 2007)</w:t>
      </w:r>
      <w:r>
        <w:t xml:space="preserve"> </w:t>
      </w:r>
      <w:r>
        <w:t xml:space="preserve">and hypothesized to have been present in the common ancestor of all mammals</w:t>
      </w:r>
      <w:r>
        <w:t xml:space="preserve"> </w:t>
      </w:r>
      <w:r>
        <w:t xml:space="preserve">(Kaas, 2011a)</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(Kaas, 2011a)</w:t>
      </w:r>
      <w:r>
        <w:t xml:space="preserve">, since the divergence of mouse and human lineages some 80 million years ago, the primate neocortex has undergone substantial expansion and re-organization</w:t>
      </w:r>
      <w:r>
        <w:t xml:space="preserve"> </w:t>
      </w:r>
      <w:r>
        <w:t xml:space="preserve">(Kaas, 2012)</w:t>
      </w:r>
      <w:r>
        <w:t xml:space="preserve">. Indeed, when comparing the human neocortex even to primate model species, this is the likely locus of areas that cannot be easily translated between species</w:t>
      </w:r>
      <w:r>
        <w:t xml:space="preserve"> </w:t>
      </w:r>
      <w:r>
        <w:t xml:space="preserve">(Rogier B. Mars et al., 2018b)</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(Figure 5A). While the region-wise variance for each isocortical area was large, we found that, on average, sensorimotor regions exhibited higher maximal correlation values than supramodal regions (linear regression with binary predictor:</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0.087</m:t>
            </m:r>
            <m:r>
              <m:rPr>
                <m:sty m:val="p"/>
              </m:rPr>
              <m:t>,</m:t>
            </m:r>
            <m:r>
              <m:t>0.003</m:t>
            </m:r>
          </m:e>
        </m:d>
      </m:oMath>
      <w:r>
        <w:t xml:space="preserve">,</w:t>
      </w:r>
      <w:r>
        <w:t xml:space="preserve"> </w:t>
      </w:r>
      <m:oMath>
        <m:r>
          <m:t>t</m:t>
        </m:r>
        <m:d>
          <m:dPr>
            <m:begChr m:val="("/>
            <m:endChr m:val=")"/>
            <m:sepChr m:val=""/>
            <m:grow/>
          </m:dPr>
          <m:e>
            <m:r>
              <m:t>17</m:t>
            </m:r>
          </m:e>
        </m:d>
        <m:r>
          <m:rPr>
            <m:sty m:val="p"/>
          </m:rPr>
          <m:t>=</m:t>
        </m:r>
        <m:r>
          <m:rPr>
            <m:sty m:val="p"/>
          </m:rPr>
          <m:t>−</m:t>
        </m:r>
        <m:r>
          <m:t>1.854</m:t>
        </m:r>
      </m:oMath>
      <w:r>
        <w:t xml:space="preserve">,</w:t>
      </w:r>
      <w:r>
        <w:t xml:space="preserve"> </w:t>
      </w:r>
      <m:oMath>
        <m:r>
          <m:t>p</m:t>
        </m:r>
        <m:r>
          <m:rPr>
            <m:sty m:val="p"/>
          </m:rPr>
          <m:t>=</m:t>
        </m:r>
        <m:r>
          <m:t>0.0812</m:t>
        </m:r>
      </m:oMath>
      <w:r>
        <w:t xml:space="preserve">). The mouse primary somatosensory (</w:t>
      </w:r>
      <m:oMath>
        <m:r>
          <m:t>r</m:t>
        </m:r>
        <m:r>
          <m:rPr>
            <m:sty m:val="p"/>
          </m:rPr>
          <m:t>=</m:t>
        </m:r>
        <m:r>
          <m:t>0.96</m:t>
        </m:r>
      </m:oMath>
      <w:r>
        <w:t xml:space="preserve">, 95% CI</w:t>
      </w:r>
      <w:r>
        <w:t xml:space="preserve"> </w:t>
      </w:r>
      <m:oMath>
        <m:d>
          <m:dPr>
            <m:begChr m:val="["/>
            <m:endChr m:val="]"/>
            <m:sepChr m:val=""/>
            <m:grow/>
          </m:dPr>
          <m:e>
            <m:r>
              <m:t>0.93</m:t>
            </m:r>
            <m:r>
              <m:rPr>
                <m:sty m:val="p"/>
              </m:rPr>
              <m:t>,</m:t>
            </m:r>
            <m:r>
              <m:t>0.98</m:t>
            </m:r>
          </m:e>
        </m:d>
      </m:oMath>
      <w:r>
        <w:t xml:space="preserve">) and motor (</w:t>
      </w:r>
      <m:oMath>
        <m:r>
          <m:t>r</m:t>
        </m:r>
        <m:r>
          <m:rPr>
            <m:sty m:val="p"/>
          </m:rPr>
          <m:t>=</m:t>
        </m:r>
        <m:r>
          <m:t>0.95</m:t>
        </m:r>
      </m:oMath>
      <w:r>
        <w:t xml:space="preserve"> </w:t>
      </w:r>
      <w:r>
        <w:t xml:space="preserve">with 95% CI</w:t>
      </w:r>
      <w:r>
        <w:t xml:space="preserve"> </w:t>
      </w:r>
      <m:oMath>
        <m:d>
          <m:dPr>
            <m:begChr m:val="["/>
            <m:endChr m:val="]"/>
            <m:sepChr m:val=""/>
            <m:grow/>
          </m:dPr>
          <m:e>
            <m:r>
              <m:t>0.92</m:t>
            </m:r>
            <m:r>
              <m:rPr>
                <m:sty m:val="p"/>
              </m:rPr>
              <m:t>,</m:t>
            </m:r>
            <m:r>
              <m:t>0.98</m:t>
            </m:r>
          </m:e>
        </m:d>
      </m:oMath>
      <w:r>
        <w:t xml:space="preserve">) areas have the highest average maximal correlation values. We additionally examined the distributions of maximal correlation, grouped by cortex type (Figure 5B). To generate these distributions, we computed average maximal correlation values by cortex type in each of the latent spaces. Here too we find that that sensorimotor regions are associated with higher maximal correlation values on average compared with supramodal areas (linear mixed-effects regression:</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0.044</m:t>
            </m:r>
            <m:r>
              <m:rPr>
                <m:sty m:val="p"/>
              </m:rPr>
              <m:t>,</m:t>
            </m:r>
            <m:r>
              <m:rPr>
                <m:sty m:val="p"/>
              </m:rPr>
              <m:t>−</m:t>
            </m:r>
            <m:r>
              <m:t>0.040</m:t>
            </m:r>
          </m:e>
        </m:d>
      </m:oMath>
      <w:r>
        <w:t xml:space="preserve">,</w:t>
      </w:r>
      <w:r>
        <w:t xml:space="preserve"> </w:t>
      </w:r>
      <m:oMath>
        <m:r>
          <m:t>t</m:t>
        </m:r>
        <m:d>
          <m:dPr>
            <m:begChr m:val="("/>
            <m:endChr m:val=")"/>
            <m:sepChr m:val=""/>
            <m:grow/>
          </m:dPr>
          <m:e>
            <m:r>
              <m:t>499</m:t>
            </m:r>
          </m:e>
        </m:d>
        <m:r>
          <m:rPr>
            <m:sty m:val="p"/>
          </m:rPr>
          <m:t>=</m:t>
        </m:r>
        <m:r>
          <m:rPr>
            <m:sty m:val="p"/>
          </m:rPr>
          <m:t>−</m:t>
        </m:r>
        <m:r>
          <m:t>49.9</m:t>
        </m:r>
      </m:oMath>
      <w:r>
        <w:t xml:space="preserve">,</w:t>
      </w:r>
      <w:r>
        <w:t xml:space="preserve"> </w:t>
      </w:r>
      <m:oMath>
        <m:r>
          <m:t>p</m:t>
        </m:r>
        <m:r>
          <m:rPr>
            <m:sty m:val="p"/>
          </m:rPr>
          <m:t>&lt;</m:t>
        </m:r>
        <m:r>
          <m:t>2</m:t>
        </m:r>
        <m:r>
          <m:rPr>
            <m:sty m:val="p"/>
          </m:rPr>
          <m:t>⋅</m:t>
        </m:r>
        <m:sSup>
          <m:e>
            <m:r>
              <m:t>10</m:t>
            </m:r>
          </m:e>
          <m:sup>
            <m:r>
              <m:rPr>
                <m:sty m:val="p"/>
              </m:rPr>
              <m:t>−</m:t>
            </m:r>
            <m:r>
              <m:t>16</m:t>
            </m:r>
          </m:sup>
        </m:sSup>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(Figure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two supramodal areas also form part of this cluster: the posterior parietal association areas and the anterior cingulate cortex. The mouse sensorimotor cluster is characterized by high correlation values to human sensorimotor regions like the precentral gyrus, the cuneus, and the postcentral gyrus, as well as low correlation values to the piriform cortex and paraterminal gyrus. At this level of clustering, the remaining mouse supramodal subdivisions form three clusters. The retrosplenial area belongs to its own cluster, while the infralimbic and perirhinal areas cluster together. The similarity profile of the retrosplenial area is most similar to the sensorimotor cluster, and these two clusters are combined in the three-cluster solution. The remaining two mouse clusters are characterized by low correlations to the human cluster containing sensorimotor areas. This is especially true for the cluster containing the infralimbic and perirhinal areas.</w:t>
      </w:r>
    </w:p>
    <w:p>
      <w:pPr>
        <w:pStyle w:val="BodyText"/>
      </w:pPr>
      <w:r>
        <w:t xml:space="preserve">On the human side, the four-cluster solution also features a sensorimotor cluster, which contains regions like the pre- and post-central gyri, the cuneus, and Heschl’s gyrus. This cluster exhibits a high degree of similarity to the mouse sensorimotor cluster and low similarity to the mouse supramodal clusters. The isocortical regions not belonging to this cluster are split into three clusters. The majority of these remaining regions form a large cluster that contains areas like the cingulate gyrus and the frontal pole. The parolfactory gyri, parahippocampal gyrus and temporal pole form a separate cluster that exhibits high correlation to the mouse ectorhinal, orbital, and prelimbic areas. Finally, the paraterminal gyrus and piriform cortex are clustered together and exhibit high similarity to the mouse infralimbic area and low similarity to the mouse sensorimotor cluster.</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(Figure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isocortex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p>
      <w:pPr>
        <w:pStyle w:val="CaptionedFigure"/>
      </w:pPr>
      <w:r>
        <w:drawing>
          <wp:inline>
            <wp:extent cx="5943600" cy="4513421"/>
            <wp:effectExtent b="0" l="0" r="0" t="0"/>
            <wp:docPr descr="Figure 5. Similarity of mouse-human isocortical regions. (A) Maximal correlation distributions of mouse isocortical regions. Points and error bars represent mean and 95% confidence interval over latent space samples. Linear regression using average maximal correlation values: \beta = -0.042, 95% CI [-0.087, 0.003], t(17) = -1.854, p = 0.0812. (B) Distributions of average maximal correlation for sensorimotor and supramodal isocortical areas in each gene expression latent space. Grey lines correspond to individual latent spaces. Linear mixed-effects regression: \beta = -0.042, 95% CI [-0.044, -0.040], t(499) = -49.9, p &lt; 2 \cdot 10^{-16}. (C) Hierarchical clustering of mouse and human isocortical regions based on average latent space correlation values. Mouse regions are annotated as sensorimotor or supramodal. Four clusters were chosen for visualization using the elbow method. (D) Within-cluster sum of squared distances for different numbers of mouse and human isocortical clusters in the average latent space and initial homologous gene space. Source data 1. Related to Figure 5A and B. Source data 2. Related to Figure 5C. Source data 3. Related to Figure 5D." title="" id="41" name="Picture"/>
            <a:graphic>
              <a:graphicData uri="http://schemas.openxmlformats.org/drawingml/2006/picture">
                <pic:pic>
                  <pic:nvPicPr>
                    <pic:cNvPr descr="TranscriptomicSimilarity_elife_docx_files/figure-docx/results3-fig5-print-1.png" id="42" name="Picture"/>
                    <pic:cNvPicPr>
                      <a:picLocks noChangeArrowheads="1" noChangeAspect="1"/>
                    </pic:cNvPicPr>
                  </pic:nvPicPr>
                  <pic:blipFill>
                    <a:blip r:embed="rId40"/>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Figure 5. Similarity of mouse-human isocortical regions. (A) Maximal correlation distributions of mouse isocortical regions. Points and error bars represent mean and 95% confidence interval over latent space samples. Linear regression using average maximal correlation values:</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0.087</m:t>
            </m:r>
            <m:r>
              <m:rPr>
                <m:sty m:val="p"/>
              </m:rPr>
              <m:t>,</m:t>
            </m:r>
            <m:r>
              <m:t>0.003</m:t>
            </m:r>
          </m:e>
        </m:d>
      </m:oMath>
      <w:r>
        <w:t xml:space="preserve">,</w:t>
      </w:r>
      <w:r>
        <w:t xml:space="preserve"> </w:t>
      </w:r>
      <m:oMath>
        <m:r>
          <m:t>t</m:t>
        </m:r>
        <m:d>
          <m:dPr>
            <m:begChr m:val="("/>
            <m:endChr m:val=")"/>
            <m:sepChr m:val=""/>
            <m:grow/>
          </m:dPr>
          <m:e>
            <m:r>
              <m:t>17</m:t>
            </m:r>
          </m:e>
        </m:d>
        <m:r>
          <m:rPr>
            <m:sty m:val="p"/>
          </m:rPr>
          <m:t>=</m:t>
        </m:r>
        <m:r>
          <m:rPr>
            <m:sty m:val="p"/>
          </m:rPr>
          <m:t>−</m:t>
        </m:r>
        <m:r>
          <m:t>1.854</m:t>
        </m:r>
      </m:oMath>
      <w:r>
        <w:t xml:space="preserve">,</w:t>
      </w:r>
      <w:r>
        <w:t xml:space="preserve"> </w:t>
      </w:r>
      <m:oMath>
        <m:r>
          <m:t>p</m:t>
        </m:r>
        <m:r>
          <m:rPr>
            <m:sty m:val="p"/>
          </m:rPr>
          <m:t>=</m:t>
        </m:r>
        <m:r>
          <m:t>0.0812</m:t>
        </m:r>
      </m:oMath>
      <w:r>
        <w:t xml:space="preserve">. (B) Distributions of average maximal correlation for sensorimotor and supramodal isocortical areas in each gene expression latent space. Grey lines correspond to individual latent spaces. Linear mixed-effects regression:</w:t>
      </w:r>
      <w:r>
        <w:t xml:space="preserve"> </w:t>
      </w:r>
      <m:oMath>
        <m:r>
          <m:t>β</m:t>
        </m:r>
        <m:r>
          <m:rPr>
            <m:sty m:val="p"/>
          </m:rPr>
          <m:t>=</m:t>
        </m:r>
        <m:r>
          <m:rPr>
            <m:sty m:val="p"/>
          </m:rPr>
          <m:t>−</m:t>
        </m:r>
        <m:r>
          <m:t>0.042</m:t>
        </m:r>
      </m:oMath>
      <w:r>
        <w:t xml:space="preserve">, 95% CI</w:t>
      </w:r>
      <w:r>
        <w:t xml:space="preserve"> </w:t>
      </w:r>
      <m:oMath>
        <m:d>
          <m:dPr>
            <m:begChr m:val="["/>
            <m:endChr m:val="]"/>
            <m:sepChr m:val=""/>
            <m:grow/>
          </m:dPr>
          <m:e>
            <m:r>
              <m:rPr>
                <m:sty m:val="p"/>
              </m:rPr>
              <m:t>−</m:t>
            </m:r>
            <m:r>
              <m:t>0.044</m:t>
            </m:r>
            <m:r>
              <m:rPr>
                <m:sty m:val="p"/>
              </m:rPr>
              <m:t>,</m:t>
            </m:r>
            <m:r>
              <m:rPr>
                <m:sty m:val="p"/>
              </m:rPr>
              <m:t>−</m:t>
            </m:r>
            <m:r>
              <m:t>0.040</m:t>
            </m:r>
          </m:e>
        </m:d>
      </m:oMath>
      <w:r>
        <w:t xml:space="preserve">,</w:t>
      </w:r>
      <w:r>
        <w:t xml:space="preserve"> </w:t>
      </w:r>
      <m:oMath>
        <m:r>
          <m:t>t</m:t>
        </m:r>
        <m:d>
          <m:dPr>
            <m:begChr m:val="("/>
            <m:endChr m:val=")"/>
            <m:sepChr m:val=""/>
            <m:grow/>
          </m:dPr>
          <m:e>
            <m:r>
              <m:t>499</m:t>
            </m:r>
          </m:e>
        </m:d>
        <m:r>
          <m:rPr>
            <m:sty m:val="p"/>
          </m:rPr>
          <m:t>=</m:t>
        </m:r>
        <m:r>
          <m:rPr>
            <m:sty m:val="p"/>
          </m:rPr>
          <m:t>−</m:t>
        </m:r>
        <m:r>
          <m:t>49.9</m:t>
        </m:r>
      </m:oMath>
      <w:r>
        <w:t xml:space="preserve">,</w:t>
      </w:r>
      <w:r>
        <w:t xml:space="preserve"> </w:t>
      </w:r>
      <m:oMath>
        <m:r>
          <m:t>p</m:t>
        </m:r>
        <m:r>
          <m:rPr>
            <m:sty m:val="p"/>
          </m:rPr>
          <m:t>&lt;</m:t>
        </m:r>
        <m:r>
          <m:t>2</m:t>
        </m:r>
        <m:r>
          <m:rPr>
            <m:sty m:val="p"/>
          </m:rPr>
          <m:t>⋅</m:t>
        </m:r>
        <m:sSup>
          <m:e>
            <m:r>
              <m:t>10</m:t>
            </m:r>
          </m:e>
          <m:sup>
            <m:r>
              <m:rPr>
                <m:sty m:val="p"/>
              </m:rPr>
              <m:t>−</m:t>
            </m:r>
            <m:r>
              <m:t>16</m:t>
            </m:r>
          </m:sup>
        </m:sSup>
      </m:oMath>
      <w:r>
        <w:t xml:space="preserve">. (C) Hierarchical clustering of mouse and human isocortical regions based on average latent space correlation values. Mouse regions are annotated as sensorimotor or supramodal. Four clusters were chosen for visualization using the elbow method. (D) Within-cluster sum of squared distances for different numbers of mouse and human isocortical clusters in the average latent space and initial homologous gene space. Source data 1. Related to Figure 5A and B. Source data 2. Related to Figure 5C. Source data 3. Related to Figure 5D.</w:t>
      </w:r>
    </w:p>
    <w:bookmarkEnd w:id="43"/>
    <w:bookmarkStart w:id="47" w:name="results-4"/>
    <w:p>
      <w:pPr>
        <w:pStyle w:val="Heading3"/>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(Balsters et al., 2020; Schaeffer et al., 2020)</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(Neubert et al., 2014)</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(Figure 6A). We find that the human caudate and putamen consistently exhibit the strongest degree of similarity to the mouse caudoputamen. The median of the distributions for the caudate-caudoputamen pairs and putamen-caudoputamen pairs is 0.93, with modal values of 0.92 and 0.94, respectively. All latent spaces return correlations greater than 0.85 for caudate-caudoputamen and putamen-caudoputamen pairs. Beyond this expected top match, the caudate and putamen both exhibit high similarity to the nucleus accumbens and the fundus of striatum, with median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lower (</w:t>
      </w:r>
      <m:oMath>
        <m:r>
          <m:t>σ</m:t>
        </m:r>
        <m:r>
          <m:rPr>
            <m:sty m:val="p"/>
          </m:rPr>
          <m:t>=</m:t>
        </m:r>
        <m:r>
          <m:t>0.04</m:t>
        </m:r>
      </m:oMath>
      <w:r>
        <w:t xml:space="preserve">) compared with the equivalent variances for the caudate (</w:t>
      </w:r>
      <m:oMath>
        <m:r>
          <m:t>σ</m:t>
        </m:r>
        <m:r>
          <m:rPr>
            <m:sty m:val="p"/>
          </m:rPr>
          <m:t>=</m:t>
        </m:r>
        <m:r>
          <m:t>0.08</m:t>
        </m:r>
      </m:oMath>
      <w:r>
        <w:t xml:space="preserve">) and putamen (</w:t>
      </w:r>
      <m:oMath>
        <m:r>
          <m:t>σ</m:t>
        </m:r>
        <m:r>
          <m:rPr>
            <m:sty m:val="p"/>
          </m:rPr>
          <m:t>=</m:t>
        </m:r>
        <m:r>
          <m:t>0.08</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median values of 0.89, 0.86, and 0.87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(Figure 6B). We find that voxels in the caudoputamen exhibit a homogeneous pattern of similarity to both the caudate and the putamen. On average, voxels in the caudoputamen have a correlation of 0.92 to the caudate and 0.91 to the putamen, with standard deviations of 0.05 and 0.06 respectively. The caudate and putamen are associated with correlations of at least 0.90 in 79% and 73% of caudoputamen voxels. A number of voxels are also highly similar to the human nucleus accumbens, with an average correlation value of 0.86 and 30% of voxels returning a correlation of at least 0.90. The caudoputamen voxels most similar to the nucleus accumbens lie in the ventral-rostral part of the region. Of course, voxels in the mouse nucleus accumbens are also highly similar to the human nucleus accumbens, with an average of 0.89 and standard deviation of 0.06. While the human nucleus accumbens is the most strongly correlated region, a number of voxels also exhibit reasonably strong correlations to the substantia innominata and the amygdala. Indeed, 88% of voxels in the accumbens are correlated at a value of 0.7 or higher to the amygdala, and 57% of voxels pass this threshold for the substantia innominata.</w:t>
      </w:r>
    </w:p>
    <w:p>
      <w:pPr>
        <w:pStyle w:val="BodyText"/>
      </w:pPr>
      <w:r>
        <w:t xml:space="preserve">We additionally examined the proportion of latent spaces in which each voxel in the mouse striatum was maximally similar to the human target regions (Figure 6C). As expected, we find that voxels in the caudoputamen are most often maximally similar to the human caudate and putamen, with 77% of voxels in the caudoputamen being maximally similar to the caudate or putamen in at least 95% of latent spaces, and 59% of voxels being maximally similar to one of those targets in all latent spaces. Interestingly, we observe the emergence of a continuous bilateral pattern of specifity to the caudate and putamen, with voxels in the rostral and lateral-caudal parts of the caudoputamen being maximally similar to the caudate in a high proportion of latent spaces. In contrast, while voxels in the medial-rostral part of the caudoputamen are often maximally similar to the caudate, they are also maximally similar to the putamen in some of latent spaces. This map highlights subtle differences in the similarity between caudoputamen voxels and the caudate or putamen. While this pattern distinguishes the two regions on the basis of which is the top match, individual voxels have very similar correlation values to the targets (Figure 6B), with a mean difference in correlation of only 0.01. Beyond the caudoputamen, we find that the accumbens and olfactory tubercle in the mouse are consistently similar to the human nucleus accumbens, with 84% of mouse accumbens voxels and 75% of olfactory tubercle voxels having the human accumbens as their top match in at least 80% of latent spaces. For those voxels below this threshold, the human regions that are most often the top match are the amygdala and the piriform cortex.</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p>
      <w:pPr>
        <w:pStyle w:val="CaptionedFigure"/>
      </w:pPr>
      <w:r>
        <w:drawing>
          <wp:inline>
            <wp:extent cx="5943600" cy="5045868"/>
            <wp:effectExtent b="0" l="0" r="0" t="0"/>
            <wp:docPr descr="Figure 6. Similarity among mouse and human striatal regions. (A) Distributions over gene expression latent spaces of region-wise average correlation values for mouse and human striatal pairs. Human regions were chosen based on the AHBA ontology. Mouse target regions were chosen to be those with the highest average correlation values. (B) Latent space averaged correlations between voxels in the mouse striatum and human target regions. Target regions were selected based on the highest mean correlation across all striatal voxels. (C) Proportions of latent spaces in which mouse striatal voxels are maximally similar to human target regions. Source data 1. Related to Figure 6A. Source data 2. Related to Figure 6B. Source data 3. Related to Figure 6C. Source data 4. Related to Figure 6C. Source data 5. Related to Figure 6C." title="" id="45" name="Picture"/>
            <a:graphic>
              <a:graphicData uri="http://schemas.openxmlformats.org/drawingml/2006/picture">
                <pic:pic>
                  <pic:nvPicPr>
                    <pic:cNvPr descr="TranscriptomicSimilarity_elife_docx_files/figure-docx/results4-fig6-print-1.png" id="46" name="Picture"/>
                    <pic:cNvPicPr>
                      <a:picLocks noChangeArrowheads="1" noChangeAspect="1"/>
                    </pic:cNvPicPr>
                  </pic:nvPicPr>
                  <pic:blipFill>
                    <a:blip r:embed="rId44"/>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Figure 6. Similarity among mouse and human striatal regions. (A) Distributions over gene expression latent spaces of region-wise average correlation values for mouse and human striatal pairs. Human regions were chosen based on the AHBA ontology. Mouse target regions were chosen to be those with the highest average correlation values. (B) Latent space averaged correlations between voxels in the mouse striatum and human target regions. Target regions were selected based on the highest mean correlation across all striatal voxels. (C) Proportions of latent spaces in which mouse striatal voxels are maximally similar to human target regions. Source data 1. Related to Figure 6A. Source data 2. Related to Figure 6B. Source data 3. Related to Figure 6C. Source data 4. Related to Figure 6C. Source data 5. Related to Figure 6C.</w:t>
      </w:r>
    </w:p>
    <w:bookmarkEnd w:id="47"/>
    <w:bookmarkEnd w:id="48"/>
    <w:bookmarkStart w:id="49" w:name="discussion"/>
    <w:p>
      <w:pPr>
        <w:pStyle w:val="Heading2"/>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(Gompers et al., 2017; Horev et al., 2011; Pagani et al., 2021)</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(Ventura-Antunes et al., 2013)</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(Ortiz et al., 2020; Stahl et al., 2016; Vickovic et al., 2019)</w:t>
      </w:r>
      <w:r>
        <w:t xml:space="preserve">. Second, the approach of relying on all available genes is subject to noise. To address this issue, Myers</w:t>
      </w:r>
      <w:r>
        <w:t xml:space="preserve"> </w:t>
      </w:r>
      <w:r>
        <w:t xml:space="preserve">(Myers, 2017)</w:t>
      </w:r>
      <w:r>
        <w:t xml:space="preserve"> </w:t>
      </w:r>
      <w:r>
        <w:t xml:space="preserve">used a method of gene set selection to attempt to improve the correspondence between established mouse-human homologies. While this lead to improvement, it was only at the level of coarsely defined regions (e.g. isocortex-isocortex).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(Striedter and Northcutt, 2020)</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isocortical areas associated with sensorimotor processing than areas in supramodal isocortex. Primary areas, including the sensorimotor areas, are present in all mammals studied to date and likely part of the common ancestors of all mammals</w:t>
      </w:r>
      <w:r>
        <w:t xml:space="preserve"> </w:t>
      </w:r>
      <w:r>
        <w:t xml:space="preserve">(Kaas, 2011a; Krubitzer, 2007)</w:t>
      </w:r>
      <w:r>
        <w:t xml:space="preserve">. Although this common ancestor likely also had non-primary areas, it cannot be denied that association cortex expanded dramatically in primates and especially so in the human brain</w:t>
      </w:r>
      <w:r>
        <w:t xml:space="preserve"> </w:t>
      </w:r>
      <w:r>
        <w:t xml:space="preserve">(Chaplin et al., 2013; Mars et al., 2016a)</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(Kaas, 2011a)</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(Eichert et al., 2020)</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(Kaas, 2011b; Rudebeck and Izquierdo, 2022)</w:t>
      </w:r>
      <w:r>
        <w:t xml:space="preserve">, the similarity in transcriptomic signature mean that translations between the species is valid in many contexts. The supervised learning approach also provides interesting avenues for future research. For instance, rather than classifying all regions in the brain at once, separate models could be trained to classify regions belonging to different sub-trees in the neuroanatomical hierarchy (see Figure 5–supplement 1 and Figure 5–supplement 2). This type of approach requires more exploration however, such as where to split the hierarchy, how to optimize the classifiers for each sub-tree, and how to stitch all this information back together at the end in order to make comparisons between different sub-trees.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(Barron et al., 2021)</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(Liu et al., 2021)</w:t>
      </w:r>
      <w:r>
        <w:t xml:space="preserve">. In a positive sense, it will also help by establishing and improving our understanding of the many aspects in which the model and human brain do concur</w:t>
      </w:r>
      <w:r>
        <w:t xml:space="preserve"> </w:t>
      </w:r>
      <w:r>
        <w:t xml:space="preserve">(Mandino et al., 2021)</w:t>
      </w:r>
      <w:r>
        <w:t xml:space="preserve">. More ambitious still, it can provide a way in which highly diverse manifestations of certain disease syndromes (e.g. autism spectrum disorder)</w:t>
      </w:r>
      <w:r>
        <w:t xml:space="preserve"> </w:t>
      </w:r>
      <w:r>
        <w:t xml:space="preserve">(Grzadzinski et al., 2013; Simonoff et al., 2008)</w:t>
      </w:r>
      <w:r>
        <w:t xml:space="preserve"> </w:t>
      </w:r>
      <w:r>
        <w:t xml:space="preserve">and the availability of many distinct model strains</w:t>
      </w:r>
      <w:r>
        <w:t xml:space="preserve"> </w:t>
      </w:r>
      <w:r>
        <w:t xml:space="preserve">(Ellegood et al., 2015)</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49"/>
    <w:bookmarkStart w:id="70" w:name="materials-methods"/>
    <w:p>
      <w:pPr>
        <w:pStyle w:val="Heading2"/>
      </w:pPr>
      <w:r>
        <w:t xml:space="preserve">Materials and methods</w:t>
      </w:r>
    </w:p>
    <w:bookmarkStart w:id="51" w:name="mouse-gene-expression-data"/>
    <w:p>
      <w:pPr>
        <w:pStyle w:val="Heading3"/>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(Lein et al., 2007)</w:t>
      </w:r>
      <w:r>
        <w:t xml:space="preserve">. Specifically, we used 3D expression grid data, i.e. expression data aligned to the Allen Mouse Brain Common Coordinate Framework (CCFv3)</w:t>
      </w:r>
      <w:r>
        <w:t xml:space="preserve">(Wang et al., 2020)</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50">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51"/>
    <w:bookmarkStart w:id="54" w:name="human-gene-expression-data"/>
    <w:p>
      <w:pPr>
        <w:pStyle w:val="Heading3"/>
      </w:pPr>
      <w:r>
        <w:t xml:space="preserve">Human gene expression data</w:t>
      </w:r>
    </w:p>
    <w:p>
      <w:pPr>
        <w:pStyle w:val="FirstParagraph"/>
      </w:pPr>
      <w:r>
        <w:t xml:space="preserve">Human gene expression data was obtained from the Allen Human Brain Atlas</w:t>
      </w:r>
      <w:r>
        <w:t xml:space="preserve"> </w:t>
      </w:r>
      <w:r>
        <w:t xml:space="preserve">(Hawrylycz et al., 2012)</w:t>
      </w:r>
      <w:r>
        <w:t xml:space="preserve">. The data were downloaded from the Allen Institute’s API (</w:t>
      </w:r>
      <w:hyperlink r:id="rId52">
        <w:r>
          <w:rPr>
            <w:rStyle w:val="Hyperlink"/>
          </w:rPr>
          <w:t xml:space="preserve">http://api.brain-map.org</w:t>
        </w:r>
      </w:hyperlink>
      <w:r>
        <w:t xml:space="preserve">) and pre-processed using the</w:t>
      </w:r>
      <w:r>
        <w:t xml:space="preserve"> </w:t>
      </w:r>
      <w:r>
        <w:rPr>
          <w:rStyle w:val="VerbatimChar"/>
        </w:rPr>
        <w:t xml:space="preserve">abagen</w:t>
      </w:r>
      <w:r>
        <w:t xml:space="preserve"> </w:t>
      </w:r>
      <w:r>
        <w:t xml:space="preserve">package in Python (</w:t>
      </w:r>
      <w:hyperlink r:id="rId53">
        <w:r>
          <w:rPr>
            <w:rStyle w:val="Hyperlink"/>
          </w:rPr>
          <w:t xml:space="preserve">https://abagen.readthedocs.io/en/stable/</w:t>
        </w:r>
      </w:hyperlink>
      <w:r>
        <w:t xml:space="preserve">)</w:t>
      </w:r>
      <w:r>
        <w:t xml:space="preserve"> </w:t>
      </w:r>
      <w:r>
        <w:t xml:space="preserve">(Arnatkeviciūtė et al., 2019; Hawrylycz et al., 2012; Markello et al., 2021)</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pre-processing pipeline included probe selection using differential stability on data from all donors and intensity-based filtering of probes at a threshold of 0.5. The samples and genes were additionally normalized for each donor individually using a scaled robust sigmoid function. In practice, this pipeline was implemented using the</w:t>
      </w:r>
      <w:r>
        <w:t xml:space="preserve"> </w:t>
      </w:r>
      <w:r>
        <w:rPr>
          <w:rStyle w:val="VerbatimChar"/>
        </w:rPr>
        <w:t xml:space="preserve">get_samples_in_mask</w:t>
      </w:r>
      <w:r>
        <w:t xml:space="preserve"> </w:t>
      </w:r>
      <w:r>
        <w:t xml:space="preserve">function from the</w:t>
      </w:r>
      <w:r>
        <w:t xml:space="preserve"> </w:t>
      </w:r>
      <w:r>
        <w:rPr>
          <w:rStyle w:val="VerbatimChar"/>
        </w:rPr>
        <w:t xml:space="preserve">abagen</w:t>
      </w:r>
      <w:r>
        <w:t xml:space="preserve"> </w:t>
      </w:r>
      <w:r>
        <w:t xml:space="preserve">package. The remaining parameters were set to their default values. The output of the pre-processing pipeline was a gene-by-sample expression matrix with 15627 genes and 3702 samples across all donors.</w:t>
      </w:r>
    </w:p>
    <w:bookmarkEnd w:id="54"/>
    <w:bookmarkStart w:id="55" w:name="mouse-atlases"/>
    <w:p>
      <w:pPr>
        <w:pStyle w:val="Heading3"/>
      </w:pPr>
      <w:r>
        <w:t xml:space="preserve">Mouse atlases</w:t>
      </w:r>
    </w:p>
    <w:p>
      <w:pPr>
        <w:pStyle w:val="FirstParagraph"/>
      </w:pPr>
      <w:r>
        <w:t xml:space="preserve">We used a version of the DSURQE atlas from the Mouse Imaging Centre</w:t>
      </w:r>
      <w:r>
        <w:t xml:space="preserve"> </w:t>
      </w:r>
      <w:r>
        <w:t xml:space="preserve">(Dorr et al., 2008; Qiu et al., 2018; Richards et al., 2011; Steadman et al., 2014; Ullmann et al., 2013)</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55"/>
    <w:bookmarkStart w:id="56" w:name="human-atlases"/>
    <w:p>
      <w:pPr>
        <w:pStyle w:val="Heading3"/>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56"/>
    <w:bookmarkStart w:id="57" w:name="X3a18c6237b7b60a04a19a6c3665a467dff5468b"/>
    <w:p>
      <w:pPr>
        <w:pStyle w:val="Heading3"/>
      </w:pPr>
      <w:r>
        <w:t xml:space="preserve">Expression matrices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(NCBI, 2018)</w:t>
      </w:r>
      <w:r>
        <w:t xml:space="preserve">, resulting in 2835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normalized each voxel/sample across all homologous genes using a z-scoring procedure to create a normalized gene expression signature for each voxel/sample. We then centered the distribution of expression signatures in gene space by subtracting the mean expression of each homologous gene over all voxels/samples. Finally, we generated the aggregated gene-by-region expression matrices by averaging the normalized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57"/>
    <w:bookmarkStart w:id="59" w:name="gene-enrichment-analysis"/>
    <w:p>
      <w:pPr>
        <w:pStyle w:val="Heading3"/>
      </w:pPr>
      <w:r>
        <w:t xml:space="preserve">Gene enrichment analysis</w:t>
      </w:r>
    </w:p>
    <w:p>
      <w:pPr>
        <w:pStyle w:val="FirstParagraph"/>
      </w:pPr>
      <w:r>
        <w:t xml:space="preserve">We ran a gene enrichment analysis on the set of homologous genes obtained from the NCBI HomoloGene database. We first downloaded Gene Ontology data for biological process related modules from the Bader Lab at the University of Toronto (</w:t>
      </w:r>
      <w:hyperlink r:id="rId58">
        <w:r>
          <w:rPr>
            <w:rStyle w:val="Hyperlink"/>
          </w:rPr>
          <w:t xml:space="preserve">http://baderlab.org/GeneSets</w:t>
        </w:r>
      </w:hyperlink>
      <w:r>
        <w:t xml:space="preserve">). These data include a gene set of 16563 genes and a module set of 15757 biological process modules. Every module is associated with a subset of genes from the full gene set. For each module, we used a hypergeometric test to evaluate whether the homologous gene set was over-represented in the module subset, compared with the full gene set. The resulting p-values were adjusted for multiple comparisons using the false-discovery rate method</w:t>
      </w:r>
      <w:r>
        <w:t xml:space="preserve"> </w:t>
      </w:r>
      <w:r>
        <w:t xml:space="preserve">(Benjamini and Hochberg, 1995)</w:t>
      </w:r>
      <w:r>
        <w:t xml:space="preserve">. A total of 938 modules were found to be significant at a threshold of 0.001. The surviving modules were ordered according to their p-values and written out to a comma-separated values data file (Supplementary File 1). This analysis was carried out using the</w:t>
      </w:r>
      <w:r>
        <w:t xml:space="preserve"> </w:t>
      </w:r>
      <w:r>
        <w:rPr>
          <w:rStyle w:val="VerbatimChar"/>
        </w:rPr>
        <w:t xml:space="preserve">tmod</w:t>
      </w:r>
      <w:r>
        <w:t xml:space="preserve"> </w:t>
      </w:r>
      <w:r>
        <w:t xml:space="preserve">package in the R programming language.</w:t>
      </w:r>
    </w:p>
    <w:bookmarkEnd w:id="59"/>
    <w:bookmarkStart w:id="62" w:name="X3555a977d4cdf9f1ff4efff9ecbca194bf7d2d8"/>
    <w:p>
      <w:pPr>
        <w:pStyle w:val="Heading3"/>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2835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the</w:t>
      </w:r>
      <w:r>
        <w:t xml:space="preserve"> </w:t>
      </w:r>
      <w:r>
        <w:rPr>
          <w:iCs/>
          <w:i/>
        </w:rPr>
        <w:t xml:space="preserve">unilateral</w:t>
      </w:r>
      <w:r>
        <w:t xml:space="preserve"> </w:t>
      </w:r>
      <w:r>
        <w:t xml:space="preserve">brain mask from the sagittal data set to the coronal images in order to have the same spatial extent, and 2. we did not aggregate the expression of multiple in-situ hybridization experiments for those genes in the coronal set that were measured more than once. We then filtered these voxel-wise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Specifically,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optimized the neural network using the training set and evaluated its performance on the validation set. We repeated this construction, training, and validation procedure 5 times for every combination of hyperparameters.</w:t>
      </w:r>
    </w:p>
    <w:p>
      <w:pPr>
        <w:pStyle w:val="BodyText"/>
      </w:pPr>
      <w:r>
        <w:t xml:space="preserve">Using this validation approach, we tuned the number of hidden layers in the network, the number of hidden units per hidden layer, the amount of weight decay, the maximum learning rate, and the optimization method. The values we sampled were as follows:</w:t>
      </w:r>
    </w:p>
    <w:p>
      <w:pPr>
        <w:numPr>
          <w:ilvl w:val="0"/>
          <w:numId w:val="1001"/>
        </w:numPr>
        <w:pStyle w:val="Compact"/>
      </w:pPr>
      <w:r>
        <w:t xml:space="preserve">Number of hidden layers: 3, 4, 5</w:t>
      </w:r>
    </w:p>
    <w:p>
      <w:pPr>
        <w:numPr>
          <w:ilvl w:val="0"/>
          <w:numId w:val="1001"/>
        </w:numPr>
        <w:pStyle w:val="Compact"/>
      </w:pPr>
      <w:r>
        <w:t xml:space="preserve">Number of hidden units: 200, 500, 1000</w:t>
      </w:r>
    </w:p>
    <w:p>
      <w:pPr>
        <w:numPr>
          <w:ilvl w:val="0"/>
          <w:numId w:val="1001"/>
        </w:numPr>
        <w:pStyle w:val="Compact"/>
      </w:pPr>
      <w:r>
        <w:t xml:space="preserve">Weight decay: 0,</w:t>
      </w:r>
      <w:r>
        <w:t xml:space="preserve"> </w:t>
      </w:r>
      <m:oMath>
        <m:sSup>
          <m:e>
            <m:r>
              <m:t>10</m:t>
            </m:r>
          </m:e>
          <m:sup>
            <m:r>
              <m:rPr>
                <m:sty m:val="p"/>
              </m:rPr>
              <m:t>−</m:t>
            </m:r>
            <m:r>
              <m:t>6</m:t>
            </m:r>
          </m:sup>
        </m:sSup>
      </m:oMath>
      <w:r>
        <w:t xml:space="preserve">,</w:t>
      </w:r>
      <w:r>
        <w:t xml:space="preserve"> </w:t>
      </w:r>
      <m:oMath>
        <m:sSup>
          <m:e>
            <m:r>
              <m:t>10</m:t>
            </m:r>
          </m:e>
          <m:sup>
            <m:r>
              <m:rPr>
                <m:sty m:val="p"/>
              </m:rPr>
              <m:t>−</m:t>
            </m:r>
            <m:r>
              <m:t>3</m:t>
            </m:r>
          </m:sup>
        </m:sSup>
      </m:oMath>
    </w:p>
    <w:p>
      <w:pPr>
        <w:numPr>
          <w:ilvl w:val="0"/>
          <w:numId w:val="1001"/>
        </w:numPr>
        <w:pStyle w:val="Compact"/>
      </w:pPr>
      <w:r>
        <w:t xml:space="preserve">Maximum learning rate:</w:t>
      </w:r>
      <w:r>
        <w:t xml:space="preserve"> </w:t>
      </w:r>
      <m:oMath>
        <m:sSup>
          <m:e>
            <m:r>
              <m:t>10</m:t>
            </m:r>
          </m:e>
          <m:sup>
            <m:r>
              <m:rPr>
                <m:sty m:val="p"/>
              </m:rPr>
              <m:t>−</m:t>
            </m:r>
            <m:r>
              <m:t>5</m:t>
            </m:r>
          </m:sup>
        </m:sSup>
      </m:oMath>
      <w:r>
        <w:t xml:space="preserve">,</w:t>
      </w:r>
      <w:r>
        <w:t xml:space="preserve"> </w:t>
      </w:r>
      <m:oMath>
        <m:sSup>
          <m:e>
            <m:r>
              <m:t>10</m:t>
            </m:r>
          </m:e>
          <m:sup>
            <m:r>
              <m:rPr>
                <m:sty m:val="p"/>
              </m:rPr>
              <m:t>−</m:t>
            </m:r>
            <m:r>
              <m:t>4</m:t>
            </m:r>
          </m:sup>
        </m:sSup>
      </m:oMath>
      <w:r>
        <w:t xml:space="preserve">,</w:t>
      </w:r>
      <w:r>
        <w:t xml:space="preserve"> </w:t>
      </w:r>
      <m:oMath>
        <m:sSup>
          <m:e>
            <m:r>
              <m:t>10</m:t>
            </m:r>
          </m:e>
          <m:sup>
            <m:r>
              <m:rPr>
                <m:sty m:val="p"/>
              </m:rPr>
              <m:t>−</m:t>
            </m:r>
            <m:r>
              <m:t>3</m:t>
            </m:r>
          </m:sup>
        </m:sSup>
      </m:oMath>
      <w:r>
        <w:t xml:space="preserve">,</w:t>
      </w:r>
      <w:r>
        <w:t xml:space="preserve"> </w:t>
      </w:r>
      <m:oMath>
        <m:sSup>
          <m:e>
            <m:r>
              <m:t>10</m:t>
            </m:r>
          </m:e>
          <m:sup>
            <m:r>
              <m:rPr>
                <m:sty m:val="p"/>
              </m:rPr>
              <m:t>−</m:t>
            </m:r>
            <m:r>
              <m:t>2</m:t>
            </m:r>
          </m:sup>
        </m:sSup>
      </m:oMath>
      <w:r>
        <w:t xml:space="preserve">,</w:t>
      </w:r>
      <w:r>
        <w:t xml:space="preserve"> </w:t>
      </w:r>
      <m:oMath>
        <m:sSup>
          <m:e>
            <m:r>
              <m:t>10</m:t>
            </m:r>
          </m:e>
          <m:sup>
            <m:r>
              <m:rPr>
                <m:sty m:val="p"/>
              </m:rPr>
              <m:t>−</m:t>
            </m:r>
            <m:r>
              <m:t>6</m:t>
            </m:r>
          </m:sup>
        </m:sSup>
      </m:oMath>
      <w:r>
        <w:t xml:space="preserve">,</w:t>
      </w:r>
      <w:r>
        <w:t xml:space="preserve"> </w:t>
      </w:r>
      <m:oMath>
        <m:sSup>
          <m:e>
            <m:r>
              <m:t>10</m:t>
            </m:r>
          </m:e>
          <m:sup>
            <m:r>
              <m:rPr>
                <m:sty m:val="p"/>
              </m:rPr>
              <m:t>−</m:t>
            </m:r>
            <m:r>
              <m:t>1</m:t>
            </m:r>
          </m:sup>
        </m:sSup>
      </m:oMath>
    </w:p>
    <w:p>
      <w:pPr>
        <w:numPr>
          <w:ilvl w:val="0"/>
          <w:numId w:val="1001"/>
        </w:numPr>
        <w:pStyle w:val="Compact"/>
      </w:pPr>
      <w:r>
        <w:t xml:space="preserve">Optimizer:</w:t>
      </w:r>
      <w:r>
        <w:t xml:space="preserve"> </w:t>
      </w:r>
      <w:r>
        <w:rPr>
          <w:rStyle w:val="VerbatimChar"/>
        </w:rPr>
        <w:t xml:space="preserve">SGD</w:t>
      </w:r>
      <w:r>
        <w:t xml:space="preserve">,</w:t>
      </w:r>
      <w:r>
        <w:t xml:space="preserve"> </w:t>
      </w:r>
      <w:r>
        <w:rPr>
          <w:rStyle w:val="VerbatimChar"/>
        </w:rPr>
        <w:t xml:space="preserve">AdamW</w:t>
      </w:r>
    </w:p>
    <w:p>
      <w:pPr>
        <w:pStyle w:val="FirstParagraph"/>
      </w:pPr>
      <w:r>
        <w:t xml:space="preserve">All models were trained over 200 epochs using a one-cycle learning rate policy. The activation function used in the forward pass was the rectified linear unit (ReLU) and the loss function was the negative log-likelihood loss. We found that the best-performing model had 3 hidden layers, 200 neurons per layer, and no weight decay. It was optimized using the AdamW optimization algorithm</w:t>
      </w:r>
      <w:r>
        <w:t xml:space="preserve"> </w:t>
      </w:r>
      <w:r>
        <w:t xml:space="preserve">(Loshchilov and Hutter, 2019)</w:t>
      </w:r>
      <w:r>
        <w:t xml:space="preserve"> </w:t>
      </w:r>
      <w:r>
        <w:t xml:space="preserve">with a maximum learning rate of</w:t>
      </w:r>
      <w:r>
        <w:t xml:space="preserve"> </w:t>
      </w:r>
      <m:oMath>
        <m:sSup>
          <m:e>
            <m:r>
              <m:t>10</m:t>
            </m:r>
          </m:e>
          <m:sup>
            <m:r>
              <m:rPr>
                <m:sty m:val="p"/>
              </m:rPr>
              <m:t>−</m:t>
            </m:r>
            <m:r>
              <m:t>5</m:t>
            </m:r>
          </m:sup>
        </m:sSup>
      </m:oMath>
      <w:r>
        <w:t xml:space="preserve">. This model returned an average loss of 0.215 on the training sets and of 1.224 on the validation sets. The average training classification accuracy was 0.936 and the validation accuracy was 0.597.</w:t>
      </w:r>
    </w:p>
    <w:p>
      <w:pPr>
        <w:pStyle w:val="BodyText"/>
      </w:pPr>
      <w:r>
        <w:t xml:space="preserve">Using the optimal hyperparameters, we trained the multi-layer perceptron on the full bilateral coronal voxel-wise expression matrix. We used the trained network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model. To create the latent space data representations, we applied this network to the mouse and human regional and voxel-/sample-wise expression matrices. The resulting matrices have 200 columns corresponding to the hidden units and rows corresponding to the number of regions, voxels, or samples in the mouse and human matrices. This process was repeated 500 times to generate 500 latent spaces.</w:t>
      </w:r>
    </w:p>
    <w:p>
      <w:pPr>
        <w:pStyle w:val="BodyText"/>
      </w:pPr>
      <w:r>
        <w:t xml:space="preserve">These models were implemented in Python using PyTorch (</w:t>
      </w:r>
      <w:hyperlink r:id="rId60">
        <w:r>
          <w:rPr>
            <w:rStyle w:val="Hyperlink"/>
          </w:rPr>
          <w:t xml:space="preserve">https://pytorch.org</w:t>
        </w:r>
      </w:hyperlink>
      <w:r>
        <w:t xml:space="preserve">) and the</w:t>
      </w:r>
      <w:r>
        <w:t xml:space="preserve"> </w:t>
      </w:r>
      <w:r>
        <w:rPr>
          <w:rStyle w:val="VerbatimChar"/>
        </w:rPr>
        <w:t xml:space="preserve">skorch</w:t>
      </w:r>
      <w:r>
        <w:t xml:space="preserve"> </w:t>
      </w:r>
      <w:r>
        <w:t xml:space="preserve">package (</w:t>
      </w:r>
      <w:hyperlink r:id="rId61">
        <w:r>
          <w:rPr>
            <w:rStyle w:val="Hyperlink"/>
          </w:rPr>
          <w:t xml:space="preserve">https://skorch.readthedocs.io/en/stable/</w:t>
        </w:r>
      </w:hyperlink>
      <w:r>
        <w:t xml:space="preserve">).</w:t>
      </w:r>
    </w:p>
    <w:bookmarkEnd w:id="62"/>
    <w:bookmarkStart w:id="64" w:name="X455fb561d95154f47abd25c299b3e65fe930371"/>
    <w:p>
      <w:pPr>
        <w:pStyle w:val="Heading3"/>
      </w:pPr>
      <w:r>
        <w:t xml:space="preserve">Multi-layer perceptron feature importance</w:t>
      </w:r>
    </w:p>
    <w:p>
      <w:pPr>
        <w:pStyle w:val="FirstParagraph"/>
      </w:pPr>
      <w:r>
        <w:t xml:space="preserve">We used integrated gradients to evaluate the contribution of different genes in the classification of mouse atlas labels. Since the homologous gene inputs contribute to the classification of distinct labels in different ways, we examined the feature attributions for three regions: the caudoputamen, the primary motor area, and the infralimbic area. Using the trained multi-layer perceptron, we computed integrated gradients for each of these three regions. We then averaged the values over all input voxels for each gene, resulting in a vector of gene attributions for each of the three example regions. This process was repeated for 200 training runs of the neural network. We then averaged the gene importance vectors of each region over all training runs to get a summary of gene importance. This process was implemented using the</w:t>
      </w:r>
      <w:r>
        <w:t xml:space="preserve"> </w:t>
      </w:r>
      <w:r>
        <w:rPr>
          <w:rStyle w:val="VerbatimChar"/>
        </w:rPr>
        <w:t xml:space="preserve">IntegratedGradients</w:t>
      </w:r>
      <w:r>
        <w:t xml:space="preserve"> </w:t>
      </w:r>
      <w:r>
        <w:t xml:space="preserve">function from the</w:t>
      </w:r>
      <w:r>
        <w:t xml:space="preserve"> </w:t>
      </w:r>
      <w:r>
        <w:rPr>
          <w:rStyle w:val="VerbatimChar"/>
        </w:rPr>
        <w:t xml:space="preserve">captum</w:t>
      </w:r>
      <w:r>
        <w:t xml:space="preserve"> </w:t>
      </w:r>
      <w:r>
        <w:t xml:space="preserve">package in Python (</w:t>
      </w:r>
      <w:hyperlink r:id="rId63">
        <w:r>
          <w:rPr>
            <w:rStyle w:val="Hyperlink"/>
          </w:rPr>
          <w:t xml:space="preserve">https://captum.ai/</w:t>
        </w:r>
      </w:hyperlink>
      <w:r>
        <w:t xml:space="preserve">).</w:t>
      </w:r>
    </w:p>
    <w:bookmarkEnd w:id="64"/>
    <w:bookmarkStart w:id="65" w:name="statistical-modelling"/>
    <w:p>
      <w:pPr>
        <w:pStyle w:val="Heading3"/>
      </w:pPr>
      <w:r>
        <w:t xml:space="preserve">Statistical modelling</w:t>
      </w:r>
    </w:p>
    <w:p>
      <w:pPr>
        <w:pStyle w:val="FirstParagraph"/>
      </w:pPr>
      <w:r>
        <w:t xml:space="preserve">To quantify the improvement in the mouse-human matches when using the latent spaces versus the original gene expression space (Figures 3 and 4), we used a set of logistic regression models to estimate the probability that the rank difference was less than or equal to zero. To estimate the overall improvement due to the latent spaces, we created a binary variable to encode whether the average rank difference over latent spaces for each region met the success criterion. This variable was then used as our target in a logistic regression with no regressors. Once the model was fit, we applied the logistic function to the intercept parameter estimate to get the corresponding estimate for the Bernoulli probability,</w:t>
      </w:r>
      <w:r>
        <w:t xml:space="preserve"> </w:t>
      </w:r>
      <m:oMath>
        <m:sSub>
          <m:e>
            <m:r>
              <m:t>p</m:t>
            </m:r>
          </m:e>
          <m:sub>
            <m:r>
              <m:rPr>
                <m:nor/>
                <m:sty m:val="p"/>
              </m:rPr>
              <m:t>B</m:t>
            </m:r>
          </m:sub>
        </m:sSub>
      </m:oMath>
      <w:r>
        <w:t xml:space="preserve">. This transformation was also applied to the bounds on the variance estimate for the intercept to get the corresponding confidence interval. Using the estimated Bernouilli probability, we calculated the corresponding number of successes,</w:t>
      </w:r>
      <w:r>
        <w:t xml:space="preserve"> </w:t>
      </w:r>
      <m:oMath>
        <m:r>
          <m:t>k</m:t>
        </m:r>
      </m:oMath>
      <w:r>
        <w:t xml:space="preserve">. We then evaluated the probability of obtaining at least</w:t>
      </w:r>
      <w:r>
        <w:t xml:space="preserve"> </w:t>
      </w:r>
      <m:oMath>
        <m:r>
          <m:t>k</m:t>
        </m:r>
      </m:oMath>
      <w:r>
        <w:t xml:space="preserve"> </w:t>
      </w:r>
      <w:r>
        <w:t xml:space="preserve">successful outcomes under the null binomial distribution,</w:t>
      </w:r>
      <w:r>
        <w:t xml:space="preserve"> </w:t>
      </w:r>
      <m:oMath>
        <m:r>
          <m:t>B</m:t>
        </m:r>
        <m:d>
          <m:dPr>
            <m:begChr m:val="("/>
            <m:endChr m:val=")"/>
            <m:sepChr m:val=""/>
            <m:grow/>
          </m:dPr>
          <m:e>
            <m:r>
              <m:t>n</m:t>
            </m:r>
            <m:r>
              <m:rPr>
                <m:sty m:val="p"/>
              </m:rPr>
              <m:t>,</m:t>
            </m:r>
            <m:r>
              <m:t>0.5</m:t>
            </m:r>
          </m:e>
        </m:d>
      </m:oMath>
      <w:r>
        <w:t xml:space="preserve">. The parameter</w:t>
      </w:r>
      <w:r>
        <w:t xml:space="preserve"> </w:t>
      </w:r>
      <m:oMath>
        <m:r>
          <m:t>n</m:t>
        </m:r>
      </m:oMath>
      <w:r>
        <w:t xml:space="preserve"> </w:t>
      </w:r>
      <w:r>
        <w:t xml:space="preserve">was taken to be the number of brain regions under consideration. We additionally applied this approach on a region-wise basis to evaluate the likelihood of a region seeing improvement in the latent spaces. In this case, the null distribution was</w:t>
      </w:r>
      <w:r>
        <w:t xml:space="preserve"> </w:t>
      </w:r>
      <m:oMath>
        <m:r>
          <m:t>B</m:t>
        </m:r>
        <m:d>
          <m:dPr>
            <m:begChr m:val="("/>
            <m:endChr m:val=")"/>
            <m:sepChr m:val=""/>
            <m:grow/>
          </m:dPr>
          <m:e>
            <m:r>
              <m:t>500</m:t>
            </m:r>
            <m:r>
              <m:rPr>
                <m:sty m:val="p"/>
              </m:rPr>
              <m:t>,</m:t>
            </m:r>
            <m:r>
              <m:t>0.5</m:t>
            </m:r>
          </m:e>
        </m:d>
      </m:oMath>
      <w:r>
        <w:t xml:space="preserve"> </w:t>
      </w:r>
      <w:r>
        <w:t xml:space="preserve">for each region. The resulting p-values were adjusted for multiple comparisons using the false-discovery rate method</w:t>
      </w:r>
      <w:r>
        <w:t xml:space="preserve"> </w:t>
      </w:r>
      <w:r>
        <w:t xml:space="preserve">(Benjamini and Hochberg, 1995)</w:t>
      </w:r>
      <w:r>
        <w:t xml:space="preserve">. These models were implemented using the</w:t>
      </w:r>
      <w:r>
        <w:t xml:space="preserve"> </w:t>
      </w:r>
      <w:r>
        <w:rPr>
          <w:rStyle w:val="VerbatimChar"/>
        </w:rPr>
        <w:t xml:space="preserve">glm</w:t>
      </w:r>
      <w:r>
        <w:t xml:space="preserve"> </w:t>
      </w:r>
      <w:r>
        <w:t xml:space="preserve">function from the</w:t>
      </w:r>
      <w:r>
        <w:t xml:space="preserve"> </w:t>
      </w:r>
      <w:r>
        <w:rPr>
          <w:rStyle w:val="VerbatimChar"/>
        </w:rPr>
        <w:t xml:space="preserve">stats</w:t>
      </w:r>
      <w:r>
        <w:t xml:space="preserve"> </w:t>
      </w:r>
      <w:r>
        <w:t xml:space="preserve">package in the R programming language.</w:t>
      </w:r>
    </w:p>
    <w:p>
      <w:pPr>
        <w:pStyle w:val="BodyText"/>
      </w:pPr>
      <w:r>
        <w:t xml:space="preserve">In our comparison of sensorimotor and supramodal cortical regions (Figure 5), we used linear models to evaluate the impact of cortex type on maximal correlation values. In the first instance, we computed each region’s average maximal correlation over all latent spaces. We then regressed those average values against a binary variable indicating whether the regions were sensorimotor or supramodal. Here we used a simple linear regression. In the second instance, for each latent space we computed average maximal correlation values for sensorimotor regions and supramodal regions. We then regressed these average values against a binary variable as described above. In this case we used a linear mixed-effects regression with a random intercept term to control for observations coming from the same latent space. These models were implemented in the R programming language. The simple linear regression was implemented using the</w:t>
      </w:r>
      <w:r>
        <w:t xml:space="preserve"> </w:t>
      </w:r>
      <w:r>
        <w:rPr>
          <w:rStyle w:val="VerbatimChar"/>
        </w:rPr>
        <w:t xml:space="preserve">lm</w:t>
      </w:r>
      <w:r>
        <w:t xml:space="preserve"> </w:t>
      </w:r>
      <w:r>
        <w:t xml:space="preserve">function from the</w:t>
      </w:r>
      <w:r>
        <w:t xml:space="preserve"> </w:t>
      </w:r>
      <w:r>
        <w:rPr>
          <w:rStyle w:val="VerbatimChar"/>
        </w:rPr>
        <w:t xml:space="preserve">stats</w:t>
      </w:r>
      <w:r>
        <w:t xml:space="preserve"> </w:t>
      </w:r>
      <w:r>
        <w:t xml:space="preserve">package, while the linear mixed-effects regression was implemented using the</w:t>
      </w:r>
      <w:r>
        <w:t xml:space="preserve"> </w:t>
      </w:r>
      <w:r>
        <w:rPr>
          <w:rStyle w:val="VerbatimChar"/>
        </w:rPr>
        <w:t xml:space="preserve">lmer</w:t>
      </w:r>
      <w:r>
        <w:t xml:space="preserve"> </w:t>
      </w:r>
      <w:r>
        <w:t xml:space="preserve">function from the</w:t>
      </w:r>
      <w:r>
        <w:t xml:space="preserve"> </w:t>
      </w:r>
      <w:r>
        <w:rPr>
          <w:rStyle w:val="VerbatimChar"/>
        </w:rPr>
        <w:t xml:space="preserve">lme4</w:t>
      </w:r>
      <w:r>
        <w:t xml:space="preserve"> </w:t>
      </w:r>
      <w:r>
        <w:t xml:space="preserve">package. The</w:t>
      </w:r>
      <w:r>
        <w:t xml:space="preserve"> </w:t>
      </w:r>
      <w:r>
        <w:rPr>
          <w:rStyle w:val="VerbatimChar"/>
        </w:rPr>
        <w:t xml:space="preserve">lmerTest</w:t>
      </w:r>
      <w:r>
        <w:t xml:space="preserve"> </w:t>
      </w:r>
      <w:r>
        <w:t xml:space="preserve">package was used to estimate the degrees of freedom in the mixed-effects model and perform hypothesis testing.</w:t>
      </w:r>
    </w:p>
    <w:bookmarkEnd w:id="65"/>
    <w:bookmarkStart w:id="69" w:name="data-and-code-availability"/>
    <w:p>
      <w:pPr>
        <w:pStyle w:val="Heading3"/>
      </w:pPr>
      <w:r>
        <w:t xml:space="preserve">Data and code availability</w:t>
      </w:r>
    </w:p>
    <w:p>
      <w:pPr>
        <w:pStyle w:val="FirstParagraph"/>
      </w:pPr>
      <w:r>
        <w:t xml:space="preserve">This manuscript and all figures were generated programmatically using R Markdown (</w:t>
      </w:r>
      <w:hyperlink r:id="rId66">
        <w:r>
          <w:rPr>
            <w:rStyle w:val="Hyperlink"/>
          </w:rPr>
          <w:t xml:space="preserve">https://rmarkdown.rstudio.com</w:t>
        </w:r>
      </w:hyperlink>
      <w:r>
        <w:t xml:space="preserve">) and</w:t>
      </w:r>
      <w:r>
        <w:t xml:space="preserve"> </w:t>
      </w:r>
      <w:r>
        <w:t xml:space="preserve">(</w:t>
      </w:r>
      <w:hyperlink r:id="rId6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52">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68">
        <w:r>
          <w:rPr>
            <w:rStyle w:val="Hyperlink"/>
          </w:rPr>
          <w:t xml:space="preserve">https://github.com/abeaucha/MouseHumanTranscriptomicSimilarity/</w:t>
        </w:r>
      </w:hyperlink>
      <w:r>
        <w:t xml:space="preserve">.</w:t>
      </w:r>
    </w:p>
    <w:bookmarkEnd w:id="69"/>
    <w:bookmarkEnd w:id="70"/>
    <w:bookmarkStart w:id="71" w:name="acknowledgments"/>
    <w:p>
      <w:pPr>
        <w:pStyle w:val="Heading2"/>
      </w:pPr>
      <w:r>
        <w:t xml:space="preserve">Acknowledgments</w:t>
      </w:r>
    </w:p>
    <w:p>
      <w:pPr>
        <w:pStyle w:val="FirstParagraph"/>
      </w:pPr>
      <w:r>
        <w:t xml:space="preserve">We thank C. Hammill, D.J. Fernandes, E. Anagnostou, B.J. Nieman, and E. Sibille for providing advice and for interesting conceptual discussions. This study was supported by the Canadian Institutes of Health Research (doctoral funding and foreign study award for A.B.). The Wellcome Centre for Integrative Neuroimaging is supported by core funding from the Wellcome Trust (203139/Z/16/Z).</w:t>
      </w:r>
    </w:p>
    <w:bookmarkEnd w:id="71"/>
    <w:bookmarkStart w:id="72" w:name="competing-interests"/>
    <w:p>
      <w:pPr>
        <w:pStyle w:val="Heading2"/>
      </w:pPr>
      <w:r>
        <w:t xml:space="preserve">Competing interests</w:t>
      </w:r>
    </w:p>
    <w:p>
      <w:pPr>
        <w:pStyle w:val="FirstParagraph"/>
      </w:pPr>
      <w:r>
        <w:t xml:space="preserve">The authors declare that they have no competing interests.</w:t>
      </w:r>
    </w:p>
    <w:bookmarkEnd w:id="72"/>
    <w:bookmarkStart w:id="188" w:name="references"/>
    <w:p>
      <w:pPr>
        <w:pStyle w:val="Heading2"/>
      </w:pPr>
      <w:r>
        <w:t xml:space="preserve">References</w:t>
      </w:r>
    </w:p>
    <w:bookmarkStart w:id="187" w:name="refs"/>
    <w:bookmarkStart w:id="74" w:name="ref-arnatkeviciute_practical_2019"/>
    <w:p>
      <w:pPr>
        <w:pStyle w:val="Bibliography"/>
      </w:pPr>
      <w:r>
        <w:t xml:space="preserve">Arnatkeviciūtė A, Fulcher BD, Fornito A. 2019. A practical guide to linking brain-wide gene expression and neuroimaging data.</w:t>
      </w:r>
      <w:r>
        <w:t xml:space="preserve"> </w:t>
      </w:r>
      <w:r>
        <w:rPr>
          <w:iCs/>
          <w:i/>
        </w:rPr>
        <w:t xml:space="preserve">NeuroImage</w:t>
      </w:r>
      <w:r>
        <w:t xml:space="preserve"> </w:t>
      </w:r>
      <w:r>
        <w:rPr>
          <w:bCs/>
          <w:b/>
        </w:rPr>
        <w:t xml:space="preserve">189</w:t>
      </w:r>
      <w:r>
        <w:t xml:space="preserve">:353–367. doi:</w:t>
      </w:r>
      <w:hyperlink r:id="rId73">
        <w:r>
          <w:rPr>
            <w:rStyle w:val="Hyperlink"/>
          </w:rPr>
          <w:t xml:space="preserve">10.1016/j.neuroimage.2019.01.011</w:t>
        </w:r>
      </w:hyperlink>
    </w:p>
    <w:bookmarkEnd w:id="74"/>
    <w:bookmarkStart w:id="76" w:name="ref-balsters_primate_2020"/>
    <w:p>
      <w:pPr>
        <w:pStyle w:val="Bibliography"/>
      </w:pPr>
      <w:r>
        <w:t xml:space="preserve">Balsters JH, Zerbi V, Sallet J, Wenderoth N, Mars RB. 2020. Primate homologs of mouse cortico-striatal circuits.</w:t>
      </w:r>
      <w:r>
        <w:t xml:space="preserve"> </w:t>
      </w:r>
      <w:r>
        <w:rPr>
          <w:iCs/>
          <w:i/>
        </w:rPr>
        <w:t xml:space="preserve">eLife</w:t>
      </w:r>
      <w:r>
        <w:t xml:space="preserve"> </w:t>
      </w:r>
      <w:r>
        <w:rPr>
          <w:bCs/>
          <w:b/>
        </w:rPr>
        <w:t xml:space="preserve">9</w:t>
      </w:r>
      <w:r>
        <w:t xml:space="preserve">:24. doi:</w:t>
      </w:r>
      <w:hyperlink r:id="rId75">
        <w:r>
          <w:rPr>
            <w:rStyle w:val="Hyperlink"/>
          </w:rPr>
          <w:t xml:space="preserve">10.7554/eLife.53680</w:t>
        </w:r>
      </w:hyperlink>
    </w:p>
    <w:bookmarkEnd w:id="76"/>
    <w:bookmarkStart w:id="78" w:name="ref-barron_cross-species_2021"/>
    <w:p>
      <w:pPr>
        <w:pStyle w:val="Bibliography"/>
      </w:pPr>
      <w:r>
        <w:t xml:space="preserve">Barron HC, Mars RB, Dupret D, Lerch JP, Sampaio-Baptista C. 2021. Cross-species neuroscience: Closing the explanatory gap.</w:t>
      </w:r>
      <w:r>
        <w:t xml:space="preserve"> </w:t>
      </w:r>
      <w:r>
        <w:rPr>
          <w:iCs/>
          <w:i/>
        </w:rPr>
        <w:t xml:space="preserve">Philosophical Transactions of the Royal Society B: Biological Sciences</w:t>
      </w:r>
      <w:r>
        <w:t xml:space="preserve"> </w:t>
      </w:r>
      <w:r>
        <w:rPr>
          <w:bCs/>
          <w:b/>
        </w:rPr>
        <w:t xml:space="preserve">376</w:t>
      </w:r>
      <w:r>
        <w:t xml:space="preserve">:20190633. doi:</w:t>
      </w:r>
      <w:hyperlink r:id="rId77">
        <w:r>
          <w:rPr>
            <w:rStyle w:val="Hyperlink"/>
          </w:rPr>
          <w:t xml:space="preserve">10.1098/rstb.2019.0633</w:t>
        </w:r>
      </w:hyperlink>
    </w:p>
    <w:bookmarkEnd w:id="78"/>
    <w:bookmarkStart w:id="80" w:name="ref-benjamini_controlling_1995"/>
    <w:p>
      <w:pPr>
        <w:pStyle w:val="Bibliography"/>
      </w:pPr>
      <w:r>
        <w:t xml:space="preserve">Benjamini Y, Hochberg Y. 1995.</w:t>
      </w:r>
      <w:r>
        <w:t xml:space="preserve"> </w:t>
      </w:r>
      <w:hyperlink r:id="rId79">
        <w:r>
          <w:rPr>
            <w:rStyle w:val="Hyperlink"/>
          </w:rPr>
          <w:t xml:space="preserve">Controlling the</w:t>
        </w:r>
        <w:r>
          <w:rPr>
            <w:rStyle w:val="Hyperlink"/>
          </w:rPr>
          <w:t xml:space="preserve"> </w:t>
        </w:r>
        <w:r>
          <w:rPr>
            <w:rStyle w:val="Hyperlink"/>
          </w:rPr>
          <w:t xml:space="preserve">False</w:t>
        </w:r>
        <w:r>
          <w:rPr>
            <w:rStyle w:val="Hyperlink"/>
          </w:rPr>
          <w:t xml:space="preserve"> </w:t>
        </w:r>
        <w:r>
          <w:rPr>
            <w:rStyle w:val="Hyperlink"/>
          </w:rPr>
          <w:t xml:space="preserve">Discovery</w:t>
        </w:r>
        <w:r>
          <w:rPr>
            <w:rStyle w:val="Hyperlink"/>
          </w:rPr>
          <w:t xml:space="preserve"> </w:t>
        </w:r>
        <w:r>
          <w:rPr>
            <w:rStyle w:val="Hyperlink"/>
          </w:rPr>
          <w:t xml:space="preserve">Rate</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Practical</w:t>
        </w:r>
        <w:r>
          <w:rPr>
            <w:rStyle w:val="Hyperlink"/>
          </w:rPr>
          <w:t xml:space="preserve"> </w:t>
        </w:r>
        <w:r>
          <w:rPr>
            <w:rStyle w:val="Hyperlink"/>
          </w:rPr>
          <w:t xml:space="preserve">and</w:t>
        </w:r>
        <w:r>
          <w:rPr>
            <w:rStyle w:val="Hyperlink"/>
          </w:rPr>
          <w:t xml:space="preserve"> </w:t>
        </w:r>
        <w:r>
          <w:rPr>
            <w:rStyle w:val="Hyperlink"/>
          </w:rPr>
          <w:t xml:space="preserve">Powerful</w:t>
        </w:r>
        <w:r>
          <w:rPr>
            <w:rStyle w:val="Hyperlink"/>
          </w:rPr>
          <w:t xml:space="preserve"> </w:t>
        </w:r>
        <w:r>
          <w:rPr>
            <w:rStyle w:val="Hyperlink"/>
          </w:rPr>
          <w:t xml:space="preserve">Approach</w:t>
        </w:r>
        <w:r>
          <w:rPr>
            <w:rStyle w:val="Hyperlink"/>
          </w:rPr>
          <w:t xml:space="preserve"> </w:t>
        </w:r>
        <w:r>
          <w:rPr>
            <w:rStyle w:val="Hyperlink"/>
          </w:rPr>
          <w:t xml:space="preserve">to</w:t>
        </w:r>
        <w:r>
          <w:rPr>
            <w:rStyle w:val="Hyperlink"/>
          </w:rPr>
          <w:t xml:space="preserve"> </w:t>
        </w:r>
        <w:r>
          <w:rPr>
            <w:rStyle w:val="Hyperlink"/>
          </w:rPr>
          <w:t xml:space="preserve">Multiple</w:t>
        </w:r>
        <w:r>
          <w:rPr>
            <w:rStyle w:val="Hyperlink"/>
          </w:rPr>
          <w:t xml:space="preserve"> </w:t>
        </w:r>
        <w:r>
          <w:rPr>
            <w:rStyle w:val="Hyperlink"/>
          </w:rPr>
          <w:t xml:space="preserve">Testing</w:t>
        </w:r>
      </w:hyperlink>
      <w:r>
        <w:t xml:space="preserve">.</w:t>
      </w:r>
      <w:r>
        <w:t xml:space="preserve"> </w:t>
      </w:r>
      <w:r>
        <w:rPr>
          <w:iCs/>
          <w:i/>
        </w:rPr>
        <w:t xml:space="preserve">Journal of the Royal Statistical Society Series B (Methodological)</w:t>
      </w:r>
      <w:r>
        <w:t xml:space="preserve"> </w:t>
      </w:r>
      <w:r>
        <w:rPr>
          <w:bCs/>
          <w:b/>
        </w:rPr>
        <w:t xml:space="preserve">57</w:t>
      </w:r>
      <w:r>
        <w:t xml:space="preserve">:289–300.</w:t>
      </w:r>
    </w:p>
    <w:bookmarkEnd w:id="80"/>
    <w:bookmarkStart w:id="82" w:name="ref-burt_hierarchy_2018"/>
    <w:p>
      <w:pPr>
        <w:pStyle w:val="Bibliography"/>
      </w:pPr>
      <w:r>
        <w:t xml:space="preserve">Burt JB, Demirtaş M, Eckner WJ, Navejar NM, Ji JL, Martin WJ, Bernacchia A, Anticevic A, Murray JD. 2018. Hierarchy of transcriptomic specialization across human cortex captured by structural neuroimaging topography.</w:t>
      </w:r>
      <w:r>
        <w:t xml:space="preserve"> </w:t>
      </w:r>
      <w:r>
        <w:rPr>
          <w:iCs/>
          <w:i/>
        </w:rPr>
        <w:t xml:space="preserve">Nature Neuroscience</w:t>
      </w:r>
      <w:r>
        <w:t xml:space="preserve"> </w:t>
      </w:r>
      <w:r>
        <w:rPr>
          <w:bCs/>
          <w:b/>
        </w:rPr>
        <w:t xml:space="preserve">21</w:t>
      </w:r>
      <w:r>
        <w:t xml:space="preserve">:1251–1259. doi:</w:t>
      </w:r>
      <w:hyperlink r:id="rId81">
        <w:r>
          <w:rPr>
            <w:rStyle w:val="Hyperlink"/>
          </w:rPr>
          <w:t xml:space="preserve">10.1038/s41593-018-0195-0</w:t>
        </w:r>
      </w:hyperlink>
    </w:p>
    <w:bookmarkEnd w:id="82"/>
    <w:bookmarkStart w:id="84" w:name="ref-chaplin_conserved_2013"/>
    <w:p>
      <w:pPr>
        <w:pStyle w:val="Bibliography"/>
      </w:pPr>
      <w:r>
        <w:t xml:space="preserve">Chaplin TA, Yu H-H, Soares JGM, Gattass R, Rosa MGP. 2013.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 </w:t>
      </w:r>
      <w:r>
        <w:rPr>
          <w:bCs/>
          <w:b/>
        </w:rPr>
        <w:t xml:space="preserve">33</w:t>
      </w:r>
      <w:r>
        <w:t xml:space="preserve">:15120–15125. doi:</w:t>
      </w:r>
      <w:hyperlink r:id="rId83">
        <w:r>
          <w:rPr>
            <w:rStyle w:val="Hyperlink"/>
          </w:rPr>
          <w:t xml:space="preserve">10.1523/JNEUROSCI.2909-13.2013</w:t>
        </w:r>
      </w:hyperlink>
    </w:p>
    <w:bookmarkEnd w:id="84"/>
    <w:bookmarkStart w:id="86" w:name="ref-dietrich_publication_2014"/>
    <w:p>
      <w:pPr>
        <w:pStyle w:val="Bibliography"/>
      </w:pPr>
      <w:r>
        <w:t xml:space="preserve">Dietrich MR, Ankeny RA, Chen PM. 2014.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 </w:t>
      </w:r>
      <w:r>
        <w:rPr>
          <w:bCs/>
          <w:b/>
        </w:rPr>
        <w:t xml:space="preserve">198</w:t>
      </w:r>
      <w:r>
        <w:t xml:space="preserve">:787–794. doi:</w:t>
      </w:r>
      <w:hyperlink r:id="rId85">
        <w:r>
          <w:rPr>
            <w:rStyle w:val="Hyperlink"/>
          </w:rPr>
          <w:t xml:space="preserve">10.1534/genetics.114.169714</w:t>
        </w:r>
      </w:hyperlink>
    </w:p>
    <w:bookmarkEnd w:id="86"/>
    <w:bookmarkStart w:id="88" w:name="ref-dorr_high_2008"/>
    <w:p>
      <w:pPr>
        <w:pStyle w:val="Bibliography"/>
      </w:pPr>
      <w:r>
        <w:t xml:space="preserve">Dorr AE, Lerch JP, Spring S, Kabani N, Henkelman RM. 2008.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 </w:t>
      </w:r>
      <w:r>
        <w:rPr>
          <w:bCs/>
          <w:b/>
        </w:rPr>
        <w:t xml:space="preserve">42</w:t>
      </w:r>
      <w:r>
        <w:t xml:space="preserve">:60–69. doi:</w:t>
      </w:r>
      <w:hyperlink r:id="rId87">
        <w:r>
          <w:rPr>
            <w:rStyle w:val="Hyperlink"/>
          </w:rPr>
          <w:t xml:space="preserve">10.1016/j.neuroimage.2008.03.037</w:t>
        </w:r>
      </w:hyperlink>
    </w:p>
    <w:bookmarkEnd w:id="88"/>
    <w:bookmarkStart w:id="90" w:name="ref-eichert_cross-species_2020"/>
    <w:p>
      <w:pPr>
        <w:pStyle w:val="Bibliography"/>
      </w:pPr>
      <w:r>
        <w:t xml:space="preserve">Eichert N, Robinson EC, Bryant KL, Jbabdi S, Jenkinson M, Li L, Krug K, Watkins KE, Mars RB. 2020. Cross-species cortical alignment identifies different types of anatomical reorganization in the primate temporal lobe.</w:t>
      </w:r>
      <w:r>
        <w:t xml:space="preserve"> </w:t>
      </w:r>
      <w:r>
        <w:rPr>
          <w:iCs/>
          <w:i/>
        </w:rPr>
        <w:t xml:space="preserve">eLife</w:t>
      </w:r>
      <w:r>
        <w:t xml:space="preserve"> </w:t>
      </w:r>
      <w:r>
        <w:rPr>
          <w:bCs/>
          <w:b/>
        </w:rPr>
        <w:t xml:space="preserve">9</w:t>
      </w:r>
      <w:r>
        <w:t xml:space="preserve">:e53232. doi:</w:t>
      </w:r>
      <w:hyperlink r:id="rId89">
        <w:r>
          <w:rPr>
            <w:rStyle w:val="Hyperlink"/>
          </w:rPr>
          <w:t xml:space="preserve">10.7554/eLife.53232</w:t>
        </w:r>
      </w:hyperlink>
    </w:p>
    <w:bookmarkEnd w:id="90"/>
    <w:bookmarkStart w:id="92" w:name="ref-ellegood_clustering_2015"/>
    <w:p>
      <w:pPr>
        <w:pStyle w:val="Bibliography"/>
      </w:pPr>
      <w:r>
        <w:t xml:space="preserve">Ellegood J, Anagnostou E, Babineau BA, Crawley JN, Lin L, Genestine M, DiCicco-Bloom E, Lai JKY, Foster JA, Peñagarikano O, Geschwind DH, Pacey LK, Hampson DR, Laliberté CL, Mills AA, Tam E, Osborne LR, Kouser M, Espinosa-Becerra F, Xuan Z, Powell CM, Raznahan A, Robins DM, Nakai N, Nakatani J, Takumi T, Eede MC van, Kerr TM, Muller C, Blakely RD, Veenstra-VanderWeele J, Henkelman RM, Lerch JP. 2015. Clustering autism: Using neuroanatomical differences in 26 mouse models to gain insight into the heterogeneity.</w:t>
      </w:r>
      <w:r>
        <w:t xml:space="preserve"> </w:t>
      </w:r>
      <w:r>
        <w:rPr>
          <w:iCs/>
          <w:i/>
        </w:rPr>
        <w:t xml:space="preserve">Molecular Psychiatry</w:t>
      </w:r>
      <w:r>
        <w:t xml:space="preserve"> </w:t>
      </w:r>
      <w:r>
        <w:rPr>
          <w:bCs/>
          <w:b/>
        </w:rPr>
        <w:t xml:space="preserve">20</w:t>
      </w:r>
      <w:r>
        <w:t xml:space="preserve">:118–125. doi:</w:t>
      </w:r>
      <w:hyperlink r:id="rId91">
        <w:r>
          <w:rPr>
            <w:rStyle w:val="Hyperlink"/>
          </w:rPr>
          <w:t xml:space="preserve">10.1038/mp.2014.98</w:t>
        </w:r>
      </w:hyperlink>
    </w:p>
    <w:bookmarkEnd w:id="92"/>
    <w:bookmarkStart w:id="94" w:name="ref-ellenbroek_rodent_2016"/>
    <w:p>
      <w:pPr>
        <w:pStyle w:val="Bibliography"/>
      </w:pPr>
      <w:r>
        <w:t xml:space="preserve">Ellenbroek B, Youn J. 2016. Rodent models in neuroscience research: Is it a rat race?</w:t>
      </w:r>
      <w:r>
        <w:t xml:space="preserve"> </w:t>
      </w:r>
      <w:r>
        <w:rPr>
          <w:iCs/>
          <w:i/>
        </w:rPr>
        <w:t xml:space="preserve">Disease Models &amp; Mechanisms</w:t>
      </w:r>
      <w:r>
        <w:t xml:space="preserve"> </w:t>
      </w:r>
      <w:r>
        <w:rPr>
          <w:bCs/>
          <w:b/>
        </w:rPr>
        <w:t xml:space="preserve">9</w:t>
      </w:r>
      <w:r>
        <w:t xml:space="preserve">:1079–1087. doi:</w:t>
      </w:r>
      <w:hyperlink r:id="rId93">
        <w:r>
          <w:rPr>
            <w:rStyle w:val="Hyperlink"/>
          </w:rPr>
          <w:t xml:space="preserve">10.1242/dmm.026120</w:t>
        </w:r>
      </w:hyperlink>
    </w:p>
    <w:bookmarkEnd w:id="94"/>
    <w:bookmarkStart w:id="96" w:name="ref-englund_comparing_2021"/>
    <w:p>
      <w:pPr>
        <w:pStyle w:val="Bibliography"/>
      </w:pPr>
      <w:r>
        <w:t xml:space="preserve">Englund M, James SS, Bottom R, Huffman KJ, Wilson SP, Krubitzer LA. 2021. Comparing cortex-wide gene expression patterns between species in a common reference frame. doi:</w:t>
      </w:r>
      <w:hyperlink r:id="rId95">
        <w:r>
          <w:rPr>
            <w:rStyle w:val="Hyperlink"/>
          </w:rPr>
          <w:t xml:space="preserve">10.1101/2021.07.28.454203</w:t>
        </w:r>
      </w:hyperlink>
    </w:p>
    <w:bookmarkEnd w:id="96"/>
    <w:bookmarkStart w:id="98" w:name="ref-fulcher_multimodal_2019"/>
    <w:p>
      <w:pPr>
        <w:pStyle w:val="Bibliography"/>
      </w:pPr>
      <w:r>
        <w:t xml:space="preserve">Fulcher BD, Murray JD, Zerbi V, Wang X-J. 2019. Multimodal gradients across mouse cortex.</w:t>
      </w:r>
      <w:r>
        <w:t xml:space="preserve"> </w:t>
      </w:r>
      <w:r>
        <w:rPr>
          <w:iCs/>
          <w:i/>
        </w:rPr>
        <w:t xml:space="preserve">Proceedings of the National Academy of Sciences</w:t>
      </w:r>
      <w:r>
        <w:t xml:space="preserve"> </w:t>
      </w:r>
      <w:r>
        <w:rPr>
          <w:bCs/>
          <w:b/>
        </w:rPr>
        <w:t xml:space="preserve">116</w:t>
      </w:r>
      <w:r>
        <w:t xml:space="preserve">:4689–4695. doi:</w:t>
      </w:r>
      <w:hyperlink r:id="rId97">
        <w:r>
          <w:rPr>
            <w:rStyle w:val="Hyperlink"/>
          </w:rPr>
          <w:t xml:space="preserve">10.1073/pnas.1814144116</w:t>
        </w:r>
      </w:hyperlink>
    </w:p>
    <w:bookmarkEnd w:id="98"/>
    <w:bookmarkStart w:id="100" w:name="ref-gompers_germline_2017"/>
    <w:p>
      <w:pPr>
        <w:pStyle w:val="Bibliography"/>
      </w:pPr>
      <w:r>
        <w:t xml:space="preserve">Gompers AL, Su-Feher L, Ellegood J, Copping NA, Riyadh MA, Stradleigh TW, Pride MC, Schaffler MD, Wade AA, Catta-Preta R, Zdilar I, Louis S, Kaushik G, Mannion BJ, Plajzer-Frick I, Afzal V, Visel A, Pennacchio LA, Dickel DE, Lerch JP, Crawley JN, Zarbalis KS, Silverman JL, Nord AS. 2017.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 </w:t>
      </w:r>
      <w:r>
        <w:rPr>
          <w:bCs/>
          <w:b/>
        </w:rPr>
        <w:t xml:space="preserve">20</w:t>
      </w:r>
      <w:r>
        <w:t xml:space="preserve">:1062–1073. doi:</w:t>
      </w:r>
      <w:hyperlink r:id="rId99">
        <w:r>
          <w:rPr>
            <w:rStyle w:val="Hyperlink"/>
          </w:rPr>
          <w:t xml:space="preserve">10.1038/nn.4592</w:t>
        </w:r>
      </w:hyperlink>
    </w:p>
    <w:bookmarkEnd w:id="100"/>
    <w:bookmarkStart w:id="102" w:name="ref-grzadzinski_dsm-5_2013"/>
    <w:p>
      <w:pPr>
        <w:pStyle w:val="Bibliography"/>
      </w:pPr>
      <w:r>
        <w:t xml:space="preserve">Grzadzinski R, Huerta M, Lord C. 2013.</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 </w:t>
      </w:r>
      <w:r>
        <w:rPr>
          <w:bCs/>
          <w:b/>
        </w:rPr>
        <w:t xml:space="preserve">4</w:t>
      </w:r>
      <w:r>
        <w:t xml:space="preserve">:12. doi:</w:t>
      </w:r>
      <w:hyperlink r:id="rId101">
        <w:r>
          <w:rPr>
            <w:rStyle w:val="Hyperlink"/>
          </w:rPr>
          <w:t xml:space="preserve">10.1186/2040-2392-4-12</w:t>
        </w:r>
      </w:hyperlink>
    </w:p>
    <w:bookmarkEnd w:id="102"/>
    <w:bookmarkStart w:id="104" w:name="ref-hawrylycz_anatomically_2012"/>
    <w:p>
      <w:pPr>
        <w:pStyle w:val="Bibliography"/>
      </w:pPr>
      <w:r>
        <w:t xml:space="preserve">Hawrylycz MJ, Lein ES, Guillozet-Bongaarts AL, Shen EH, Ng L, Miller JA, Lagemaat LN van de, Smith KA, Ebbert A, Riley ZL, Abajian C, Beckmann CF, Bernard A, Bertagnolli D, Boe AF, Cartagena PM, Chakravarty MM, Chapin M, Chong J, Dalley RA, Daly BD, Dang C, Datta S, Dee N, Dolbeare TA, Faber V, Feng D, Fowler DR, Goldy J, Gregor BW, Haradon Z, Haynor DR, Hohmann JG, Horvath S, Howard RE, Jeromin A, Jochim JM, Kinnunen M, Lau C, Lazarz ET, Lee C, Lemon TA, Li L, Li Y, Morris JA, Overly CC, Parker PD, Parry SE, Reding M, Royall JJ, Schulkin J, Sequeira PA, Slaughterbeck CR, Smith SC, Sodt AJ, Sunkin SM, Swanson BE, Vawter MP, Williams D, Wohnoutka P, Zielke HR, Geschwind DH, Hof PR, Smith SM, Koch C, Grant SGN, Jones AR. 2012. An anatomically comprehensive atlas of the adult human brain transcriptome.</w:t>
      </w:r>
      <w:r>
        <w:t xml:space="preserve"> </w:t>
      </w:r>
      <w:r>
        <w:rPr>
          <w:iCs/>
          <w:i/>
        </w:rPr>
        <w:t xml:space="preserve">Nature</w:t>
      </w:r>
      <w:r>
        <w:t xml:space="preserve"> </w:t>
      </w:r>
      <w:r>
        <w:rPr>
          <w:bCs/>
          <w:b/>
        </w:rPr>
        <w:t xml:space="preserve">489</w:t>
      </w:r>
      <w:r>
        <w:t xml:space="preserve">:391–399. doi:</w:t>
      </w:r>
      <w:hyperlink r:id="rId103">
        <w:r>
          <w:rPr>
            <w:rStyle w:val="Hyperlink"/>
          </w:rPr>
          <w:t xml:space="preserve">10.1038/nature11405</w:t>
        </w:r>
      </w:hyperlink>
    </w:p>
    <w:bookmarkEnd w:id="104"/>
    <w:bookmarkStart w:id="106" w:name="ref-hay_clinical_2014"/>
    <w:p>
      <w:pPr>
        <w:pStyle w:val="Bibliography"/>
      </w:pPr>
      <w:r>
        <w:t xml:space="preserve">Hay M, Thomas DW, Craighead JL, Economides C, Rosenthal J. 2014. Clinical development success rates for investigational drugs.</w:t>
      </w:r>
      <w:r>
        <w:t xml:space="preserve"> </w:t>
      </w:r>
      <w:r>
        <w:rPr>
          <w:iCs/>
          <w:i/>
        </w:rPr>
        <w:t xml:space="preserve">Nature Biotechnology</w:t>
      </w:r>
      <w:r>
        <w:t xml:space="preserve"> </w:t>
      </w:r>
      <w:r>
        <w:rPr>
          <w:bCs/>
          <w:b/>
        </w:rPr>
        <w:t xml:space="preserve">32</w:t>
      </w:r>
      <w:r>
        <w:t xml:space="preserve">:40–51. doi:</w:t>
      </w:r>
      <w:hyperlink r:id="rId105">
        <w:r>
          <w:rPr>
            <w:rStyle w:val="Hyperlink"/>
          </w:rPr>
          <w:t xml:space="preserve">10.1038/nbt.2786</w:t>
        </w:r>
      </w:hyperlink>
    </w:p>
    <w:bookmarkEnd w:id="106"/>
    <w:bookmarkStart w:id="107" w:name="ref-hedrich_chapter_2004"/>
    <w:p>
      <w:pPr>
        <w:pStyle w:val="Bibliography"/>
      </w:pPr>
      <w:r>
        <w:t xml:space="preserve">Hedrich HJ, Mossmann H, Nicklas W. 2004. Chapter 24:</w:t>
      </w:r>
      <w:r>
        <w:t xml:space="preserve"> </w:t>
      </w:r>
      <w:r>
        <w:t xml:space="preserve">Housing</w:t>
      </w:r>
      <w:r>
        <w:t xml:space="preserve"> </w:t>
      </w:r>
      <w:r>
        <w:t xml:space="preserve">and maintenanceThe</w:t>
      </w:r>
      <w:r>
        <w:t xml:space="preserve"> </w:t>
      </w:r>
      <w:r>
        <w:t xml:space="preserve">Laboratory</w:t>
      </w:r>
      <w:r>
        <w:t xml:space="preserve"> </w:t>
      </w:r>
      <w:r>
        <w:t xml:space="preserve">Mouse</w:t>
      </w:r>
      <w:r>
        <w:t xml:space="preserve">. Elsevier Academic Press. pp. 395–408.</w:t>
      </w:r>
    </w:p>
    <w:bookmarkEnd w:id="107"/>
    <w:bookmarkStart w:id="109" w:name="ref-van_heukelum_where_2020"/>
    <w:p>
      <w:pPr>
        <w:pStyle w:val="Bibliography"/>
      </w:pPr>
      <w:r>
        <w:t xml:space="preserve">Heukelum S van, Mars RB, Guthrie M, Buitelaar JK, Beckmann CF, Tiesinga PHE, Vogt BA, Glennon JC, Havenith MN. 2020.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 </w:t>
      </w:r>
      <w:r>
        <w:rPr>
          <w:bCs/>
          <w:b/>
        </w:rPr>
        <w:t xml:space="preserve">43</w:t>
      </w:r>
      <w:r>
        <w:t xml:space="preserve">:285–299. doi:</w:t>
      </w:r>
      <w:hyperlink r:id="rId108">
        <w:r>
          <w:rPr>
            <w:rStyle w:val="Hyperlink"/>
          </w:rPr>
          <w:t xml:space="preserve">10.1016/j.tins.2020.03.007</w:t>
        </w:r>
      </w:hyperlink>
    </w:p>
    <w:bookmarkEnd w:id="109"/>
    <w:bookmarkStart w:id="111" w:name="ref-hodge_conserved_2019"/>
    <w:p>
      <w:pPr>
        <w:pStyle w:val="Bibliography"/>
      </w:pPr>
      <w:r>
        <w:t xml:space="preserve">Hodge RD, Bakken TE, Miller JA, Smith KA, Barkan ER, Graybuck LT, Close JL, Long B, Johansen N, Penn O, Yao Z, Eggermont J, Höllt T, Levi BP, Shehata SI, Aevermann B, Beller A, Bertagnolli D, Brouner K, Casper T, Cobbs C, Dalley R, Dee N, Ding S-L, Ellenbogen RG, Fong O, Garren E, Goldy J, Gwinn RP, Hirschstein D, Keene CD, Keshk M, Ko AL, Lathia K, Mahfouz A, Maltzer Z, McGraw M, Nguyen TN, Nyhus J, Ojemann JG, Oldre A, Parry S, Reynolds S, Rimorin C, Shapovalova NV, Somasundaram S, Szafer A, Thomsen ER, Tieu M, Quon G, Scheuermann RH, Yuste R, Sunkin SM, Lelieveldt B, Feng D, Ng L, Bernard A, Hawrylycz M, Phillips JW, Tasic B, Zeng H, Jones AR, Koch C, Lein ES. 2019. Conserved cell types with divergent features in human versus mouse cortex.</w:t>
      </w:r>
      <w:r>
        <w:t xml:space="preserve"> </w:t>
      </w:r>
      <w:r>
        <w:rPr>
          <w:iCs/>
          <w:i/>
        </w:rPr>
        <w:t xml:space="preserve">Nature</w:t>
      </w:r>
      <w:r>
        <w:t xml:space="preserve"> </w:t>
      </w:r>
      <w:r>
        <w:rPr>
          <w:bCs/>
          <w:b/>
        </w:rPr>
        <w:t xml:space="preserve">573</w:t>
      </w:r>
      <w:r>
        <w:t xml:space="preserve">:61–68. doi:</w:t>
      </w:r>
      <w:hyperlink r:id="rId110">
        <w:r>
          <w:rPr>
            <w:rStyle w:val="Hyperlink"/>
          </w:rPr>
          <w:t xml:space="preserve">10.1038/s41586-019-1506-7</w:t>
        </w:r>
      </w:hyperlink>
    </w:p>
    <w:bookmarkEnd w:id="111"/>
    <w:bookmarkStart w:id="113" w:name="ref-horev_dosage-dependent_2011"/>
    <w:p>
      <w:pPr>
        <w:pStyle w:val="Bibliography"/>
      </w:pPr>
      <w:r>
        <w:t xml:space="preserve">Horev G, Ellegood J, Lerch JP, Son Y-EE, Muthuswamy L, Vogel H, Krieger AM, Buja A, Henkelman RM, Wigler M, Mills AA. 2011. Dosage-dependent phenotypes in models of 16p11.2 lesions found in autism.</w:t>
      </w:r>
      <w:r>
        <w:t xml:space="preserve"> </w:t>
      </w:r>
      <w:r>
        <w:rPr>
          <w:iCs/>
          <w:i/>
        </w:rPr>
        <w:t xml:space="preserve">Proceedings of the National Academy of Sciences</w:t>
      </w:r>
      <w:r>
        <w:t xml:space="preserve"> </w:t>
      </w:r>
      <w:r>
        <w:rPr>
          <w:bCs/>
          <w:b/>
        </w:rPr>
        <w:t xml:space="preserve">108</w:t>
      </w:r>
      <w:r>
        <w:t xml:space="preserve">:17076–17081. doi:</w:t>
      </w:r>
      <w:hyperlink r:id="rId112">
        <w:r>
          <w:rPr>
            <w:rStyle w:val="Hyperlink"/>
          </w:rPr>
          <w:t xml:space="preserve">10.1073/pnas.1114042108</w:t>
        </w:r>
      </w:hyperlink>
    </w:p>
    <w:bookmarkEnd w:id="113"/>
    <w:bookmarkStart w:id="114" w:name="ref-houdebine_louis-marie_chapter_2004"/>
    <w:p>
      <w:pPr>
        <w:pStyle w:val="Bibliography"/>
      </w:pPr>
      <w:r>
        <w:t xml:space="preserve">Houdebine L-M. 2004. Chapter 6:</w:t>
      </w:r>
      <w:r>
        <w:t xml:space="preserve"> </w:t>
      </w:r>
      <w:r>
        <w:t xml:space="preserve">The</w:t>
      </w:r>
      <w:r>
        <w:t xml:space="preserve"> </w:t>
      </w:r>
      <w:r>
        <w:t xml:space="preserve">mouse as an animal model for human diseasesThe</w:t>
      </w:r>
      <w:r>
        <w:t xml:space="preserve"> </w:t>
      </w:r>
      <w:r>
        <w:t xml:space="preserve">Laboratory</w:t>
      </w:r>
      <w:r>
        <w:t xml:space="preserve"> </w:t>
      </w:r>
      <w:r>
        <w:t xml:space="preserve">Mouse</w:t>
      </w:r>
      <w:r>
        <w:t xml:space="preserve">. Elsevier Academic Press. pp. 97–107.</w:t>
      </w:r>
    </w:p>
    <w:bookmarkEnd w:id="114"/>
    <w:bookmarkStart w:id="116" w:name="ref-kaas_evolution_2012"/>
    <w:p>
      <w:pPr>
        <w:pStyle w:val="Bibliography"/>
      </w:pPr>
      <w:r>
        <w:t xml:space="preserve">Kaas JH. 2012. The evolution of neocortex in primates.</w:t>
      </w:r>
      <w:r>
        <w:t xml:space="preserve"> </w:t>
      </w:r>
      <w:r>
        <w:rPr>
          <w:iCs/>
          <w:i/>
        </w:rPr>
        <w:t xml:space="preserve">Progress in brain research</w:t>
      </w:r>
      <w:r>
        <w:t xml:space="preserve"> </w:t>
      </w:r>
      <w:r>
        <w:rPr>
          <w:bCs/>
          <w:b/>
        </w:rPr>
        <w:t xml:space="preserve">195</w:t>
      </w:r>
      <w:r>
        <w:t xml:space="preserve">:91–102. doi:</w:t>
      </w:r>
      <w:hyperlink r:id="rId115">
        <w:r>
          <w:rPr>
            <w:rStyle w:val="Hyperlink"/>
          </w:rPr>
          <w:t xml:space="preserve">10.1016/B978-0-444-53860-4.00005-2</w:t>
        </w:r>
      </w:hyperlink>
    </w:p>
    <w:bookmarkEnd w:id="116"/>
    <w:bookmarkStart w:id="118" w:name="ref-kaas_reconstructing_2011"/>
    <w:p>
      <w:pPr>
        <w:pStyle w:val="Bibliography"/>
      </w:pPr>
      <w:r>
        <w:t xml:space="preserve">Kaas JH. 2011a.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 </w:t>
      </w:r>
      <w:r>
        <w:rPr>
          <w:bCs/>
          <w:b/>
        </w:rPr>
        <w:t xml:space="preserve">78</w:t>
      </w:r>
      <w:r>
        <w:t xml:space="preserve">:7–21. doi:</w:t>
      </w:r>
      <w:hyperlink r:id="rId117">
        <w:r>
          <w:rPr>
            <w:rStyle w:val="Hyperlink"/>
          </w:rPr>
          <w:t xml:space="preserve">10.1159/000327316</w:t>
        </w:r>
      </w:hyperlink>
    </w:p>
    <w:bookmarkEnd w:id="118"/>
    <w:bookmarkStart w:id="120" w:name="ref-kaas_neocortex_2011"/>
    <w:p>
      <w:pPr>
        <w:pStyle w:val="Bibliography"/>
      </w:pPr>
      <w:r>
        <w:t xml:space="preserve">Kaas JH. 2011b. Neocortex in early mammals and its subsequent variations.</w:t>
      </w:r>
      <w:r>
        <w:t xml:space="preserve"> </w:t>
      </w:r>
      <w:r>
        <w:rPr>
          <w:iCs/>
          <w:i/>
        </w:rPr>
        <w:t xml:space="preserve">Annals of the New York Academy of Sciences</w:t>
      </w:r>
      <w:r>
        <w:t xml:space="preserve"> </w:t>
      </w:r>
      <w:r>
        <w:rPr>
          <w:bCs/>
          <w:b/>
        </w:rPr>
        <w:t xml:space="preserve">1225</w:t>
      </w:r>
      <w:r>
        <w:t xml:space="preserve">:10.1111/j.1749–6632.2011.05981.x. doi:</w:t>
      </w:r>
      <w:hyperlink r:id="rId119">
        <w:r>
          <w:rPr>
            <w:rStyle w:val="Hyperlink"/>
          </w:rPr>
          <w:t xml:space="preserve">10.1111/j.1749-6632.2011.05981.x</w:t>
        </w:r>
      </w:hyperlink>
    </w:p>
    <w:bookmarkEnd w:id="120"/>
    <w:bookmarkStart w:id="122" w:name="ref-krubitzer_magnificent_2007"/>
    <w:p>
      <w:pPr>
        <w:pStyle w:val="Bibliography"/>
      </w:pPr>
      <w:r>
        <w:t xml:space="preserve">Krubitzer L. 2007.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 </w:t>
      </w:r>
      <w:r>
        <w:rPr>
          <w:bCs/>
          <w:b/>
        </w:rPr>
        <w:t xml:space="preserve">56</w:t>
      </w:r>
      <w:r>
        <w:t xml:space="preserve">:201–208. doi:</w:t>
      </w:r>
      <w:hyperlink r:id="rId121">
        <w:r>
          <w:rPr>
            <w:rStyle w:val="Hyperlink"/>
          </w:rPr>
          <w:t xml:space="preserve">10.1016/j.neuron.2007.10.002</w:t>
        </w:r>
      </w:hyperlink>
    </w:p>
    <w:bookmarkEnd w:id="122"/>
    <w:bookmarkStart w:id="124" w:name="ref-laubach_what_2018"/>
    <w:p>
      <w:pPr>
        <w:pStyle w:val="Bibliography"/>
      </w:pPr>
      <w:r>
        <w:t xml:space="preserve">Laubach M, Amarante LM, Swanson K, White SR. 2018.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 </w:t>
      </w:r>
      <w:r>
        <w:rPr>
          <w:bCs/>
          <w:b/>
        </w:rPr>
        <w:t xml:space="preserve">5</w:t>
      </w:r>
      <w:r>
        <w:t xml:space="preserve">:ENEURO.0315–18.2018. doi:</w:t>
      </w:r>
      <w:hyperlink r:id="rId123">
        <w:r>
          <w:rPr>
            <w:rStyle w:val="Hyperlink"/>
          </w:rPr>
          <w:t xml:space="preserve">10.1523/ENEURO.0315-18.2018</w:t>
        </w:r>
      </w:hyperlink>
    </w:p>
    <w:bookmarkEnd w:id="124"/>
    <w:bookmarkStart w:id="126" w:name="ref-lein_genome-wide_2007"/>
    <w:p>
      <w:pPr>
        <w:pStyle w:val="Bibliography"/>
      </w:pPr>
      <w:r>
        <w:t xml:space="preserve">Lein ES, Hawrylycz MJ, Ao N, Ayres M, Bensinger A, Bernard A, Boe AF, Boguski MS, Brockway KS, Byrnes EJ, Chen L, Chen L, Chen T-M, Chi Chin M, Chong J, Crook BE, Czaplinska A, Dang CN, Datta S, Dee NR, Desaki AL, Desta T, Diep E, Dolbeare TA, Donelan MJ, Dong H-W, Dougherty JG, Duncan BJ, Ebbert AJ, Eichele G, Estin LK, Faber C, Facer BA, Fields R, Fischer SR, Fliss TP, Frensley C, Gates SN, Glattfelder KJ, Halverson KR, Hart MR, Hohmann JG, Howell MP, Jeung DP, Johnson RA, Karr PT, Kawal R, Kidney JM, Knapik RH, Kuan CL, Lake JH, Laramee AR, Larsen KD, Lau C, Lemon TA, Liang AJ, Liu Y, Luong LT, Michaels J, Morgan JJ, Morgan RJ, Mortrud MT, Mosqueda NF, Ng LL, Ng R, Orta GJ, Overly CC, Pak TH, Parry SE, Pathak SD, Pearson OC, Puchalski RB, Riley ZL, Rockett HR, Rowland SA, Royall JJ, Ruiz MJ, Sarno NR, Schaffnit K, Shapovalova NV, Sivisay T, Slaughterbeck CR, Smith SC, Smith KA, Smith BI, Sodt AJ, Stewart NN, Stumpf K-R, Sunkin SM, Sutram M, Tam A, Teemer CD, Thaller C, Thompson CL, Varnam LR, Visel A, Whitlock RM, Wohnoutka PE, Wolkey CK, Wong VY, Wood M, Yaylaoglu MB, Young RC, Youngstrom BL, Feng Yuan X, Zhang B, Zwingman TA, Jones AR. 2007. Genome-wide atlas of gene expression in the adult mouse brain.</w:t>
      </w:r>
      <w:r>
        <w:t xml:space="preserve"> </w:t>
      </w:r>
      <w:r>
        <w:rPr>
          <w:iCs/>
          <w:i/>
        </w:rPr>
        <w:t xml:space="preserve">Nature</w:t>
      </w:r>
      <w:r>
        <w:t xml:space="preserve"> </w:t>
      </w:r>
      <w:r>
        <w:rPr>
          <w:bCs/>
          <w:b/>
        </w:rPr>
        <w:t xml:space="preserve">445</w:t>
      </w:r>
      <w:r>
        <w:t xml:space="preserve">:168–176. doi:</w:t>
      </w:r>
      <w:hyperlink r:id="rId125">
        <w:r>
          <w:rPr>
            <w:rStyle w:val="Hyperlink"/>
          </w:rPr>
          <w:t xml:space="preserve">10.1038/nature05453</w:t>
        </w:r>
      </w:hyperlink>
    </w:p>
    <w:bookmarkEnd w:id="126"/>
    <w:bookmarkStart w:id="128" w:name="ref-liu_functional_2021"/>
    <w:p>
      <w:pPr>
        <w:pStyle w:val="Bibliography"/>
      </w:pPr>
      <w:r>
        <w:t xml:space="preserve">Liu X, Eickhoff SB, Caspers S, Wu J, Genon S, Hoffstaedter F, Mars RB, Sommer IE, Eickhoff CR, Chen J, Jardri R, Reetz K, Dogan I, Aleman A, Kogler L, Gruber O, Caspers J, Mathys C, Patil KR. 2021. Functional parcellation of human and macaque striatum reveals human-specific connectivity in the dorsal caudate.</w:t>
      </w:r>
      <w:r>
        <w:t xml:space="preserve"> </w:t>
      </w:r>
      <w:r>
        <w:rPr>
          <w:iCs/>
          <w:i/>
        </w:rPr>
        <w:t xml:space="preserve">NeuroImage</w:t>
      </w:r>
      <w:r>
        <w:t xml:space="preserve"> </w:t>
      </w:r>
      <w:r>
        <w:rPr>
          <w:bCs/>
          <w:b/>
        </w:rPr>
        <w:t xml:space="preserve">235</w:t>
      </w:r>
      <w:r>
        <w:t xml:space="preserve">:118006. doi:</w:t>
      </w:r>
      <w:hyperlink r:id="rId127">
        <w:r>
          <w:rPr>
            <w:rStyle w:val="Hyperlink"/>
          </w:rPr>
          <w:t xml:space="preserve">10.1016/j.neuroimage.2021.118006</w:t>
        </w:r>
      </w:hyperlink>
    </w:p>
    <w:bookmarkEnd w:id="128"/>
    <w:bookmarkStart w:id="130" w:name="ref-loshchilov_decoupled_2019"/>
    <w:p>
      <w:pPr>
        <w:pStyle w:val="Bibliography"/>
      </w:pPr>
      <w:r>
        <w:t xml:space="preserve">Loshchilov I, Hutter F. 2019.</w:t>
      </w:r>
      <w:r>
        <w:t xml:space="preserve"> </w:t>
      </w:r>
      <w:hyperlink r:id="rId129">
        <w:r>
          <w:rPr>
            <w:rStyle w:val="Hyperlink"/>
          </w:rPr>
          <w:t xml:space="preserve">Decoupled</w:t>
        </w:r>
        <w:r>
          <w:rPr>
            <w:rStyle w:val="Hyperlink"/>
          </w:rPr>
          <w:t xml:space="preserve"> </w:t>
        </w:r>
        <w:r>
          <w:rPr>
            <w:rStyle w:val="Hyperlink"/>
          </w:rPr>
          <w:t xml:space="preserve">Weight</w:t>
        </w:r>
        <w:r>
          <w:rPr>
            <w:rStyle w:val="Hyperlink"/>
          </w:rPr>
          <w:t xml:space="preserve"> </w:t>
        </w:r>
        <w:r>
          <w:rPr>
            <w:rStyle w:val="Hyperlink"/>
          </w:rPr>
          <w:t xml:space="preserve">Decay</w:t>
        </w:r>
        <w:r>
          <w:rPr>
            <w:rStyle w:val="Hyperlink"/>
          </w:rPr>
          <w:t xml:space="preserve"> </w:t>
        </w:r>
        <w:r>
          <w:rPr>
            <w:rStyle w:val="Hyperlink"/>
          </w:rPr>
          <w:t xml:space="preserve">Regularization</w:t>
        </w:r>
      </w:hyperlink>
      <w:r>
        <w:t xml:space="preserve">Proceedings of the</w:t>
      </w:r>
      <w:r>
        <w:t xml:space="preserve"> </w:t>
      </w:r>
      <w:r>
        <w:t xml:space="preserve">Seventh</w:t>
      </w:r>
      <w:r>
        <w:t xml:space="preserve"> </w:t>
      </w:r>
      <w:r>
        <w:t xml:space="preserve">International</w:t>
      </w:r>
      <w:r>
        <w:t xml:space="preserve"> </w:t>
      </w:r>
      <w:r>
        <w:t xml:space="preserve">Conference</w:t>
      </w:r>
      <w:r>
        <w:t xml:space="preserve"> </w:t>
      </w:r>
      <w:r>
        <w:t xml:space="preserve">on</w:t>
      </w:r>
      <w:r>
        <w:t xml:space="preserve"> </w:t>
      </w:r>
      <w:r>
        <w:t xml:space="preserve">Learning</w:t>
      </w:r>
      <w:r>
        <w:t xml:space="preserve"> </w:t>
      </w:r>
      <w:r>
        <w:t xml:space="preserve">Representations</w:t>
      </w:r>
      <w:r>
        <w:t xml:space="preserve">. New Orleans.</w:t>
      </w:r>
    </w:p>
    <w:bookmarkEnd w:id="130"/>
    <w:bookmarkStart w:id="132" w:name="ref-mandino_triple-network_2021"/>
    <w:p>
      <w:pPr>
        <w:pStyle w:val="Bibliography"/>
      </w:pPr>
      <w:r>
        <w:t xml:space="preserve">Mandino F, Vrooman RM, Foo HE, Yeow LY, Bolton TAW, Salvan P, Teoh CL, Lee CY, Beauchamp A, Luo S, Bi R, Zhang J, Lim GHT, Low N, Sallet J, Gigg J, Lerch JP, Mars RB, Olivo M, Fu Y, Grandjean J. 2021. A triple-network organization for the mouse brain.</w:t>
      </w:r>
      <w:r>
        <w:t xml:space="preserve"> </w:t>
      </w:r>
      <w:r>
        <w:rPr>
          <w:iCs/>
          <w:i/>
        </w:rPr>
        <w:t xml:space="preserve">Molecular Psychiatry</w:t>
      </w:r>
      <w:r>
        <w:t xml:space="preserve"> </w:t>
      </w:r>
      <w:r>
        <w:t xml:space="preserve">1–8. doi:</w:t>
      </w:r>
      <w:hyperlink r:id="rId131">
        <w:r>
          <w:rPr>
            <w:rStyle w:val="Hyperlink"/>
          </w:rPr>
          <w:t xml:space="preserve">10.1038/s41380-021-01298-5</w:t>
        </w:r>
      </w:hyperlink>
    </w:p>
    <w:bookmarkEnd w:id="132"/>
    <w:bookmarkStart w:id="133" w:name="ref-markello_standardizing_2021"/>
    <w:p>
      <w:pPr>
        <w:pStyle w:val="Bibliography"/>
      </w:pPr>
      <w:r>
        <w:t xml:space="preserve">Markello RD, Arnatkeviciūtė A, Poline J-B, Fulcher BD, Fornito A. 2021. Standardizing workflows in imaging transcriptomics with the abagen toolbox.</w:t>
      </w:r>
      <w:r>
        <w:t xml:space="preserve"> </w:t>
      </w:r>
      <w:r>
        <w:rPr>
          <w:iCs/>
          <w:i/>
        </w:rPr>
        <w:t xml:space="preserve">Biorxiv</w:t>
      </w:r>
      <w:r>
        <w:t xml:space="preserve"> </w:t>
      </w:r>
      <w:r>
        <w:t xml:space="preserve">22.</w:t>
      </w:r>
    </w:p>
    <w:bookmarkEnd w:id="133"/>
    <w:bookmarkStart w:id="135" w:name="ref-mars_common_2021"/>
    <w:p>
      <w:pPr>
        <w:pStyle w:val="Bibliography"/>
      </w:pPr>
      <w:r>
        <w:t xml:space="preserve">Mars RB, Jbabdi S, Rushworth MFS. 2021.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 </w:t>
      </w:r>
      <w:r>
        <w:rPr>
          <w:bCs/>
          <w:b/>
        </w:rPr>
        <w:t xml:space="preserve">44</w:t>
      </w:r>
      <w:r>
        <w:t xml:space="preserve">:69–86. doi:</w:t>
      </w:r>
      <w:hyperlink r:id="rId134">
        <w:r>
          <w:rPr>
            <w:rStyle w:val="Hyperlink"/>
          </w:rPr>
          <w:t xml:space="preserve">10.1146/annurev-neuro-100220-025942</w:t>
        </w:r>
      </w:hyperlink>
    </w:p>
    <w:bookmarkEnd w:id="135"/>
    <w:bookmarkStart w:id="137" w:name="ref-mars_connectivity_2018"/>
    <w:p>
      <w:pPr>
        <w:pStyle w:val="Bibliography"/>
      </w:pPr>
      <w:r>
        <w:t xml:space="preserve">Mars Rogier B, Passingham RE, Jbabdi S. 2018a.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 </w:t>
      </w:r>
      <w:r>
        <w:rPr>
          <w:bCs/>
          <w:b/>
        </w:rPr>
        <w:t xml:space="preserve">22</w:t>
      </w:r>
      <w:r>
        <w:t xml:space="preserve">:1026–1037. doi:</w:t>
      </w:r>
      <w:hyperlink r:id="rId136">
        <w:r>
          <w:rPr>
            <w:rStyle w:val="Hyperlink"/>
          </w:rPr>
          <w:t xml:space="preserve">10.1016/j.tics.2018.08.009</w:t>
        </w:r>
      </w:hyperlink>
    </w:p>
    <w:bookmarkEnd w:id="137"/>
    <w:bookmarkStart w:id="138" w:name="ref-mars_evolutionary_2016"/>
    <w:p>
      <w:pPr>
        <w:pStyle w:val="Bibliography"/>
      </w:pPr>
      <w:r>
        <w:t xml:space="preserve">Mars RB, Passingham RE, Neubert F-X, Verhagen L, Sallet J. 2016a. Evolutionary specializations of human association cortexEvolution of</w:t>
      </w:r>
      <w:r>
        <w:t xml:space="preserve"> </w:t>
      </w:r>
      <w:r>
        <w:t xml:space="preserve">Nervous</w:t>
      </w:r>
      <w:r>
        <w:t xml:space="preserve"> </w:t>
      </w:r>
      <w:r>
        <w:t xml:space="preserve">Systems</w:t>
      </w:r>
      <w:r>
        <w:t xml:space="preserve">. Academic Press. pp. 185–205.</w:t>
      </w:r>
    </w:p>
    <w:bookmarkEnd w:id="138"/>
    <w:bookmarkStart w:id="140" w:name="ref-mars_connectivity_2013"/>
    <w:p>
      <w:pPr>
        <w:pStyle w:val="Bibliography"/>
      </w:pPr>
      <w:r>
        <w:t xml:space="preserve">Mars RB, Sallet J, Neubert F-X, Rushworth MFS. 2013.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 </w:t>
      </w:r>
      <w:r>
        <w:rPr>
          <w:bCs/>
          <w:b/>
        </w:rPr>
        <w:t xml:space="preserve">110</w:t>
      </w:r>
      <w:r>
        <w:t xml:space="preserve">:10806–10811. doi:</w:t>
      </w:r>
      <w:hyperlink r:id="rId139">
        <w:r>
          <w:rPr>
            <w:rStyle w:val="Hyperlink"/>
          </w:rPr>
          <w:t xml:space="preserve">10.1073/pnas.1302956110</w:t>
        </w:r>
      </w:hyperlink>
    </w:p>
    <w:bookmarkEnd w:id="140"/>
    <w:bookmarkStart w:id="142" w:name="ref-mars_whole_2018"/>
    <w:p>
      <w:pPr>
        <w:pStyle w:val="Bibliography"/>
      </w:pPr>
      <w:r>
        <w:t xml:space="preserve">Mars Rogier B, Sotiropoulos SN, Passingham RE, Sallet J, Verhagen L, Khrapitchev AA, Sibson N, Jbabdi S. 2018b. Whole brain comparative anatomy using connectivity blueprints.</w:t>
      </w:r>
      <w:r>
        <w:t xml:space="preserve"> </w:t>
      </w:r>
      <w:r>
        <w:rPr>
          <w:iCs/>
          <w:i/>
        </w:rPr>
        <w:t xml:space="preserve">eLife</w:t>
      </w:r>
      <w:r>
        <w:t xml:space="preserve"> </w:t>
      </w:r>
      <w:r>
        <w:rPr>
          <w:bCs/>
          <w:b/>
        </w:rPr>
        <w:t xml:space="preserve">7</w:t>
      </w:r>
      <w:r>
        <w:t xml:space="preserve">. doi:</w:t>
      </w:r>
      <w:hyperlink r:id="rId141">
        <w:r>
          <w:rPr>
            <w:rStyle w:val="Hyperlink"/>
          </w:rPr>
          <w:t xml:space="preserve">10.7554/eLife.35237</w:t>
        </w:r>
      </w:hyperlink>
    </w:p>
    <w:bookmarkEnd w:id="142"/>
    <w:bookmarkStart w:id="144" w:name="ref-mars_comparing_2016"/>
    <w:p>
      <w:pPr>
        <w:pStyle w:val="Bibliography"/>
      </w:pPr>
      <w:r>
        <w:t xml:space="preserve">Mars RB, Verhagen L, Gladwin TE, Neubert F-X, Sallet J, Rushworth MFS. 2016b. Comparing brains by matching connectivity profiles.</w:t>
      </w:r>
      <w:r>
        <w:t xml:space="preserve"> </w:t>
      </w:r>
      <w:r>
        <w:rPr>
          <w:iCs/>
          <w:i/>
        </w:rPr>
        <w:t xml:space="preserve">Neuroscience &amp; Biobehavioral Reviews</w:t>
      </w:r>
      <w:r>
        <w:t xml:space="preserve"> </w:t>
      </w:r>
      <w:r>
        <w:rPr>
          <w:bCs/>
          <w:b/>
        </w:rPr>
        <w:t xml:space="preserve">60</w:t>
      </w:r>
      <w:r>
        <w:t xml:space="preserve">:90–97. doi:</w:t>
      </w:r>
      <w:hyperlink r:id="rId143">
        <w:r>
          <w:rPr>
            <w:rStyle w:val="Hyperlink"/>
          </w:rPr>
          <w:t xml:space="preserve">10.1016/j.neubiorev.2015.10.008</w:t>
        </w:r>
      </w:hyperlink>
    </w:p>
    <w:bookmarkEnd w:id="144"/>
    <w:bookmarkStart w:id="145" w:name="ref-myers_molecular_2017"/>
    <w:p>
      <w:pPr>
        <w:pStyle w:val="Bibliography"/>
      </w:pPr>
      <w:r>
        <w:t xml:space="preserve">Myers E. 2017. Molecular neuroanatomy: Mouse-human homologies and the landscape of genes implicated in language disorders (PhD thesis). Boston University.</w:t>
      </w:r>
    </w:p>
    <w:bookmarkEnd w:id="145"/>
    <w:bookmarkStart w:id="147" w:name="ref-ncbi_database_2018"/>
    <w:p>
      <w:pPr>
        <w:pStyle w:val="Bibliography"/>
      </w:pPr>
      <w:r>
        <w:t xml:space="preserve">NCBI. 2018.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 </w:t>
      </w:r>
      <w:r>
        <w:rPr>
          <w:bCs/>
          <w:b/>
        </w:rPr>
        <w:t xml:space="preserve">46</w:t>
      </w:r>
      <w:r>
        <w:t xml:space="preserve">:D8–D13. doi:</w:t>
      </w:r>
      <w:hyperlink r:id="rId146">
        <w:r>
          <w:rPr>
            <w:rStyle w:val="Hyperlink"/>
          </w:rPr>
          <w:t xml:space="preserve">10.1093/nar/gkx1095</w:t>
        </w:r>
      </w:hyperlink>
    </w:p>
    <w:bookmarkEnd w:id="147"/>
    <w:bookmarkStart w:id="149" w:name="ref-neubert_comparison_2014"/>
    <w:p>
      <w:pPr>
        <w:pStyle w:val="Bibliography"/>
      </w:pPr>
      <w:r>
        <w:t xml:space="preserve">Neubert F-X, Mars RB, Thomas AG, Sallet J, Rushworth MFS. 2014.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 </w:t>
      </w:r>
      <w:r>
        <w:rPr>
          <w:bCs/>
          <w:b/>
        </w:rPr>
        <w:t xml:space="preserve">81</w:t>
      </w:r>
      <w:r>
        <w:t xml:space="preserve">:700–713. doi:</w:t>
      </w:r>
      <w:hyperlink r:id="rId148">
        <w:r>
          <w:rPr>
            <w:rStyle w:val="Hyperlink"/>
          </w:rPr>
          <w:t xml:space="preserve">10.1016/j.neuron.2013.11.012</w:t>
        </w:r>
      </w:hyperlink>
    </w:p>
    <w:bookmarkEnd w:id="149"/>
    <w:bookmarkStart w:id="151" w:name="ref-oh_mesoscale_2014"/>
    <w:p>
      <w:pPr>
        <w:pStyle w:val="Bibliography"/>
      </w:pPr>
      <w:r>
        <w:t xml:space="preserve">Oh SW, Harris JA, Ng L, Winslow B, Cain N, Mihalas S, Wang Q, Lau C, Kuan L, Henry AM, Mortrud MT, Ouellette B, Nguyen TN, Sorensen SA, Slaughterbeck CR, Wakeman W, Li Y, Feng D, Ho A, Nicholas E, Hirokawa KE, Bohn P, Joines KM, Peng H, Hawrylycz MJ, Phillips JW, Hohmann JG, Wohnoutka P, Gerfen CR, Koch C, Bernard A, Dang C, Jones AR, Zeng H. 2014. A mesoscale connectome of the mouse brain.</w:t>
      </w:r>
      <w:r>
        <w:t xml:space="preserve"> </w:t>
      </w:r>
      <w:r>
        <w:rPr>
          <w:iCs/>
          <w:i/>
        </w:rPr>
        <w:t xml:space="preserve">Nature</w:t>
      </w:r>
      <w:r>
        <w:t xml:space="preserve"> </w:t>
      </w:r>
      <w:r>
        <w:rPr>
          <w:bCs/>
          <w:b/>
        </w:rPr>
        <w:t xml:space="preserve">508</w:t>
      </w:r>
      <w:r>
        <w:t xml:space="preserve">:207–214. doi:</w:t>
      </w:r>
      <w:hyperlink r:id="rId150">
        <w:r>
          <w:rPr>
            <w:rStyle w:val="Hyperlink"/>
          </w:rPr>
          <w:t xml:space="preserve">10.1038/nature13186</w:t>
        </w:r>
      </w:hyperlink>
    </w:p>
    <w:bookmarkEnd w:id="151"/>
    <w:bookmarkStart w:id="152" w:name="ref-ortiz_molecular_2020"/>
    <w:p>
      <w:pPr>
        <w:pStyle w:val="Bibliography"/>
      </w:pPr>
      <w:r>
        <w:t xml:space="preserve">Ortiz C, Fenandez Navarro J, Jurek A, Märtin A, Lundeberg J, Meletis K. 2020. Molecular atlas of the adult mouse brain.</w:t>
      </w:r>
      <w:r>
        <w:t xml:space="preserve"> </w:t>
      </w:r>
      <w:r>
        <w:rPr>
          <w:iCs/>
          <w:i/>
        </w:rPr>
        <w:t xml:space="preserve">Science Advances</w:t>
      </w:r>
      <w:r>
        <w:t xml:space="preserve"> </w:t>
      </w:r>
      <w:r>
        <w:rPr>
          <w:bCs/>
          <w:b/>
        </w:rPr>
        <w:t xml:space="preserve">6</w:t>
      </w:r>
      <w:r>
        <w:t xml:space="preserve">:14.</w:t>
      </w:r>
    </w:p>
    <w:bookmarkEnd w:id="152"/>
    <w:bookmarkStart w:id="154" w:name="ref-pagani_mtor-related_2021"/>
    <w:p>
      <w:pPr>
        <w:pStyle w:val="Bibliography"/>
      </w:pPr>
      <w:r>
        <w:t xml:space="preserve">Pagani M, Barsotti N, Bertero A, Trakoshis S, Ulysse L, Locarno A, Miseviciute I, De Felice A, Canella C, Supekar K, Galbusera A, Menon V, Tonini R, Deco G, Lombardo MV, Pasqualetti M, Gozzi A. 2021.</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 </w:t>
      </w:r>
      <w:r>
        <w:rPr>
          <w:bCs/>
          <w:b/>
        </w:rPr>
        <w:t xml:space="preserve">12</w:t>
      </w:r>
      <w:r>
        <w:t xml:space="preserve">:6084. doi:</w:t>
      </w:r>
      <w:hyperlink r:id="rId153">
        <w:r>
          <w:rPr>
            <w:rStyle w:val="Hyperlink"/>
          </w:rPr>
          <w:t xml:space="preserve">10.1038/s41467-021-26131-z</w:t>
        </w:r>
      </w:hyperlink>
    </w:p>
    <w:bookmarkEnd w:id="154"/>
    <w:bookmarkStart w:id="156" w:name="ref-passingham_anatomical_2002"/>
    <w:p>
      <w:pPr>
        <w:pStyle w:val="Bibliography"/>
      </w:pPr>
      <w:r>
        <w:t xml:space="preserve">Passingham RE, Stephan KE, Kötter R. 2002. The anatomical basis of functional localization in the cortex.</w:t>
      </w:r>
      <w:r>
        <w:t xml:space="preserve"> </w:t>
      </w:r>
      <w:r>
        <w:rPr>
          <w:iCs/>
          <w:i/>
        </w:rPr>
        <w:t xml:space="preserve">Nature Reviews Neuroscience</w:t>
      </w:r>
      <w:r>
        <w:t xml:space="preserve"> </w:t>
      </w:r>
      <w:r>
        <w:rPr>
          <w:bCs/>
          <w:b/>
        </w:rPr>
        <w:t xml:space="preserve">3</w:t>
      </w:r>
      <w:r>
        <w:t xml:space="preserve">:606–616. doi:</w:t>
      </w:r>
      <w:hyperlink r:id="rId155">
        <w:r>
          <w:rPr>
            <w:rStyle w:val="Hyperlink"/>
          </w:rPr>
          <w:t xml:space="preserve">10.1038/nrn893</w:t>
        </w:r>
      </w:hyperlink>
    </w:p>
    <w:bookmarkEnd w:id="156"/>
    <w:bookmarkStart w:id="157" w:name="ref-preuss_rats_1995"/>
    <w:p>
      <w:pPr>
        <w:pStyle w:val="Bibliography"/>
      </w:pPr>
      <w:r>
        <w:t xml:space="preserve">Preuss TM. 1995.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 </w:t>
      </w:r>
      <w:r>
        <w:rPr>
          <w:bCs/>
          <w:b/>
        </w:rPr>
        <w:t xml:space="preserve">7</w:t>
      </w:r>
      <w:r>
        <w:t xml:space="preserve">:24.</w:t>
      </w:r>
    </w:p>
    <w:bookmarkEnd w:id="157"/>
    <w:bookmarkStart w:id="159" w:name="ref-qiu_mouse_2018"/>
    <w:p>
      <w:pPr>
        <w:pStyle w:val="Bibliography"/>
      </w:pPr>
      <w:r>
        <w:t xml:space="preserve">Qiu LR, Fernandes DJ, Szulc-Lerch KU, Dazai J, Nieman BJ, Turnbull DH, Foster JA, Palmert MR, Lerch JP. 2018.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 </w:t>
      </w:r>
      <w:r>
        <w:rPr>
          <w:bCs/>
          <w:b/>
        </w:rPr>
        <w:t xml:space="preserve">9</w:t>
      </w:r>
      <w:r>
        <w:t xml:space="preserve">:2615. doi:</w:t>
      </w:r>
      <w:hyperlink r:id="rId158">
        <w:r>
          <w:rPr>
            <w:rStyle w:val="Hyperlink"/>
          </w:rPr>
          <w:t xml:space="preserve">10.1038/s41467-018-04921-2</w:t>
        </w:r>
      </w:hyperlink>
    </w:p>
    <w:bookmarkEnd w:id="159"/>
    <w:bookmarkStart w:id="161" w:name="ref-richards_segmentation_2011"/>
    <w:p>
      <w:pPr>
        <w:pStyle w:val="Bibliography"/>
      </w:pPr>
      <w:r>
        <w:t xml:space="preserve">Richards K, Watson C, Buckley RF, Kurniawan ND, Yang Z, Keller MD, Beare R, Bartlett PF, Egan GF, Galloway GJ, Paxinos G, Petrou S, Reutens DC. 2011. Segmentation of the mouse hippocampal formation in magnetic resonance images.</w:t>
      </w:r>
      <w:r>
        <w:t xml:space="preserve"> </w:t>
      </w:r>
      <w:r>
        <w:rPr>
          <w:iCs/>
          <w:i/>
        </w:rPr>
        <w:t xml:space="preserve">NeuroImage</w:t>
      </w:r>
      <w:r>
        <w:t xml:space="preserve"> </w:t>
      </w:r>
      <w:r>
        <w:rPr>
          <w:bCs/>
          <w:b/>
        </w:rPr>
        <w:t xml:space="preserve">58</w:t>
      </w:r>
      <w:r>
        <w:t xml:space="preserve">:732–740. doi:</w:t>
      </w:r>
      <w:hyperlink r:id="rId160">
        <w:r>
          <w:rPr>
            <w:rStyle w:val="Hyperlink"/>
          </w:rPr>
          <w:t xml:space="preserve">10.1016/j.neuroimage.2011.06.025</w:t>
        </w:r>
      </w:hyperlink>
    </w:p>
    <w:bookmarkEnd w:id="161"/>
    <w:bookmarkStart w:id="163" w:name="ref-rudebeck_foraging_2022"/>
    <w:p>
      <w:pPr>
        <w:pStyle w:val="Bibliography"/>
      </w:pPr>
      <w:r>
        <w:t xml:space="preserve">Rudebeck PH, Izquierdo A. 2022.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 </w:t>
      </w:r>
      <w:r>
        <w:rPr>
          <w:bCs/>
          <w:b/>
        </w:rPr>
        <w:t xml:space="preserve">47</w:t>
      </w:r>
      <w:r>
        <w:t xml:space="preserve">:134–146. doi:</w:t>
      </w:r>
      <w:hyperlink r:id="rId162">
        <w:r>
          <w:rPr>
            <w:rStyle w:val="Hyperlink"/>
          </w:rPr>
          <w:t xml:space="preserve">10.1038/s41386-021-01140-0</w:t>
        </w:r>
      </w:hyperlink>
    </w:p>
    <w:bookmarkEnd w:id="163"/>
    <w:bookmarkStart w:id="165" w:name="ref-sallet_organization_2013"/>
    <w:p>
      <w:pPr>
        <w:pStyle w:val="Bibliography"/>
      </w:pPr>
      <w:r>
        <w:t xml:space="preserve">Sallet J, Mars RB, Noonan MP, Neubert F-X, Jbabdi S, O’Reilly JX, Filippini N, Thomas AG, Rushworth MF. 2013.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 </w:t>
      </w:r>
      <w:r>
        <w:rPr>
          <w:bCs/>
          <w:b/>
        </w:rPr>
        <w:t xml:space="preserve">33</w:t>
      </w:r>
      <w:r>
        <w:t xml:space="preserve">:12255–12274. doi:</w:t>
      </w:r>
      <w:hyperlink r:id="rId164">
        <w:r>
          <w:rPr>
            <w:rStyle w:val="Hyperlink"/>
          </w:rPr>
          <w:t xml:space="preserve">10.1523/JNEUROSCI.5108-12.2013</w:t>
        </w:r>
      </w:hyperlink>
    </w:p>
    <w:bookmarkEnd w:id="165"/>
    <w:bookmarkStart w:id="167" w:name="ref-schaeffer_divergence_2020"/>
    <w:p>
      <w:pPr>
        <w:pStyle w:val="Bibliography"/>
      </w:pPr>
      <w:r>
        <w:t xml:space="preserve">Schaeffer DJ, Hori Y, Gilbert KM, Gati JS, Menon RS, Everling S. 2020. Divergence of rodent and primate medial frontal cortex functional connectivity.</w:t>
      </w:r>
      <w:r>
        <w:t xml:space="preserve"> </w:t>
      </w:r>
      <w:r>
        <w:rPr>
          <w:iCs/>
          <w:i/>
        </w:rPr>
        <w:t xml:space="preserve">Proceedings of the National Academy of Sciences</w:t>
      </w:r>
      <w:r>
        <w:t xml:space="preserve"> </w:t>
      </w:r>
      <w:r>
        <w:rPr>
          <w:bCs/>
          <w:b/>
        </w:rPr>
        <w:t xml:space="preserve">117</w:t>
      </w:r>
      <w:r>
        <w:t xml:space="preserve">:21681–21689. doi:</w:t>
      </w:r>
      <w:hyperlink r:id="rId166">
        <w:r>
          <w:rPr>
            <w:rStyle w:val="Hyperlink"/>
          </w:rPr>
          <w:t xml:space="preserve">10.1073/pnas.2003181117</w:t>
        </w:r>
      </w:hyperlink>
    </w:p>
    <w:bookmarkEnd w:id="167"/>
    <w:bookmarkStart w:id="169" w:name="ref-simonoff_psychiatric_2008"/>
    <w:p>
      <w:pPr>
        <w:pStyle w:val="Bibliography"/>
      </w:pPr>
      <w:r>
        <w:t xml:space="preserve">Simonoff E, Pickles A, Charman T, Chandler S, Loucas T, Baird G. 2008.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 </w:t>
      </w:r>
      <w:r>
        <w:rPr>
          <w:bCs/>
          <w:b/>
        </w:rPr>
        <w:t xml:space="preserve">47</w:t>
      </w:r>
      <w:r>
        <w:t xml:space="preserve">:921–929. doi:</w:t>
      </w:r>
      <w:hyperlink r:id="rId168">
        <w:r>
          <w:rPr>
            <w:rStyle w:val="Hyperlink"/>
          </w:rPr>
          <w:t xml:space="preserve">10.1097/CHI.0b013e318179964f</w:t>
        </w:r>
      </w:hyperlink>
    </w:p>
    <w:bookmarkEnd w:id="169"/>
    <w:bookmarkStart w:id="171" w:name="ref-stahl_visualization_2016"/>
    <w:p>
      <w:pPr>
        <w:pStyle w:val="Bibliography"/>
      </w:pPr>
      <w:r>
        <w:t xml:space="preserve">Stahl PL, Salmén F, Vickovic S, Lundmark A, Navarro JF, Magnusson J, Giacomello S, Asp M, Westholm JO, Huss M, Mollbrink A, Linnarsson S, Codeluppi S, Borg Å, Pontén F, Costea PI, Sahlén P, Mulder J, Bergmann O, Lundeberg J, Frisén J. 2016. Visualization and analysis of gene expression in tissue sections by spatial transcriptomics.</w:t>
      </w:r>
      <w:r>
        <w:t xml:space="preserve"> </w:t>
      </w:r>
      <w:r>
        <w:rPr>
          <w:iCs/>
          <w:i/>
        </w:rPr>
        <w:t xml:space="preserve">Science</w:t>
      </w:r>
      <w:r>
        <w:t xml:space="preserve"> </w:t>
      </w:r>
      <w:r>
        <w:rPr>
          <w:bCs/>
          <w:b/>
        </w:rPr>
        <w:t xml:space="preserve">353</w:t>
      </w:r>
      <w:r>
        <w:t xml:space="preserve">:78–82. doi:</w:t>
      </w:r>
      <w:hyperlink r:id="rId170">
        <w:r>
          <w:rPr>
            <w:rStyle w:val="Hyperlink"/>
          </w:rPr>
          <w:t xml:space="preserve">10.1126/science.aaf2403</w:t>
        </w:r>
      </w:hyperlink>
    </w:p>
    <w:bookmarkEnd w:id="171"/>
    <w:bookmarkStart w:id="173" w:name="ref-steadman_genetic_2014"/>
    <w:p>
      <w:pPr>
        <w:pStyle w:val="Bibliography"/>
      </w:pPr>
      <w:r>
        <w:t xml:space="preserve">Steadman PE, Ellegood J, Szulc KU, Turnbull DH, Joyner AL, Henkelman RM, Lerch JP. 2014.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 </w:t>
      </w:r>
      <w:r>
        <w:rPr>
          <w:bCs/>
          <w:b/>
        </w:rPr>
        <w:t xml:space="preserve">7</w:t>
      </w:r>
      <w:r>
        <w:t xml:space="preserve">:124–137. doi:</w:t>
      </w:r>
      <w:hyperlink r:id="rId172">
        <w:r>
          <w:rPr>
            <w:rStyle w:val="Hyperlink"/>
          </w:rPr>
          <w:t xml:space="preserve">10.1002/aur.1344</w:t>
        </w:r>
      </w:hyperlink>
    </w:p>
    <w:bookmarkEnd w:id="173"/>
    <w:bookmarkStart w:id="174" w:name="ref-striedter_brains_2020"/>
    <w:p>
      <w:pPr>
        <w:pStyle w:val="Bibliography"/>
      </w:pPr>
      <w:r>
        <w:t xml:space="preserve">Striedter GF, Northcutt RG. 2020. Brains</w:t>
      </w:r>
      <w:r>
        <w:t xml:space="preserve"> </w:t>
      </w:r>
      <w:r>
        <w:t xml:space="preserve">Through</w:t>
      </w:r>
      <w:r>
        <w:t xml:space="preserve"> </w:t>
      </w:r>
      <w:r>
        <w:t xml:space="preserve">Time</w:t>
      </w:r>
      <w:r>
        <w:t xml:space="preserve">. Oxford University Press.</w:t>
      </w:r>
    </w:p>
    <w:bookmarkEnd w:id="174"/>
    <w:bookmarkStart w:id="176" w:name="ref-sundararajan_axiomatic_2017"/>
    <w:p>
      <w:pPr>
        <w:pStyle w:val="Bibliography"/>
      </w:pPr>
      <w:r>
        <w:t xml:space="preserve">Sundararajan M, Taly A, Yan Q. 2017.</w:t>
      </w:r>
      <w:r>
        <w:t xml:space="preserve"> </w:t>
      </w:r>
      <w:hyperlink r:id="rId175">
        <w:r>
          <w:rPr>
            <w:rStyle w:val="Hyperlink"/>
          </w:rPr>
          <w:t xml:space="preserve">Axiomatic</w:t>
        </w:r>
        <w:r>
          <w:rPr>
            <w:rStyle w:val="Hyperlink"/>
          </w:rPr>
          <w:t xml:space="preserve"> </w:t>
        </w:r>
        <w:r>
          <w:rPr>
            <w:rStyle w:val="Hyperlink"/>
          </w:rPr>
          <w:t xml:space="preserve">Attribution</w:t>
        </w:r>
        <w:r>
          <w:rPr>
            <w:rStyle w:val="Hyperlink"/>
          </w:rPr>
          <w:t xml:space="preserve"> </w:t>
        </w:r>
        <w:r>
          <w:rPr>
            <w:rStyle w:val="Hyperlink"/>
          </w:rPr>
          <w:t xml:space="preserve">for</w:t>
        </w:r>
        <w:r>
          <w:rPr>
            <w:rStyle w:val="Hyperlink"/>
          </w:rPr>
          <w:t xml:space="preserve"> </w:t>
        </w:r>
        <w:r>
          <w:rPr>
            <w:rStyle w:val="Hyperlink"/>
          </w:rPr>
          <w:t xml:space="preserve">Deep</w:t>
        </w:r>
        <w:r>
          <w:rPr>
            <w:rStyle w:val="Hyperlink"/>
          </w:rPr>
          <w:t xml:space="preserve"> </w:t>
        </w:r>
        <w:r>
          <w:rPr>
            <w:rStyle w:val="Hyperlink"/>
          </w:rPr>
          <w:t xml:space="preserve">Networks</w:t>
        </w:r>
      </w:hyperlink>
      <w:r>
        <w:t xml:space="preserve">Proceedings of the 34th</w:t>
      </w:r>
      <w:r>
        <w:t xml:space="preserve"> </w:t>
      </w:r>
      <w:r>
        <w:t xml:space="preserve">International</w:t>
      </w:r>
      <w:r>
        <w:t xml:space="preserve"> </w:t>
      </w:r>
      <w:r>
        <w:t xml:space="preserve">Conference</w:t>
      </w:r>
      <w:r>
        <w:t xml:space="preserve"> </w:t>
      </w:r>
      <w:r>
        <w:t xml:space="preserve">on</w:t>
      </w:r>
      <w:r>
        <w:t xml:space="preserve"> </w:t>
      </w:r>
      <w:r>
        <w:t xml:space="preserve">Machine</w:t>
      </w:r>
      <w:r>
        <w:t xml:space="preserve"> </w:t>
      </w:r>
      <w:r>
        <w:t xml:space="preserve">Learning</w:t>
      </w:r>
      <w:r>
        <w:t xml:space="preserve">. PMLR. pp. 3319–3328.</w:t>
      </w:r>
    </w:p>
    <w:bookmarkEnd w:id="176"/>
    <w:bookmarkStart w:id="178" w:name="ref-ullmann_segmentation_2013"/>
    <w:p>
      <w:pPr>
        <w:pStyle w:val="Bibliography"/>
      </w:pPr>
      <w:r>
        <w:t xml:space="preserve">Ullmann JFP, Watson C, Janke AL, Kurniawan ND, Reutens DC. 2013.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 </w:t>
      </w:r>
      <w:r>
        <w:rPr>
          <w:bCs/>
          <w:b/>
        </w:rPr>
        <w:t xml:space="preserve">78</w:t>
      </w:r>
      <w:r>
        <w:t xml:space="preserve">:196–203. doi:</w:t>
      </w:r>
      <w:hyperlink r:id="rId177">
        <w:r>
          <w:rPr>
            <w:rStyle w:val="Hyperlink"/>
          </w:rPr>
          <w:t xml:space="preserve">10.1016/j.neuroimage.2013.04.008</w:t>
        </w:r>
      </w:hyperlink>
    </w:p>
    <w:bookmarkEnd w:id="178"/>
    <w:bookmarkStart w:id="180" w:name="ref-ventura-antunes_different_2013"/>
    <w:p>
      <w:pPr>
        <w:pStyle w:val="Bibliography"/>
      </w:pPr>
      <w:r>
        <w:t xml:space="preserve">Ventura-Antunes L, Mota B, Herculano-Houzel S. 2013. Different scaling of white matter volume, cortical connectivity, and gyrification across rodent and primate brains.</w:t>
      </w:r>
      <w:r>
        <w:t xml:space="preserve"> </w:t>
      </w:r>
      <w:r>
        <w:rPr>
          <w:iCs/>
          <w:i/>
        </w:rPr>
        <w:t xml:space="preserve">Frontiers in Neuroanatomy</w:t>
      </w:r>
      <w:r>
        <w:t xml:space="preserve"> </w:t>
      </w:r>
      <w:r>
        <w:rPr>
          <w:bCs/>
          <w:b/>
        </w:rPr>
        <w:t xml:space="preserve">7</w:t>
      </w:r>
      <w:r>
        <w:t xml:space="preserve">. doi:</w:t>
      </w:r>
      <w:hyperlink r:id="rId179">
        <w:r>
          <w:rPr>
            <w:rStyle w:val="Hyperlink"/>
          </w:rPr>
          <w:t xml:space="preserve">10.3389/fnana.2013.00003</w:t>
        </w:r>
      </w:hyperlink>
    </w:p>
    <w:bookmarkEnd w:id="180"/>
    <w:bookmarkStart w:id="182" w:name="ref-vickovic_high-definition_2019"/>
    <w:p>
      <w:pPr>
        <w:pStyle w:val="Bibliography"/>
      </w:pPr>
      <w:r>
        <w:t xml:space="preserve">Vickovic S, Eraslan G, Salmén F, Klughammer J, Stenbeck L, Schapiro D, Äijö T, Bonneau R, Bergenstråhle L, Navarro JF, Gould J, Griffin GK, Borg Å, Ronaghi M, Frisén J, Lundeberg J, Regev A, Ståhl PL. 2019. High-definition spatial transcriptomics for in situ tissue profiling.</w:t>
      </w:r>
      <w:r>
        <w:t xml:space="preserve"> </w:t>
      </w:r>
      <w:r>
        <w:rPr>
          <w:iCs/>
          <w:i/>
        </w:rPr>
        <w:t xml:space="preserve">Nature methods</w:t>
      </w:r>
      <w:r>
        <w:t xml:space="preserve"> </w:t>
      </w:r>
      <w:r>
        <w:rPr>
          <w:bCs/>
          <w:b/>
        </w:rPr>
        <w:t xml:space="preserve">16</w:t>
      </w:r>
      <w:r>
        <w:t xml:space="preserve">:987–990. doi:</w:t>
      </w:r>
      <w:hyperlink r:id="rId181">
        <w:r>
          <w:rPr>
            <w:rStyle w:val="Hyperlink"/>
          </w:rPr>
          <w:t xml:space="preserve">10.1038/s41592-019-0548-y</w:t>
        </w:r>
      </w:hyperlink>
    </w:p>
    <w:bookmarkEnd w:id="182"/>
    <w:bookmarkStart w:id="184" w:name="ref-wang_allen_2020"/>
    <w:p>
      <w:pPr>
        <w:pStyle w:val="Bibliography"/>
      </w:pPr>
      <w:r>
        <w:t xml:space="preserve">Wang Q, Ding S-L, Li Y, Royall J, Feng D, Lesnar P, Graddis N, Naeemi M, Facer B, Ho A, Dolbeare T, Blanchard B, Dee N, Wakeman W, Hirokawa KE, Szafer A, Sunkin SM, Oh SW, Bernard A, Phillips JW, Hawrylycz M, Koch C, Zeng H, Harris JA, Ng L. 2020.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 </w:t>
      </w:r>
      <w:r>
        <w:rPr>
          <w:bCs/>
          <w:b/>
        </w:rPr>
        <w:t xml:space="preserve">181</w:t>
      </w:r>
      <w:r>
        <w:t xml:space="preserve">:936–953.e20. doi:</w:t>
      </w:r>
      <w:hyperlink r:id="rId183">
        <w:r>
          <w:rPr>
            <w:rStyle w:val="Hyperlink"/>
          </w:rPr>
          <w:t xml:space="preserve">10.1016/j.cell.2020.04.007</w:t>
        </w:r>
      </w:hyperlink>
    </w:p>
    <w:bookmarkEnd w:id="184"/>
    <w:bookmarkStart w:id="186" w:name="ref-yao_taxonomy_2021"/>
    <w:p>
      <w:pPr>
        <w:pStyle w:val="Bibliography"/>
      </w:pPr>
      <w:r>
        <w:t xml:space="preserve">Yao Z, Velthoven CTJ van, Nguyen TN, Goldy J, Sedeno-Cortes AE, Baftizadeh F, Bertagnolli D, Casper T, Chiang M, Crichton K, Ding S-L, Fong O, Garren E, Glandon A, Gouwens NW, Gray J, Graybuck LT, Hawrylycz MJ, Hirschstein D, Kroll M, Lathia K, Lee C, Levi B, McMillen D, Mok S, Pham T, Ren Q, Rimorin C, Shapovalova N, Sulc J, Sunkin SM, Tieu M, Torkelson A, Tung H, Ward K, Dee N, Smith KA, Tasic B, Zeng H. 2021. A taxonomy of transcriptomic cell types across the isocortex and hippocampal formation.</w:t>
      </w:r>
      <w:r>
        <w:t xml:space="preserve"> </w:t>
      </w:r>
      <w:r>
        <w:rPr>
          <w:iCs/>
          <w:i/>
        </w:rPr>
        <w:t xml:space="preserve">Cell</w:t>
      </w:r>
      <w:r>
        <w:t xml:space="preserve"> </w:t>
      </w:r>
      <w:r>
        <w:rPr>
          <w:bCs/>
          <w:b/>
        </w:rPr>
        <w:t xml:space="preserve">184</w:t>
      </w:r>
      <w:r>
        <w:t xml:space="preserve">:3222–3241.e26. doi:</w:t>
      </w:r>
      <w:hyperlink r:id="rId185">
        <w:r>
          <w:rPr>
            <w:rStyle w:val="Hyperlink"/>
          </w:rPr>
          <w:t xml:space="preserve">10.1016/j.cell.2021.04.021</w:t>
        </w:r>
      </w:hyperlink>
    </w:p>
    <w:bookmarkEnd w:id="186"/>
    <w:bookmarkEnd w:id="187"/>
    <w:bookmarkEnd w:id="188"/>
    <w:bookmarkStart w:id="198" w:name="figure-supplements"/>
    <w:p>
      <w:pPr>
        <w:pStyle w:val="Heading2"/>
      </w:pPr>
      <w:r>
        <w:t xml:space="preserve">Figure supplements</w:t>
      </w:r>
    </w:p>
    <w:p>
      <w:pPr>
        <w:pStyle w:val="CaptionedFigure"/>
      </w:pPr>
      <w:r>
        <w:drawing>
          <wp:inline>
            <wp:extent cx="5943600" cy="3566160"/>
            <wp:effectExtent b="0" l="0" r="0" t="0"/>
            <wp:docPr descr="Figure 2-figure supplement 1. Multi-layer perceptron feature importance for the classification of the caudoputamen (A), the primary motor area (B), and the infralimbic area (C). Top row: Rank-ordered distributions of feature importance for the three example regions, averaged over 200 training runs. While the perceptron relies on information from all input genes, a reduced subset of genes is often more informative for the classification of a given label. Bottom row: Coronal slice series displaying the normalized expression patterns for the two genes most informative in the classification of example regions. The spatial expression patterns can be specific to the region of interest, but this is not necessarily the case." title="" id="190" name="Picture"/>
            <a:graphic>
              <a:graphicData uri="http://schemas.openxmlformats.org/drawingml/2006/picture">
                <pic:pic>
                  <pic:nvPicPr>
                    <pic:cNvPr descr="TranscriptomicSimilarity_elife_docx_files/figure-docx/results2-fig2-supp1-print-1.png" id="191" name="Picture"/>
                    <pic:cNvPicPr>
                      <a:picLocks noChangeArrowheads="1" noChangeAspect="1"/>
                    </pic:cNvPicPr>
                  </pic:nvPicPr>
                  <pic:blipFill>
                    <a:blip r:embed="rId18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2-figure supplement 1. Multi-layer perceptron feature importance for the classification of the caudoputamen (A), the primary motor area (B), and the infralimbic area (C). Top row: Rank-ordered distributions of feature importance for the three example regions, averaged over 200 training runs. While the perceptron relies on information from all input genes, a reduced subset of genes is often more informative for the classification of a given label. Bottom row: Coronal slice series displaying the normalized expression patterns for the two genes most informative in the classification of example regions. The spatial expression patterns can be specific to the region of interest, but this is not necessarily the case.</w:t>
      </w:r>
    </w:p>
    <w:p>
      <w:pPr>
        <w:pStyle w:val="CaptionedFigure"/>
      </w:pPr>
      <w:r>
        <w:drawing>
          <wp:inline>
            <wp:extent cx="4620126" cy="4620126"/>
            <wp:effectExtent b="0" l="0" r="0" t="0"/>
            <wp:docPr descr="Figure 5-figure supplement 1. Comparison between the ranks of canonical human matches for mouse cortical seed regions in various gene expression spaces. Points and error bars represent mean and 95% confidence interval. Intervals are truncated at a minimal rank of 1. The original latent spaces are the latent spaces obtained from classifying all 67 mouse brain regions. The cortex latent spaces are the latent spaces obtained from classifying 19 mouse cortical regions only." title="" id="193" name="Picture"/>
            <a:graphic>
              <a:graphicData uri="http://schemas.openxmlformats.org/drawingml/2006/picture">
                <pic:pic>
                  <pic:nvPicPr>
                    <pic:cNvPr descr="TranscriptomicSimilarity_elife_docx_files/figure-docx/results3-fig5-supp1-print-1.png" id="194" name="Picture"/>
                    <pic:cNvPicPr>
                      <a:picLocks noChangeArrowheads="1" noChangeAspect="1"/>
                    </pic:cNvPicPr>
                  </pic:nvPicPr>
                  <pic:blipFill>
                    <a:blip r:embed="rId192"/>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5-figure supplement 1. Comparison between the ranks of canonical human matches for mouse cortical seed regions in various gene expression spaces. Points and error bars represent mean and 95% confidence interval. Intervals are truncated at a minimal rank of 1. The original latent spaces are the latent spaces obtained from classifying all 67 mouse brain regions. The cortex latent spaces are the latent spaces obtained from classifying 19 mouse cortical regions only.</w:t>
      </w:r>
    </w:p>
    <w:p>
      <w:pPr>
        <w:pStyle w:val="CaptionedFigure"/>
      </w:pPr>
      <w:r>
        <w:drawing>
          <wp:inline>
            <wp:extent cx="5943600" cy="4513421"/>
            <wp:effectExtent b="0" l="0" r="0" t="0"/>
            <wp:docPr descr="Figure 5-figure supplement 2. Similarity of mouse-human isocortical regions in latent spaces obtained using only cortical labels. (A) Maximal correlation distributions of mouse isocortical regions. Points and error bars represent mean and 95% confidence interval over latent space samples. (B) Distributions of average maximal correlation for sensorimotor and supramodal isocortical areas in each cortical latent space. Grey lines correspond to individual latent spaces. (C) Hierarchical clustering of mouse and human isocortical regions based on average latent space correlation values. Mouse regions are annotated as sensorimotor or supramodal. (D) Within-cluster sum of squared distances for different numbers of mouse and human isocortical clusters in the average cortical latent space and initial homologous gene space." title="" id="196" name="Picture"/>
            <a:graphic>
              <a:graphicData uri="http://schemas.openxmlformats.org/drawingml/2006/picture">
                <pic:pic>
                  <pic:nvPicPr>
                    <pic:cNvPr descr="TranscriptomicSimilarity_elife_docx_files/figure-docx/results3-fig5-supp2-print-1.png" id="197" name="Picture"/>
                    <pic:cNvPicPr>
                      <a:picLocks noChangeArrowheads="1" noChangeAspect="1"/>
                    </pic:cNvPicPr>
                  </pic:nvPicPr>
                  <pic:blipFill>
                    <a:blip r:embed="rId195"/>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Figure 5-figure supplement 2. Similarity of mouse-human isocortical regions in latent spaces obtained using only cortical labels. (A) Maximal correlation distributions of mouse isocortical regions. Points and error bars represent mean and 95% confidence interval over latent space samples. (B) Distributions of average maximal correlation for sensorimotor and supramodal isocortical areas in each cortical latent space. Grey lines correspond to individual latent spaces. (C) Hierarchical clustering of mouse and human isocortical regions based on average latent space correlation values. Mouse regions are annotated as sensorimotor or supramodal. (D) Within-cluster sum of squared distances for different numbers of mouse and human isocortical clusters in the average cortical latent space and initial homologous gene space.</w:t>
      </w:r>
    </w:p>
    <w:bookmarkEnd w:id="198"/>
    <w:bookmarkStart w:id="199" w:name="source-data-files"/>
    <w:p>
      <w:pPr>
        <w:pStyle w:val="Heading2"/>
      </w:pPr>
      <w:r>
        <w:t xml:space="preserve">Source data files</w:t>
      </w:r>
    </w:p>
    <w:p>
      <w:pPr>
        <w:numPr>
          <w:ilvl w:val="0"/>
          <w:numId w:val="1002"/>
        </w:numPr>
        <w:pStyle w:val="Compact"/>
      </w:pPr>
      <w:r>
        <w:t xml:space="preserve">Figure 1 - Source data 1: Mouse-human similarity matrix using homologous genes.</w:t>
      </w:r>
    </w:p>
    <w:p>
      <w:pPr>
        <w:numPr>
          <w:ilvl w:val="0"/>
          <w:numId w:val="1002"/>
        </w:numPr>
        <w:pStyle w:val="Compact"/>
      </w:pPr>
      <w:r>
        <w:t xml:space="preserve">Figure 2 - Source data 1: Correlations between mouse and human brain regions in all latent spaces (1 of 3).</w:t>
      </w:r>
    </w:p>
    <w:p>
      <w:pPr>
        <w:numPr>
          <w:ilvl w:val="0"/>
          <w:numId w:val="1002"/>
        </w:numPr>
        <w:pStyle w:val="Compact"/>
      </w:pPr>
      <w:r>
        <w:t xml:space="preserve">Figure 2 - Source data 2: Correlations between mouse and human brain regions in all latent spaces (2 of 3).</w:t>
      </w:r>
    </w:p>
    <w:p>
      <w:pPr>
        <w:numPr>
          <w:ilvl w:val="0"/>
          <w:numId w:val="1002"/>
        </w:numPr>
        <w:pStyle w:val="Compact"/>
      </w:pPr>
      <w:r>
        <w:t xml:space="preserve">Figure 2 - Source data 3: Correlations between mouse and human brain regions in all latent spaces (3 of 3).</w:t>
      </w:r>
    </w:p>
    <w:p>
      <w:pPr>
        <w:numPr>
          <w:ilvl w:val="0"/>
          <w:numId w:val="1002"/>
        </w:numPr>
        <w:pStyle w:val="Compact"/>
      </w:pPr>
      <w:r>
        <w:t xml:space="preserve">Figure 3 - Source data 1: Scaled similarity profiles of the mouse primary motor area.</w:t>
      </w:r>
    </w:p>
    <w:p>
      <w:pPr>
        <w:numPr>
          <w:ilvl w:val="0"/>
          <w:numId w:val="1002"/>
        </w:numPr>
        <w:pStyle w:val="Compact"/>
      </w:pPr>
      <w:r>
        <w:t xml:space="preserve">Figure 3 - Source data 2: Ranks at a similarity of 0.75 for mouse regions in the homologous gene space and all latent spaces.</w:t>
      </w:r>
    </w:p>
    <w:p>
      <w:pPr>
        <w:numPr>
          <w:ilvl w:val="0"/>
          <w:numId w:val="1002"/>
        </w:numPr>
        <w:pStyle w:val="Compact"/>
      </w:pPr>
      <w:r>
        <w:t xml:space="preserve">Figure 3 - Source data 3: Logistic regression model estimates for mouse regions.</w:t>
      </w:r>
    </w:p>
    <w:p>
      <w:pPr>
        <w:numPr>
          <w:ilvl w:val="0"/>
          <w:numId w:val="1002"/>
        </w:numPr>
        <w:pStyle w:val="Compact"/>
      </w:pPr>
      <w:r>
        <w:t xml:space="preserve">Figure 4 - Source data 1: Ranks of canonical neuroanatomical pairs for mouse regions in the homologous gene space and all latent spaces.</w:t>
      </w:r>
    </w:p>
    <w:p>
      <w:pPr>
        <w:numPr>
          <w:ilvl w:val="0"/>
          <w:numId w:val="1002"/>
        </w:numPr>
        <w:pStyle w:val="Compact"/>
      </w:pPr>
      <w:r>
        <w:t xml:space="preserve">Figure 4 - Source data 2: Logistic regression model estimates for mouse regions.</w:t>
      </w:r>
    </w:p>
    <w:p>
      <w:pPr>
        <w:numPr>
          <w:ilvl w:val="0"/>
          <w:numId w:val="1002"/>
        </w:numPr>
        <w:pStyle w:val="Compact"/>
      </w:pPr>
      <w:r>
        <w:t xml:space="preserve">Figure 5 - Source data 1: Maximal correlations of mouse isocortical regions in all latent spaces.</w:t>
      </w:r>
    </w:p>
    <w:p>
      <w:pPr>
        <w:numPr>
          <w:ilvl w:val="0"/>
          <w:numId w:val="1002"/>
        </w:numPr>
        <w:pStyle w:val="Compact"/>
      </w:pPr>
      <w:r>
        <w:t xml:space="preserve">Figure 5 - Source data 2: Correlations between mouse and human isocortical regions in all latent spaces.</w:t>
      </w:r>
    </w:p>
    <w:p>
      <w:pPr>
        <w:numPr>
          <w:ilvl w:val="0"/>
          <w:numId w:val="1002"/>
        </w:numPr>
        <w:pStyle w:val="Compact"/>
      </w:pPr>
      <w:r>
        <w:t xml:space="preserve">Figure 5 - Source data 3: Scree plot data.</w:t>
      </w:r>
    </w:p>
    <w:p>
      <w:pPr>
        <w:numPr>
          <w:ilvl w:val="0"/>
          <w:numId w:val="1002"/>
        </w:numPr>
        <w:pStyle w:val="Compact"/>
      </w:pPr>
      <w:r>
        <w:t xml:space="preserve">Figure 6 - Source data 1: Correlations between human striatal samples and mouse striatal targets in all latent spaces.</w:t>
      </w:r>
    </w:p>
    <w:p>
      <w:pPr>
        <w:numPr>
          <w:ilvl w:val="0"/>
          <w:numId w:val="1002"/>
        </w:numPr>
        <w:pStyle w:val="Compact"/>
      </w:pPr>
      <w:r>
        <w:t xml:space="preserve">Figure 6 - Source data 2: Average latent space correlations of mouse striatal voxels with human regions.</w:t>
      </w:r>
    </w:p>
    <w:p>
      <w:pPr>
        <w:numPr>
          <w:ilvl w:val="0"/>
          <w:numId w:val="1002"/>
        </w:numPr>
        <w:pStyle w:val="Compact"/>
      </w:pPr>
      <w:r>
        <w:t xml:space="preserve">Figure 6 - Source data 3: Maximal correlations of mouse striatal voxels in all latent spaces (1 of 3).</w:t>
      </w:r>
    </w:p>
    <w:p>
      <w:pPr>
        <w:numPr>
          <w:ilvl w:val="0"/>
          <w:numId w:val="1002"/>
        </w:numPr>
        <w:pStyle w:val="Compact"/>
      </w:pPr>
      <w:r>
        <w:t xml:space="preserve">Figure 6 - Source data 4: Maximal correlations of mouse striatal voxels in all latent spaces (2 of 3).</w:t>
      </w:r>
    </w:p>
    <w:p>
      <w:pPr>
        <w:numPr>
          <w:ilvl w:val="0"/>
          <w:numId w:val="1002"/>
        </w:numPr>
        <w:pStyle w:val="Compact"/>
      </w:pPr>
      <w:r>
        <w:t xml:space="preserve">Figure 6 - Source data 5: Maximal correlations of mouse striatal voxels in all latent spaces (3 of 3).</w:t>
      </w:r>
    </w:p>
    <w:bookmarkEnd w:id="199"/>
    <w:bookmarkStart w:id="200" w:name="supplementary-files"/>
    <w:p>
      <w:pPr>
        <w:pStyle w:val="Heading2"/>
      </w:pPr>
      <w:r>
        <w:t xml:space="preserve">Supplementary files</w:t>
      </w:r>
    </w:p>
    <w:p>
      <w:pPr>
        <w:numPr>
          <w:ilvl w:val="0"/>
          <w:numId w:val="1003"/>
        </w:numPr>
        <w:pStyle w:val="Compact"/>
      </w:pPr>
      <w:r>
        <w:t xml:space="preserve">Supplementary file 1: Biological modules enriched in the homologous gene set.</w:t>
      </w:r>
    </w:p>
    <w:bookmarkEnd w:id="200"/>
    <w:bookmarkEnd w:id="201"/>
    <w:sectPr w:rsidR="002B31A4" w:rsidSect="003F7CE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1D28B1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07E5ED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286D9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3522BF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10E9E4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77AF8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38420FA"/>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3CA1E6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CF6331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C7422F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03DA0B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863054002" w:numId="1">
    <w:abstractNumId w:val="10"/>
  </w:num>
  <w:num w16cid:durableId="676035310" w:numId="2">
    <w:abstractNumId w:val="0"/>
  </w:num>
  <w:num w16cid:durableId="178586096" w:numId="3">
    <w:abstractNumId w:val="1"/>
  </w:num>
  <w:num w16cid:durableId="1677149862" w:numId="4">
    <w:abstractNumId w:val="2"/>
  </w:num>
  <w:num w16cid:durableId="1562713925" w:numId="5">
    <w:abstractNumId w:val="3"/>
  </w:num>
  <w:num w16cid:durableId="1453478278" w:numId="6">
    <w:abstractNumId w:val="8"/>
  </w:num>
  <w:num w16cid:durableId="1585071292" w:numId="7">
    <w:abstractNumId w:val="4"/>
  </w:num>
  <w:num w16cid:durableId="1260143871" w:numId="8">
    <w:abstractNumId w:val="5"/>
  </w:num>
  <w:num w16cid:durableId="293364390" w:numId="9">
    <w:abstractNumId w:val="6"/>
  </w:num>
  <w:num w16cid:durableId="2118867855" w:numId="10">
    <w:abstractNumId w:val="7"/>
  </w:num>
  <w:num w16cid:durableId="1335373841" w:numId="1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B49DC"/>
    <w:pPr>
      <w:keepNext/>
      <w:keepLines/>
      <w:spacing w:after="0" w:before="480"/>
      <w:outlineLvl w:val="0"/>
    </w:pPr>
    <w:rPr>
      <w:rFonts w:ascii="Times New Roman" w:cstheme="majorBidi" w:eastAsiaTheme="majorEastAsia" w:hAnsi="Times New Roman"/>
      <w:b/>
      <w:bCs/>
      <w:color w:themeColor="text1" w:val="000000"/>
      <w:sz w:val="48"/>
      <w:szCs w:val="32"/>
    </w:rPr>
  </w:style>
  <w:style w:styleId="Heading2" w:type="paragraph">
    <w:name w:val="heading 2"/>
    <w:basedOn w:val="Normal"/>
    <w:next w:val="BodyText"/>
    <w:uiPriority w:val="9"/>
    <w:unhideWhenUsed/>
    <w:qFormat/>
    <w:rsid w:val="00FB49DC"/>
    <w:pPr>
      <w:keepNext/>
      <w:keepLines/>
      <w:spacing w:after="0" w:before="200"/>
      <w:outlineLvl w:val="1"/>
    </w:pPr>
    <w:rPr>
      <w:rFonts w:ascii="Times New Roman" w:cstheme="majorBidi" w:eastAsiaTheme="majorEastAsia" w:hAnsi="Times New Roman"/>
      <w:b/>
      <w:bCs/>
      <w:color w:themeColor="text1" w:val="000000"/>
      <w:sz w:val="40"/>
      <w:szCs w:val="28"/>
    </w:rPr>
  </w:style>
  <w:style w:styleId="Heading3" w:type="paragraph">
    <w:name w:val="heading 3"/>
    <w:basedOn w:val="Normal"/>
    <w:next w:val="BodyText"/>
    <w:uiPriority w:val="9"/>
    <w:unhideWhenUsed/>
    <w:qFormat/>
    <w:rsid w:val="00FB49DC"/>
    <w:pPr>
      <w:keepNext/>
      <w:keepLines/>
      <w:spacing w:after="0" w:before="200"/>
      <w:outlineLvl w:val="2"/>
    </w:pPr>
    <w:rPr>
      <w:rFonts w:ascii="Times New Roman" w:cstheme="majorBidi" w:eastAsiaTheme="majorEastAsia" w:hAnsi="Times New Roman"/>
      <w:b/>
      <w:bCs/>
      <w:color w:themeColor="text1" w:val="000000"/>
      <w:sz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B49DC"/>
    <w:pPr>
      <w:spacing w:after="180" w:before="180" w:line="360" w:lineRule="auto"/>
    </w:pPr>
    <w:rPr>
      <w:rFonts w:ascii="Times New Roman" w:hAnsi="Times New Roman"/>
    </w:rPr>
  </w:style>
  <w:style w:customStyle="1" w:styleId="FirstParagraph" w:type="paragraph">
    <w:name w:val="First Paragraph"/>
    <w:basedOn w:val="BodyText"/>
    <w:next w:val="BodyText"/>
    <w:qFormat/>
    <w:rsid w:val="00FB49DC"/>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E96072"/>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D1958"/>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3F7CEF"/>
  </w:style>
  <w:style w:customStyle="1" w:styleId="BodyTextChar" w:type="character">
    <w:name w:val="Body Text Char"/>
    <w:basedOn w:val="DefaultParagraphFont"/>
    <w:link w:val="BodyText"/>
    <w:rsid w:val="00FB49D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189" Target="media/rId18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44" Target="media/rId44.png" /><Relationship Type="http://schemas.openxmlformats.org/officeDocument/2006/relationships/hyperlink" Id="rId52" Target="http://api.brain-map.org" TargetMode="External" /><Relationship Type="http://schemas.openxmlformats.org/officeDocument/2006/relationships/hyperlink" Id="rId129" Target="http://arxiv.org/abs/1711.05101" TargetMode="External" /><Relationship Type="http://schemas.openxmlformats.org/officeDocument/2006/relationships/hyperlink" Id="rId58" Target="http://baderlab.org/GeneSets" TargetMode="External" /><Relationship Type="http://schemas.openxmlformats.org/officeDocument/2006/relationships/hyperlink" Id="rId50" Target="http://help.brain-map.org/display/api/Downloading+3-D+Expression+Grid+Data" TargetMode="External" /><Relationship Type="http://schemas.openxmlformats.org/officeDocument/2006/relationships/hyperlink" Id="rId79" Target="http://www.jstor.org/stable/2346101" TargetMode="External" /><Relationship Type="http://schemas.openxmlformats.org/officeDocument/2006/relationships/hyperlink" Id="rId53" Target="https://abagen.readthedocs.io/en/stable/" TargetMode="External" /><Relationship Type="http://schemas.openxmlformats.org/officeDocument/2006/relationships/hyperlink" Id="rId63" Target="https://captum.ai/" TargetMode="External" /><Relationship Type="http://schemas.openxmlformats.org/officeDocument/2006/relationships/hyperlink" Id="rId172" Target="https://doi.org/10.1002/aur.1344" TargetMode="External" /><Relationship Type="http://schemas.openxmlformats.org/officeDocument/2006/relationships/hyperlink" Id="rId115" Target="https://doi.org/10.1016/B978-0-444-53860-4.00005-2" TargetMode="External" /><Relationship Type="http://schemas.openxmlformats.org/officeDocument/2006/relationships/hyperlink" Id="rId183" Target="https://doi.org/10.1016/j.cell.2020.04.007" TargetMode="External" /><Relationship Type="http://schemas.openxmlformats.org/officeDocument/2006/relationships/hyperlink" Id="rId185" Target="https://doi.org/10.1016/j.cell.2021.04.021" TargetMode="External" /><Relationship Type="http://schemas.openxmlformats.org/officeDocument/2006/relationships/hyperlink" Id="rId143" Target="https://doi.org/10.1016/j.neubiorev.2015.10.008" TargetMode="External" /><Relationship Type="http://schemas.openxmlformats.org/officeDocument/2006/relationships/hyperlink" Id="rId87" Target="https://doi.org/10.1016/j.neuroimage.2008.03.037" TargetMode="External" /><Relationship Type="http://schemas.openxmlformats.org/officeDocument/2006/relationships/hyperlink" Id="rId160" Target="https://doi.org/10.1016/j.neuroimage.2011.06.025" TargetMode="External" /><Relationship Type="http://schemas.openxmlformats.org/officeDocument/2006/relationships/hyperlink" Id="rId177" Target="https://doi.org/10.1016/j.neuroimage.2013.04.008" TargetMode="External" /><Relationship Type="http://schemas.openxmlformats.org/officeDocument/2006/relationships/hyperlink" Id="rId73" Target="https://doi.org/10.1016/j.neuroimage.2019.01.011" TargetMode="External" /><Relationship Type="http://schemas.openxmlformats.org/officeDocument/2006/relationships/hyperlink" Id="rId127" Target="https://doi.org/10.1016/j.neuroimage.2021.118006" TargetMode="External" /><Relationship Type="http://schemas.openxmlformats.org/officeDocument/2006/relationships/hyperlink" Id="rId121" Target="https://doi.org/10.1016/j.neuron.2007.10.002" TargetMode="External" /><Relationship Type="http://schemas.openxmlformats.org/officeDocument/2006/relationships/hyperlink" Id="rId148" Target="https://doi.org/10.1016/j.neuron.2013.11.012" TargetMode="External" /><Relationship Type="http://schemas.openxmlformats.org/officeDocument/2006/relationships/hyperlink" Id="rId136" Target="https://doi.org/10.1016/j.tics.2018.08.009" TargetMode="External" /><Relationship Type="http://schemas.openxmlformats.org/officeDocument/2006/relationships/hyperlink" Id="rId108" Target="https://doi.org/10.1016/j.tins.2020.03.007" TargetMode="External" /><Relationship Type="http://schemas.openxmlformats.org/officeDocument/2006/relationships/hyperlink" Id="rId91" Target="https://doi.org/10.1038/mp.2014.98" TargetMode="External" /><Relationship Type="http://schemas.openxmlformats.org/officeDocument/2006/relationships/hyperlink" Id="rId125" Target="https://doi.org/10.1038/nature05453" TargetMode="External" /><Relationship Type="http://schemas.openxmlformats.org/officeDocument/2006/relationships/hyperlink" Id="rId103" Target="https://doi.org/10.1038/nature11405" TargetMode="External" /><Relationship Type="http://schemas.openxmlformats.org/officeDocument/2006/relationships/hyperlink" Id="rId150" Target="https://doi.org/10.1038/nature13186" TargetMode="External" /><Relationship Type="http://schemas.openxmlformats.org/officeDocument/2006/relationships/hyperlink" Id="rId105" Target="https://doi.org/10.1038/nbt.2786" TargetMode="External" /><Relationship Type="http://schemas.openxmlformats.org/officeDocument/2006/relationships/hyperlink" Id="rId99" Target="https://doi.org/10.1038/nn.4592" TargetMode="External" /><Relationship Type="http://schemas.openxmlformats.org/officeDocument/2006/relationships/hyperlink" Id="rId155" Target="https://doi.org/10.1038/nrn893" TargetMode="External" /><Relationship Type="http://schemas.openxmlformats.org/officeDocument/2006/relationships/hyperlink" Id="rId131" Target="https://doi.org/10.1038/s41380-021-01298-5" TargetMode="External" /><Relationship Type="http://schemas.openxmlformats.org/officeDocument/2006/relationships/hyperlink" Id="rId162" Target="https://doi.org/10.1038/s41386-021-01140-0" TargetMode="External" /><Relationship Type="http://schemas.openxmlformats.org/officeDocument/2006/relationships/hyperlink" Id="rId158" Target="https://doi.org/10.1038/s41467-018-04921-2" TargetMode="External" /><Relationship Type="http://schemas.openxmlformats.org/officeDocument/2006/relationships/hyperlink" Id="rId153" Target="https://doi.org/10.1038/s41467-021-26131-z" TargetMode="External" /><Relationship Type="http://schemas.openxmlformats.org/officeDocument/2006/relationships/hyperlink" Id="rId110" Target="https://doi.org/10.1038/s41586-019-1506-7" TargetMode="External" /><Relationship Type="http://schemas.openxmlformats.org/officeDocument/2006/relationships/hyperlink" Id="rId181" Target="https://doi.org/10.1038/s41592-019-0548-y" TargetMode="External" /><Relationship Type="http://schemas.openxmlformats.org/officeDocument/2006/relationships/hyperlink" Id="rId81" Target="https://doi.org/10.1038/s41593-018-0195-0" TargetMode="External" /><Relationship Type="http://schemas.openxmlformats.org/officeDocument/2006/relationships/hyperlink" Id="rId112" Target="https://doi.org/10.1073/pnas.1114042108" TargetMode="External" /><Relationship Type="http://schemas.openxmlformats.org/officeDocument/2006/relationships/hyperlink" Id="rId139" Target="https://doi.org/10.1073/pnas.1302956110" TargetMode="External" /><Relationship Type="http://schemas.openxmlformats.org/officeDocument/2006/relationships/hyperlink" Id="rId97" Target="https://doi.org/10.1073/pnas.1814144116" TargetMode="External" /><Relationship Type="http://schemas.openxmlformats.org/officeDocument/2006/relationships/hyperlink" Id="rId166" Target="https://doi.org/10.1073/pnas.2003181117" TargetMode="External" /><Relationship Type="http://schemas.openxmlformats.org/officeDocument/2006/relationships/hyperlink" Id="rId146" Target="https://doi.org/10.1093/nar/gkx1095" TargetMode="External" /><Relationship Type="http://schemas.openxmlformats.org/officeDocument/2006/relationships/hyperlink" Id="rId168" Target="https://doi.org/10.1097/CHI.0b013e318179964f" TargetMode="External" /><Relationship Type="http://schemas.openxmlformats.org/officeDocument/2006/relationships/hyperlink" Id="rId77" Target="https://doi.org/10.1098/rstb.2019.0633" TargetMode="External" /><Relationship Type="http://schemas.openxmlformats.org/officeDocument/2006/relationships/hyperlink" Id="rId95" Target="https://doi.org/10.1101/2021.07.28.454203" TargetMode="External" /><Relationship Type="http://schemas.openxmlformats.org/officeDocument/2006/relationships/hyperlink" Id="rId119" Target="https://doi.org/10.1111/j.1749-6632.2011.05981.x" TargetMode="External" /><Relationship Type="http://schemas.openxmlformats.org/officeDocument/2006/relationships/hyperlink" Id="rId170" Target="https://doi.org/10.1126/science.aaf2403" TargetMode="External" /><Relationship Type="http://schemas.openxmlformats.org/officeDocument/2006/relationships/hyperlink" Id="rId134" Target="https://doi.org/10.1146/annurev-neuro-100220-025942" TargetMode="External" /><Relationship Type="http://schemas.openxmlformats.org/officeDocument/2006/relationships/hyperlink" Id="rId117" Target="https://doi.org/10.1159/000327316" TargetMode="External" /><Relationship Type="http://schemas.openxmlformats.org/officeDocument/2006/relationships/hyperlink" Id="rId101" Target="https://doi.org/10.1186/2040-2392-4-12" TargetMode="External" /><Relationship Type="http://schemas.openxmlformats.org/officeDocument/2006/relationships/hyperlink" Id="rId93" Target="https://doi.org/10.1242/dmm.026120" TargetMode="External" /><Relationship Type="http://schemas.openxmlformats.org/officeDocument/2006/relationships/hyperlink" Id="rId123" Target="https://doi.org/10.1523/ENEURO.0315-18.2018" TargetMode="External" /><Relationship Type="http://schemas.openxmlformats.org/officeDocument/2006/relationships/hyperlink" Id="rId83" Target="https://doi.org/10.1523/JNEUROSCI.2909-13.2013" TargetMode="External" /><Relationship Type="http://schemas.openxmlformats.org/officeDocument/2006/relationships/hyperlink" Id="rId164" Target="https://doi.org/10.1523/JNEUROSCI.5108-12.2013" TargetMode="External" /><Relationship Type="http://schemas.openxmlformats.org/officeDocument/2006/relationships/hyperlink" Id="rId85" Target="https://doi.org/10.1534/genetics.114.169714" TargetMode="External" /><Relationship Type="http://schemas.openxmlformats.org/officeDocument/2006/relationships/hyperlink" Id="rId179" Target="https://doi.org/10.3389/fnana.2013.00003" TargetMode="External" /><Relationship Type="http://schemas.openxmlformats.org/officeDocument/2006/relationships/hyperlink" Id="rId141" Target="https://doi.org/10.7554/eLife.35237" TargetMode="External" /><Relationship Type="http://schemas.openxmlformats.org/officeDocument/2006/relationships/hyperlink" Id="rId89" Target="https://doi.org/10.7554/eLife.53232" TargetMode="External" /><Relationship Type="http://schemas.openxmlformats.org/officeDocument/2006/relationships/hyperlink" Id="rId75" Target="https://doi.org/10.7554/eLife.53680" TargetMode="External" /><Relationship Type="http://schemas.openxmlformats.org/officeDocument/2006/relationships/hyperlink" Id="rId68" Target="https://github.com/abeaucha/MouseHumanTranscriptomicSimilarity/" TargetMode="External" /><Relationship Type="http://schemas.openxmlformats.org/officeDocument/2006/relationships/hyperlink" Id="rId175" Target="https://proceedings.mlr.press/v70/sundararajan17a.html" TargetMode="External" /><Relationship Type="http://schemas.openxmlformats.org/officeDocument/2006/relationships/hyperlink" Id="rId60" Target="https://pytorch.org" TargetMode="External" /><Relationship Type="http://schemas.openxmlformats.org/officeDocument/2006/relationships/hyperlink" Id="rId66" Target="https://rmarkdown.rstudio.com" TargetMode="External" /><Relationship Type="http://schemas.openxmlformats.org/officeDocument/2006/relationships/hyperlink" Id="rId61" Target="https://skorch.readthedocs.io/en/stable/" TargetMode="External" /><Relationship Type="http://schemas.openxmlformats.org/officeDocument/2006/relationships/hyperlink" Id="rId67" Target="https://www.latex-project.org" TargetMode="External" /><Relationship Type="http://schemas.openxmlformats.org/officeDocument/2006/relationships/hyperlink" Id="rId21" Target="mailto:antoine.beauchamp@mail.utoronto.ca" TargetMode="External" /><Relationship Type="http://schemas.openxmlformats.org/officeDocument/2006/relationships/hyperlink" Id="rId22"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52" Target="http://api.brain-map.org" TargetMode="External" /><Relationship Type="http://schemas.openxmlformats.org/officeDocument/2006/relationships/hyperlink" Id="rId129" Target="http://arxiv.org/abs/1711.05101" TargetMode="External" /><Relationship Type="http://schemas.openxmlformats.org/officeDocument/2006/relationships/hyperlink" Id="rId58" Target="http://baderlab.org/GeneSets" TargetMode="External" /><Relationship Type="http://schemas.openxmlformats.org/officeDocument/2006/relationships/hyperlink" Id="rId50" Target="http://help.brain-map.org/display/api/Downloading+3-D+Expression+Grid+Data" TargetMode="External" /><Relationship Type="http://schemas.openxmlformats.org/officeDocument/2006/relationships/hyperlink" Id="rId79" Target="http://www.jstor.org/stable/2346101" TargetMode="External" /><Relationship Type="http://schemas.openxmlformats.org/officeDocument/2006/relationships/hyperlink" Id="rId53" Target="https://abagen.readthedocs.io/en/stable/" TargetMode="External" /><Relationship Type="http://schemas.openxmlformats.org/officeDocument/2006/relationships/hyperlink" Id="rId63" Target="https://captum.ai/" TargetMode="External" /><Relationship Type="http://schemas.openxmlformats.org/officeDocument/2006/relationships/hyperlink" Id="rId172" Target="https://doi.org/10.1002/aur.1344" TargetMode="External" /><Relationship Type="http://schemas.openxmlformats.org/officeDocument/2006/relationships/hyperlink" Id="rId115" Target="https://doi.org/10.1016/B978-0-444-53860-4.00005-2" TargetMode="External" /><Relationship Type="http://schemas.openxmlformats.org/officeDocument/2006/relationships/hyperlink" Id="rId183" Target="https://doi.org/10.1016/j.cell.2020.04.007" TargetMode="External" /><Relationship Type="http://schemas.openxmlformats.org/officeDocument/2006/relationships/hyperlink" Id="rId185" Target="https://doi.org/10.1016/j.cell.2021.04.021" TargetMode="External" /><Relationship Type="http://schemas.openxmlformats.org/officeDocument/2006/relationships/hyperlink" Id="rId143" Target="https://doi.org/10.1016/j.neubiorev.2015.10.008" TargetMode="External" /><Relationship Type="http://schemas.openxmlformats.org/officeDocument/2006/relationships/hyperlink" Id="rId87" Target="https://doi.org/10.1016/j.neuroimage.2008.03.037" TargetMode="External" /><Relationship Type="http://schemas.openxmlformats.org/officeDocument/2006/relationships/hyperlink" Id="rId160" Target="https://doi.org/10.1016/j.neuroimage.2011.06.025" TargetMode="External" /><Relationship Type="http://schemas.openxmlformats.org/officeDocument/2006/relationships/hyperlink" Id="rId177" Target="https://doi.org/10.1016/j.neuroimage.2013.04.008" TargetMode="External" /><Relationship Type="http://schemas.openxmlformats.org/officeDocument/2006/relationships/hyperlink" Id="rId73" Target="https://doi.org/10.1016/j.neuroimage.2019.01.011" TargetMode="External" /><Relationship Type="http://schemas.openxmlformats.org/officeDocument/2006/relationships/hyperlink" Id="rId127" Target="https://doi.org/10.1016/j.neuroimage.2021.118006" TargetMode="External" /><Relationship Type="http://schemas.openxmlformats.org/officeDocument/2006/relationships/hyperlink" Id="rId121" Target="https://doi.org/10.1016/j.neuron.2007.10.002" TargetMode="External" /><Relationship Type="http://schemas.openxmlformats.org/officeDocument/2006/relationships/hyperlink" Id="rId148" Target="https://doi.org/10.1016/j.neuron.2013.11.012" TargetMode="External" /><Relationship Type="http://schemas.openxmlformats.org/officeDocument/2006/relationships/hyperlink" Id="rId136" Target="https://doi.org/10.1016/j.tics.2018.08.009" TargetMode="External" /><Relationship Type="http://schemas.openxmlformats.org/officeDocument/2006/relationships/hyperlink" Id="rId108" Target="https://doi.org/10.1016/j.tins.2020.03.007" TargetMode="External" /><Relationship Type="http://schemas.openxmlformats.org/officeDocument/2006/relationships/hyperlink" Id="rId91" Target="https://doi.org/10.1038/mp.2014.98" TargetMode="External" /><Relationship Type="http://schemas.openxmlformats.org/officeDocument/2006/relationships/hyperlink" Id="rId125" Target="https://doi.org/10.1038/nature05453" TargetMode="External" /><Relationship Type="http://schemas.openxmlformats.org/officeDocument/2006/relationships/hyperlink" Id="rId103" Target="https://doi.org/10.1038/nature11405" TargetMode="External" /><Relationship Type="http://schemas.openxmlformats.org/officeDocument/2006/relationships/hyperlink" Id="rId150" Target="https://doi.org/10.1038/nature13186" TargetMode="External" /><Relationship Type="http://schemas.openxmlformats.org/officeDocument/2006/relationships/hyperlink" Id="rId105" Target="https://doi.org/10.1038/nbt.2786" TargetMode="External" /><Relationship Type="http://schemas.openxmlformats.org/officeDocument/2006/relationships/hyperlink" Id="rId99" Target="https://doi.org/10.1038/nn.4592" TargetMode="External" /><Relationship Type="http://schemas.openxmlformats.org/officeDocument/2006/relationships/hyperlink" Id="rId155" Target="https://doi.org/10.1038/nrn893" TargetMode="External" /><Relationship Type="http://schemas.openxmlformats.org/officeDocument/2006/relationships/hyperlink" Id="rId131" Target="https://doi.org/10.1038/s41380-021-01298-5" TargetMode="External" /><Relationship Type="http://schemas.openxmlformats.org/officeDocument/2006/relationships/hyperlink" Id="rId162" Target="https://doi.org/10.1038/s41386-021-01140-0" TargetMode="External" /><Relationship Type="http://schemas.openxmlformats.org/officeDocument/2006/relationships/hyperlink" Id="rId158" Target="https://doi.org/10.1038/s41467-018-04921-2" TargetMode="External" /><Relationship Type="http://schemas.openxmlformats.org/officeDocument/2006/relationships/hyperlink" Id="rId153" Target="https://doi.org/10.1038/s41467-021-26131-z" TargetMode="External" /><Relationship Type="http://schemas.openxmlformats.org/officeDocument/2006/relationships/hyperlink" Id="rId110" Target="https://doi.org/10.1038/s41586-019-1506-7" TargetMode="External" /><Relationship Type="http://schemas.openxmlformats.org/officeDocument/2006/relationships/hyperlink" Id="rId181" Target="https://doi.org/10.1038/s41592-019-0548-y" TargetMode="External" /><Relationship Type="http://schemas.openxmlformats.org/officeDocument/2006/relationships/hyperlink" Id="rId81" Target="https://doi.org/10.1038/s41593-018-0195-0" TargetMode="External" /><Relationship Type="http://schemas.openxmlformats.org/officeDocument/2006/relationships/hyperlink" Id="rId112" Target="https://doi.org/10.1073/pnas.1114042108" TargetMode="External" /><Relationship Type="http://schemas.openxmlformats.org/officeDocument/2006/relationships/hyperlink" Id="rId139" Target="https://doi.org/10.1073/pnas.1302956110" TargetMode="External" /><Relationship Type="http://schemas.openxmlformats.org/officeDocument/2006/relationships/hyperlink" Id="rId97" Target="https://doi.org/10.1073/pnas.1814144116" TargetMode="External" /><Relationship Type="http://schemas.openxmlformats.org/officeDocument/2006/relationships/hyperlink" Id="rId166" Target="https://doi.org/10.1073/pnas.2003181117" TargetMode="External" /><Relationship Type="http://schemas.openxmlformats.org/officeDocument/2006/relationships/hyperlink" Id="rId146" Target="https://doi.org/10.1093/nar/gkx1095" TargetMode="External" /><Relationship Type="http://schemas.openxmlformats.org/officeDocument/2006/relationships/hyperlink" Id="rId168" Target="https://doi.org/10.1097/CHI.0b013e318179964f" TargetMode="External" /><Relationship Type="http://schemas.openxmlformats.org/officeDocument/2006/relationships/hyperlink" Id="rId77" Target="https://doi.org/10.1098/rstb.2019.0633" TargetMode="External" /><Relationship Type="http://schemas.openxmlformats.org/officeDocument/2006/relationships/hyperlink" Id="rId95" Target="https://doi.org/10.1101/2021.07.28.454203" TargetMode="External" /><Relationship Type="http://schemas.openxmlformats.org/officeDocument/2006/relationships/hyperlink" Id="rId119" Target="https://doi.org/10.1111/j.1749-6632.2011.05981.x" TargetMode="External" /><Relationship Type="http://schemas.openxmlformats.org/officeDocument/2006/relationships/hyperlink" Id="rId170" Target="https://doi.org/10.1126/science.aaf2403" TargetMode="External" /><Relationship Type="http://schemas.openxmlformats.org/officeDocument/2006/relationships/hyperlink" Id="rId134" Target="https://doi.org/10.1146/annurev-neuro-100220-025942" TargetMode="External" /><Relationship Type="http://schemas.openxmlformats.org/officeDocument/2006/relationships/hyperlink" Id="rId117" Target="https://doi.org/10.1159/000327316" TargetMode="External" /><Relationship Type="http://schemas.openxmlformats.org/officeDocument/2006/relationships/hyperlink" Id="rId101" Target="https://doi.org/10.1186/2040-2392-4-12" TargetMode="External" /><Relationship Type="http://schemas.openxmlformats.org/officeDocument/2006/relationships/hyperlink" Id="rId93" Target="https://doi.org/10.1242/dmm.026120" TargetMode="External" /><Relationship Type="http://schemas.openxmlformats.org/officeDocument/2006/relationships/hyperlink" Id="rId123" Target="https://doi.org/10.1523/ENEURO.0315-18.2018" TargetMode="External" /><Relationship Type="http://schemas.openxmlformats.org/officeDocument/2006/relationships/hyperlink" Id="rId83" Target="https://doi.org/10.1523/JNEUROSCI.2909-13.2013" TargetMode="External" /><Relationship Type="http://schemas.openxmlformats.org/officeDocument/2006/relationships/hyperlink" Id="rId164" Target="https://doi.org/10.1523/JNEUROSCI.5108-12.2013" TargetMode="External" /><Relationship Type="http://schemas.openxmlformats.org/officeDocument/2006/relationships/hyperlink" Id="rId85" Target="https://doi.org/10.1534/genetics.114.169714" TargetMode="External" /><Relationship Type="http://schemas.openxmlformats.org/officeDocument/2006/relationships/hyperlink" Id="rId179" Target="https://doi.org/10.3389/fnana.2013.00003" TargetMode="External" /><Relationship Type="http://schemas.openxmlformats.org/officeDocument/2006/relationships/hyperlink" Id="rId141" Target="https://doi.org/10.7554/eLife.35237" TargetMode="External" /><Relationship Type="http://schemas.openxmlformats.org/officeDocument/2006/relationships/hyperlink" Id="rId89" Target="https://doi.org/10.7554/eLife.53232" TargetMode="External" /><Relationship Type="http://schemas.openxmlformats.org/officeDocument/2006/relationships/hyperlink" Id="rId75" Target="https://doi.org/10.7554/eLife.53680" TargetMode="External" /><Relationship Type="http://schemas.openxmlformats.org/officeDocument/2006/relationships/hyperlink" Id="rId68" Target="https://github.com/abeaucha/MouseHumanTranscriptomicSimilarity/" TargetMode="External" /><Relationship Type="http://schemas.openxmlformats.org/officeDocument/2006/relationships/hyperlink" Id="rId175" Target="https://proceedings.mlr.press/v70/sundararajan17a.html" TargetMode="External" /><Relationship Type="http://schemas.openxmlformats.org/officeDocument/2006/relationships/hyperlink" Id="rId60" Target="https://pytorch.org" TargetMode="External" /><Relationship Type="http://schemas.openxmlformats.org/officeDocument/2006/relationships/hyperlink" Id="rId66" Target="https://rmarkdown.rstudio.com" TargetMode="External" /><Relationship Type="http://schemas.openxmlformats.org/officeDocument/2006/relationships/hyperlink" Id="rId61" Target="https://skorch.readthedocs.io/en/stable/" TargetMode="External" /><Relationship Type="http://schemas.openxmlformats.org/officeDocument/2006/relationships/hyperlink" Id="rId67" Target="https://www.latex-project.org" TargetMode="External" /><Relationship Type="http://schemas.openxmlformats.org/officeDocument/2006/relationships/hyperlink" Id="rId21" Target="mailto:antoine.beauchamp@mail.utoronto.ca" TargetMode="External" /><Relationship Type="http://schemas.openxmlformats.org/officeDocument/2006/relationships/hyperlink" Id="rId22"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634</Words>
  <Characters>3614</Characters>
  <Application>Microsoft Office Word</Application>
  <DocSecurity>0</DocSecurity>
  <Lines>30</Lines>
  <Paragraphs>8</Paragraphs>
  <ScaleCrop>false</ScaleCrop>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2022-10-25T17:36:52Z</dcterms:created>
  <dcterms:modified xsi:type="dcterms:W3CDTF">2022-10-25T17:36:52Z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elife.csl</vt:lpwstr>
  </property>
  <property fmtid="{D5CDD505-2E9C-101B-9397-08002B2CF9AE}" pid="4" name="output">
    <vt:lpwstr/>
  </property>
</Properties>
</file>