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ever-increasing use of mouse models in preclinical neuroscience research calls for an improvement in the methods used to translate findings between mouse and human brains. Using openly accessible brain-wide transcriptomic data sets, we evaluated the similarity of mouse and human brain regions on the basis of homologous gene expression. Our results suggest that mouse-human homologous genes capture broad patterns of neuroanatomical organization, but that the resolution of cross-species correspondences can be improved using a novel supervised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mouse and human striatal regions are strongly conserved, with the mouse caudoputamen exhibiting an equal degree of similarity to both the human caudate and putamen.</w:t>
      </w:r>
    </w:p>
    <w:bookmarkEnd w:id="20"/>
    <w:bookmarkStart w:id="21"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 due to its rapid life cycle, straightforward husbandry, and amenability to genetic engineering</w:t>
      </w:r>
      <w:r>
        <w:t xml:space="preserve"> </w:t>
      </w:r>
      <w:r>
        <w:t xml:space="preserve">[@hedrich_chapter_2004; @houdebine_louis-marie_chapter_2004; @dietrich_publication_2014; @ellenbroek_rodent_2016]</w:t>
      </w:r>
      <w:r>
        <w:t xml:space="preserve">. Mouse models have proven to be extremely useful for understanding diverse features of the brain, from its molecular neurobiological properties to its large-scale network properties</w:t>
      </w:r>
      <w:r>
        <w:t xml:space="preserve"> </w:t>
      </w:r>
      <w:r>
        <w:t xml:space="preserve">[@oh_mesoscale_2014; @hodge_conserved_2019; @yao_taxonomy_2021]</w:t>
      </w:r>
      <w:r>
        <w:t xml:space="preserve">. However, translating findings from the mouse to the human has not been straightforward. This is especially evident in the context of neuropsychopharmacology, where promising neuropsychiatric drugs have one of the highest failures rates in Phase III clinical trials</w:t>
      </w:r>
      <w:r>
        <w:t xml:space="preserve"> </w:t>
      </w:r>
      <w:r>
        <w:t xml:space="preserve">[@hay_clinical_2014]</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[@kaas_evolution_2012]</w:t>
      </w:r>
      <w:r>
        <w:t xml:space="preserve">. Although common themes are apparent in the brains of all mammalian species studied to date</w:t>
      </w:r>
      <w:r>
        <w:t xml:space="preserve"> </w:t>
      </w:r>
      <w:r>
        <w:t xml:space="preserve">[@krubitzer_magnificent_2007]</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[@preuss_rats_1995]</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[@laubach_what_2018; @van_heukelum_where_2020]</w:t>
      </w:r>
      <w:r>
        <w:t xml:space="preserve">.</w:t>
      </w:r>
    </w:p>
    <w:p>
      <w:pPr>
        <w:pStyle w:val="BodyText"/>
      </w:pPr>
      <w:r>
        <w:t xml:space="preserve">Over the course of the last decade, we have developed novel approaches to explicitly evaluate similarities and differences between the brains of related species. These approaches describe brains using common data spaces that are directly comparable between species, making it possible to evaluate the similarity of different regions in a quantitative fashion</w:t>
      </w:r>
      <w:r>
        <w:t xml:space="preserve"> </w:t>
      </w:r>
      <w:r>
        <w:t xml:space="preserve">[@mars_common_2021]</w:t>
      </w:r>
      <w:r>
        <w:t xml:space="preserve">. This way, potential homologues can be formally tested and regions of the brain that do not allow for straightforward translation can be identified</w:t>
      </w:r>
      <w:r>
        <w:t xml:space="preserve"> </w:t>
      </w:r>
      <w:r>
        <w:t xml:space="preserve">[@mars_whole_2018]</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tend to be unique and can therefore be seen as a diagnostic of an area</w:t>
      </w:r>
      <w:r>
        <w:t xml:space="preserve"> </w:t>
      </w:r>
      <w:r>
        <w:t xml:space="preserve">[@passingham_anatomical_2002; @mars_connectivity_2018]</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[@mars_comparing_2016]</w:t>
      </w:r>
      <w:r>
        <w:t xml:space="preserve">. The connections of any given region to the established homologues thus form a common space, which links the two brains. In a series of early studies, we compared the connectivity of the macaque and human brain, identifying homologies as well as specializations across association cortex</w:t>
      </w:r>
      <w:r>
        <w:t xml:space="preserve"> </w:t>
      </w:r>
      <w:r>
        <w:t xml:space="preserve">[@mars_connectivity_2013; @sallet_organization_2013; @neubert_comparison_2014]</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[@balsters_primate_2020]</w:t>
      </w:r>
      <w:r>
        <w:t xml:space="preserve">. A similar study recently compared connectivity of the medial frontal cortex across rats, marmosets, and humans</w:t>
      </w:r>
      <w:r>
        <w:t xml:space="preserve"> </w:t>
      </w:r>
      <w:r>
        <w:t xml:space="preserve">[@schaeffer_divergence_2020]</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could be to exploit the spatial patterns of gene expression. Advances in transcriptomic mapping can be used to characterise the differential expression of many thousands of genes across the brain and compare the pattern between regions</w:t>
      </w:r>
      <w:r>
        <w:t xml:space="preserve"> </w:t>
      </w:r>
      <w:r>
        <w:t xml:space="preserve">[@ortiz_molecular_2020]</w:t>
      </w:r>
      <w:r>
        <w:t xml:space="preserve">. Moreover, the availability of whole-brain spatial transcriptomic data sets for multiple species provides an opportunity to run novel analyses at low cost</w:t>
      </w:r>
      <w:r>
        <w:t xml:space="preserve"> </w:t>
      </w:r>
      <w:r>
        <w:t xml:space="preserve">[@lein_genome-wide_2007; @hawrylycz_anatomically_2012]</w:t>
      </w:r>
      <w:r>
        <w:t xml:space="preserve">. Such maps for the human cortex show topographic patterns that mimic those observed in other modalities, such as a gradient between primary and heteromodal areas of the neocortex</w:t>
      </w:r>
      <w:r>
        <w:t xml:space="preserve"> </w:t>
      </w:r>
      <w:r>
        <w:t xml:space="preserve">[@burt_hierarchy_2018]</w:t>
      </w:r>
      <w:r>
        <w:t xml:space="preserve">. Importantly, these patterns appear to be conserved across mammalian species</w:t>
      </w:r>
      <w:r>
        <w:t xml:space="preserve"> </w:t>
      </w:r>
      <w:r>
        <w:t xml:space="preserve">[@fulcher_multimodal_2019]</w:t>
      </w:r>
      <w:r>
        <w:t xml:space="preserve">, which opens up the possibility of using the expression of homologous genes as a common space across species. In fact, a recent study demonstrated how the expression of homologous genes can be used to directly register mouse and vole brains into a common reference frame, which allows for direct point-by-point comparisons of brain maps</w:t>
      </w:r>
      <w:r>
        <w:t xml:space="preserve"> </w:t>
      </w:r>
      <w:r>
        <w:t xml:space="preserve">[@englund_comparing_2021]</w:t>
      </w:r>
      <w:r>
        <w:t xml:space="preserve">. However, this specific approach is only feasible because of the large degree of morphological similarity between mouse and vole brains. In the case of mouse-human comparisons, we almost certainly cannot directly register mouse and human brains into a common coordinate frame using methods for image registration. Hence we need to be more creative in our approach.</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1"/>
    <w:bookmarkStart w:id="32" w:name="results"/>
    <w:p>
      <w:pPr>
        <w:pStyle w:val="Heading1"/>
      </w:pPr>
      <w:r>
        <w:t xml:space="preserve">Results</w:t>
      </w:r>
    </w:p>
    <w:bookmarkStart w:id="23"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w:t>
      </w:r>
      <w:r>
        <w:t xml:space="preserve"> </w:t>
      </w:r>
      <w:r>
        <w:t xml:space="preserve">[@lein_genome-wide_2007; @hawrylycz_anatomically_2012]</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 (NCBI 2018). Prior to analysis, both data sets were pre-processed using a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w:t>
      </w:r>
      <w:r>
        <w:t xml:space="preserve"> </w:t>
      </w:r>
      <w:hyperlink w:anchor="materials-methods">
        <w:r>
          <w:rPr>
            <w:rStyle w:val="Hyperlink"/>
          </w:rPr>
          <w:t xml:space="preserve">Materials and methods</w:t>
        </w:r>
      </w:hyperlink>
      <w:r>
        <w:t xml:space="preserve">).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the mouse and human brains. These clusters of similarity correspond to coarse neuroanatomical regions that are generally well-defined in both species. For instance, we observe that, overall, the mouse isocortex is similar to the human cerebral cortex, with the exception of the hippocampal formation, which forms a unique cluster. Similarly the mouse and human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 associations between broad regions such as these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neuron_docx_files/figure-docx/results1-fig1-print-1.png" id="0" name="Picture"/>
                    <pic:cNvPicPr>
                      <a:picLocks noChangeArrowheads="1" noChangeAspect="1"/>
                    </pic:cNvPicPr>
                  </pic:nvPicPr>
                  <pic:blipFill>
                    <a:blip r:embed="rId22"/>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3"/>
    <w:bookmarkStart w:id="27"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ure 1." title="" id="1" name="Picture"/>
            <a:graphic>
              <a:graphicData uri="http://schemas.openxmlformats.org/drawingml/2006/picture">
                <pic:pic>
                  <pic:nvPicPr>
                    <pic:cNvPr descr="TranscriptomicSimilarity_neuron_docx_files/figure-docx/results2-fig2-print-1.png" id="0" name="Picture"/>
                    <pic:cNvPicPr>
                      <a:picLocks noChangeArrowheads="1" noChangeAspect="1"/>
                    </pic:cNvPicPr>
                  </pic:nvPicPr>
                  <pic:blipFill>
                    <a:blip r:embed="rId24"/>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Figure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neuron_docx_files/figure-docx/results2-fig3-print-1.png" id="0" name="Picture"/>
                    <pic:cNvPicPr>
                      <a:picLocks noChangeArrowheads="1" noChangeAspect="1"/>
                    </pic:cNvPicPr>
                  </pic:nvPicPr>
                  <pic:blipFill>
                    <a:blip r:embed="rId25"/>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neuron_docx_files/figure-docx/results2-fig4-print-1.png" id="0" name="Picture"/>
                    <pic:cNvPicPr>
                      <a:picLocks noChangeArrowheads="1" noChangeAspect="1"/>
                    </pic:cNvPicPr>
                  </pic:nvPicPr>
                  <pic:blipFill>
                    <a:blip r:embed="rId26"/>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7"/>
    <w:bookmarkStart w:id="29"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[@kaas_reconstructing_2011]</w:t>
      </w:r>
      <w:r>
        <w:t xml:space="preserve">. A number of cortical subdivisions have consistently been identified in members of many distantly related mammalian species</w:t>
      </w:r>
      <w:r>
        <w:t xml:space="preserve"> </w:t>
      </w:r>
      <w:r>
        <w:t xml:space="preserve">[@krubitzer_magnificent_2007]</w:t>
      </w:r>
      <w:r>
        <w:t xml:space="preserve"> </w:t>
      </w:r>
      <w:r>
        <w:t xml:space="preserve">and hypothesized to have been present in the common ancestor of all mammals</w:t>
      </w:r>
      <w:r>
        <w:t xml:space="preserve"> </w:t>
      </w:r>
      <w:r>
        <w:t xml:space="preserve">[@kaas_reconstructing_2011]</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[@kaas_reconstructing_2011]</w:t>
      </w:r>
      <w:r>
        <w:t xml:space="preserve">, since the divergence of mouse and human lineages some 80 million years ago, the primate neocortex has undergone substantial expansion and re-organization</w:t>
      </w:r>
      <w:r>
        <w:t xml:space="preserve"> </w:t>
      </w:r>
      <w:r>
        <w:t xml:space="preserve">[@kaas_evolution_2012]</w:t>
      </w:r>
      <w:r>
        <w:t xml:space="preserve">. Indeed, when comparing the human neocortex even to primate model species, this is the likely locus of areas that cannot be easily translated between species</w:t>
      </w:r>
      <w:r>
        <w:t xml:space="preserve"> </w:t>
      </w:r>
      <w:r>
        <w:t xml:space="preserve">[@mars_whole_2018]</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neuron_docx_files/figure-docx/results3-fig5-print-1.png" id="0" name="Picture"/>
                    <pic:cNvPicPr>
                      <a:picLocks noChangeArrowheads="1" noChangeAspect="1"/>
                    </pic:cNvPicPr>
                  </pic:nvPicPr>
                  <pic:blipFill>
                    <a:blip r:embed="rId28"/>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29"/>
    <w:bookmarkStart w:id="31" w:name="results-4"/>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[@balsters_primate_2020; @schaeffer_divergence_2020]</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[@neubert_comparison_2014]</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neuron_docx_files/figure-docx/results4-fig6-print-1.png" id="0" name="Picture"/>
                    <pic:cNvPicPr>
                      <a:picLocks noChangeArrowheads="1" noChangeAspect="1"/>
                    </pic:cNvPicPr>
                  </pic:nvPicPr>
                  <pic:blipFill>
                    <a:blip r:embed="rId30"/>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1"/>
    <w:bookmarkEnd w:id="32"/>
    <w:bookmarkStart w:id="33"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[@horev_dosage-dependent_2011; @gompers_germline_2017; @pagani_mtor-related_2021]</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[@ventura-antunes_different_2013]</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mouse coronal in-situ hybridization data set used here, the brain-wide expression of each gene is sampled only once (barring a few exceptions). This constrains the types of analyses that are possible (e.g. null 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[@stahl_visualization_2016; @vickovic_high-definition_2019; @ortiz_molecular_2020]</w:t>
      </w:r>
      <w:r>
        <w:t xml:space="preserve">. Second, the approach of relying on all available genes is subject to noise. To address this issue, Myers (2017)</w:t>
      </w:r>
      <w:r>
        <w:t xml:space="preserve"> </w:t>
      </w:r>
      <w:r>
        <w:t xml:space="preserve">[@myers_molecular_2017]</w:t>
      </w:r>
      <w:r>
        <w:t xml:space="preserve"> </w:t>
      </w:r>
      <w:r>
        <w:t xml:space="preserve">used a method of gene set selection to attempt to improve the correspondence between established mouse-human homologies. While this lead to improvement, it was only at the level of coarsely defined regions (e.g. cortex-cortex). Our approach, therefore, was to use supervised machine learning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[@striedter_brains_2020]</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[@krubitzer_magnificent_2007; @kaas_reconstructing_2011]</w:t>
      </w:r>
      <w:r>
        <w:t xml:space="preserve">. Although this common ancestor likely also had non-primary areas, it cannot be denied that association cortex expanded dramatically in primates and especially so in the human brain</w:t>
      </w:r>
      <w:r>
        <w:t xml:space="preserve"> </w:t>
      </w:r>
      <w:r>
        <w:t xml:space="preserve">[@chaplin_conserved_2013; @mars_evolutionary_2016]</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[@kaas_reconstructing_2011]</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[@eichert_cross-species_2020]</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[@rudebeck_foraging_2022; @kaas_neocortex_2011]</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[@barron_cross-species_2021]</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[@liu_functional_2021]</w:t>
      </w:r>
      <w:r>
        <w:t xml:space="preserve">. In a positive sense, it will also help by establishing and improving our understanding of the many aspects in which the model and human brain do concur</w:t>
      </w:r>
      <w:r>
        <w:t xml:space="preserve"> </w:t>
      </w:r>
      <w:r>
        <w:t xml:space="preserve">[@mandino_triple-network_2021]</w:t>
      </w:r>
      <w:r>
        <w:t xml:space="preserve">. More ambitious still, it can provide a way in which highly diverse manifestations of certain disease syndromes (e.g. autism spectrum disorder)</w:t>
      </w:r>
      <w:r>
        <w:t xml:space="preserve"> </w:t>
      </w:r>
      <w:r>
        <w:t xml:space="preserve">[@simonoff_psychiatric_2008; @grzadzinski_dsm-5_2013]</w:t>
      </w:r>
      <w:r>
        <w:t xml:space="preserve"> </w:t>
      </w:r>
      <w:r>
        <w:t xml:space="preserve">and the availability of many distinct model strains</w:t>
      </w:r>
      <w:r>
        <w:t xml:space="preserve"> </w:t>
      </w:r>
      <w:r>
        <w:t xml:space="preserve">[@ellegood_clustering_2015]</w:t>
      </w:r>
      <w:r>
        <w:t xml:space="preserve">, each hypothesized to capture a distinct aspect of a multi-dimensional clinical syndrome, can be related to one another. Ultimately, we believe that using the mapping of homologous gene expression between species can be an important part of building a transform that maps information obtained using mice to humans and vice versa.</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2022-04-06T16:43:53Z</dcterms:created>
  <dcterms:modified xsi:type="dcterms:W3CDTF">2022-04-06T16:43:53Z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