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p>
      <w:pPr>
        <w:pStyle w:val="FirstParagraph"/>
      </w:pPr>
      <w:r>
        <w:t xml:space="preserve">Transcriptomic similarity in the mouse and human brain</w:t>
      </w:r>
    </w:p>
    <w:bookmarkEnd w:id="21"/>
    <w:bookmarkStart w:id="22" w:name="authors"/>
    <w:p>
      <w:pPr>
        <w:pStyle w:val="Heading1"/>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r>
              <m:rPr>
                <m:sty m:val="p"/>
              </m:rPr>
              <m:t>*</m:t>
            </m:r>
          </m:sup>
        </m:sSup>
      </m:oMath>
      <w:r>
        <w:t xml:space="preserve">, Yohan Yee</w:t>
      </w:r>
      <m:oMath>
        <m:sSup>
          <m:e>
            <m:r>
              <m:t>​</m:t>
            </m:r>
          </m:e>
          <m:sup>
            <m:r>
              <m:t>1</m:t>
            </m:r>
            <m:r>
              <m:rPr>
                <m:sty m:val="p"/>
              </m:rPr>
              <m:t>,</m:t>
            </m:r>
            <m:r>
              <m:t>2</m:t>
            </m:r>
            <m:r>
              <m:rPr>
                <m:sty m:val="p"/>
              </m:rPr>
              <m:t>,</m:t>
            </m:r>
            <m:r>
              <m:t>3</m:t>
            </m:r>
          </m:sup>
        </m:sSup>
      </m:oMath>
      <w:r>
        <w:t xml:space="preserve">, Ben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sup>
        </m:sSup>
      </m:oMath>
    </w:p>
    <w:bookmarkEnd w:id="22"/>
    <w:bookmarkStart w:id="24" w:name="affiliations"/>
    <w:p>
      <w:pPr>
        <w:pStyle w:val="Heading1"/>
      </w:pPr>
      <w:r>
        <w:t xml:space="preserve">Affiliations</w:t>
      </w:r>
    </w:p>
    <w:p>
      <w:pPr>
        <w:pStyle w:val="FirstParagraph"/>
      </w:pPr>
      <m:oMath>
        <m:sSup>
          <m:e>
            <m:r>
              <m:t>​</m:t>
            </m:r>
          </m:e>
          <m:sup>
            <m:r>
              <m:t>1</m:t>
            </m:r>
          </m:sup>
        </m:sSup>
      </m:oMath>
      <w:r>
        <w:t xml:space="preserve">Mouse Imaging Centre, Toronto, Ontario, Canada.</w:t>
      </w:r>
    </w:p>
    <w:p>
      <w:pPr>
        <w:pStyle w:val="BodyText"/>
      </w:pPr>
      <m:oMath>
        <m:sSup>
          <m:e>
            <m:r>
              <m:t>​</m:t>
            </m:r>
          </m:e>
          <m:sup>
            <m:r>
              <m:t>2</m:t>
            </m:r>
          </m:sup>
        </m:sSup>
      </m:oMath>
      <w:r>
        <w:t xml:space="preserve">The Hospital for Sick Children, Toronto, Ontario, Canada.</w:t>
      </w:r>
    </w:p>
    <w:p>
      <w:pPr>
        <w:pStyle w:val="BodyText"/>
      </w:pPr>
      <m:oMath>
        <m:sSup>
          <m:e>
            <m:r>
              <m:t>​</m:t>
            </m:r>
          </m:e>
          <m:sup>
            <m:r>
              <m:t>3</m:t>
            </m:r>
          </m:sup>
        </m:sSup>
      </m:oMath>
      <w:r>
        <w:t xml:space="preserve">Department of Medical Biophysics, University of Toronto, Toronto, Ontario, Canada.</w:t>
      </w:r>
    </w:p>
    <w:p>
      <w:pPr>
        <w:pStyle w:val="BodyText"/>
      </w:pPr>
      <m:oMath>
        <m:sSup>
          <m:e>
            <m:r>
              <m:t>​</m:t>
            </m:r>
          </m:e>
          <m:sup>
            <m:r>
              <m:t>4</m:t>
            </m:r>
          </m:sup>
        </m:sSup>
      </m:oMath>
      <w:r>
        <w:t xml:space="preserve">Section on Developmental Neurogenomics, Human Genetics Branch, National Institute of Mental Health Intramural Research Program, Bethesda, MD, U.S.A.</w:t>
      </w:r>
    </w:p>
    <w:p>
      <w:pPr>
        <w:pStyle w:val="BodyText"/>
      </w:pP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p>
    <w:p>
      <w:pPr>
        <w:pStyle w:val="BodyText"/>
      </w:pPr>
      <m:oMath>
        <m:sSup>
          <m:e>
            <m:r>
              <m:t>​</m:t>
            </m:r>
          </m:e>
          <m:sup>
            <m:r>
              <m:t>6</m:t>
            </m:r>
          </m:sup>
        </m:sSup>
      </m:oMath>
      <w:r>
        <w:t xml:space="preserve">Donders Institute for Brain, Cognition and Behaviour, Radboud University Nijmegen, Nijmegen, Netherlands.</w:t>
      </w:r>
    </w:p>
    <w:p>
      <w:pPr>
        <w:pStyle w:val="BodyText"/>
      </w:pPr>
      <m:oMath>
        <m:sSup>
          <m:e>
            <m:r>
              <m:t>​</m:t>
            </m:r>
          </m:e>
          <m:sup>
            <m:r>
              <m:rPr>
                <m:sty m:val="p"/>
              </m:rPr>
              <m:t>†</m:t>
            </m:r>
          </m:sup>
        </m:sSup>
      </m:oMath>
      <w:r>
        <w:t xml:space="preserve">These authors contributed equally to this work.</w:t>
      </w:r>
    </w:p>
    <w:p>
      <w:pPr>
        <w:pStyle w:val="BodyText"/>
      </w:pPr>
      <m:oMath>
        <m:sSup>
          <m:e>
            <m:r>
              <m:t>​</m:t>
            </m:r>
          </m:e>
          <m:sup>
            <m:r>
              <m:rPr>
                <m:sty m:val="p"/>
              </m:rPr>
              <m:t>*</m:t>
            </m:r>
          </m:sup>
        </m:sSup>
      </m:oMath>
      <w:r>
        <w:t xml:space="preserve">Corresponding author. Email:</w:t>
      </w:r>
      <w:r>
        <w:t xml:space="preserve"> </w:t>
      </w:r>
      <w:hyperlink r:id="rId23">
        <w:r>
          <w:rPr>
            <w:rStyle w:val="Hyperlink"/>
          </w:rPr>
          <w:t xml:space="preserve">antoine.beauchamp@sickkids.ca</w:t>
        </w:r>
      </w:hyperlink>
    </w:p>
    <w:bookmarkEnd w:id="24"/>
    <w:bookmarkStart w:id="25"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the mouse and human brains. Using openly accessible brain-wide transcriptomic data sets, we evaluated the similarity of mouse and human brain regions on the basis of homologous gene expression. Our results suggest that mouse-human homologous genes capture broad patterns of neuroanatomical organization, but that the resolution of cross-species correspondences can be improved using a novel supervised machine learning approach. Using this method, we demonstrate that sensorimotor subdivisions of the neocortex exhibit greater similarity between species, compared with supramodal subdivisions, and that mouse isocortical regions separate into sensorimotor and supramodal clusters based on their similarity to human cortical regions. We also find that mouse and human striatal regions are strongly conserved, with the mouse caudoputamen exhibiting an equal degree of similarity to both the human caudate and putamen.</w:t>
      </w:r>
    </w:p>
    <w:bookmarkEnd w:id="25"/>
    <w:bookmarkStart w:id="26" w:name="teaser"/>
    <w:p>
      <w:pPr>
        <w:pStyle w:val="Heading1"/>
      </w:pPr>
      <w:r>
        <w:t xml:space="preserve">Teaser</w:t>
      </w:r>
    </w:p>
    <w:p>
      <w:pPr>
        <w:pStyle w:val="FirstParagraph"/>
      </w:pPr>
      <w:r>
        <w:t xml:space="preserve">Correspondences between the mouse and human brain can be identified using the expression patterns of homologous genes.</w:t>
      </w:r>
    </w:p>
    <w:bookmarkEnd w:id="26"/>
    <w:bookmarkStart w:id="27" w:name="main-text"/>
    <w:p>
      <w:pPr>
        <w:pStyle w:val="Heading1"/>
      </w:pPr>
      <w:r>
        <w:t xml:space="preserve">MAIN TEXT</w:t>
      </w:r>
    </w:p>
    <w:bookmarkEnd w:id="27"/>
    <w:bookmarkStart w:id="28" w:name="introduction"/>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8"/>
    <w:bookmarkStart w:id="33" w:name="results"/>
    <w:p>
      <w:pPr>
        <w:pStyle w:val="Heading1"/>
      </w:pPr>
      <w:r>
        <w:t xml:space="preserve">Results</w:t>
      </w:r>
    </w:p>
    <w:bookmarkStart w:id="29" w:name="X412160ecaee97263bc21274d33fb0f7784d97dd"/>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w:t>
      </w:r>
      <w:r>
        <w:t xml:space="preserve"> </w:t>
      </w:r>
      <w:r>
        <w:t xml:space="preserve">(</w:t>
      </w:r>
      <w:r>
        <w:rPr>
          <w:iCs/>
          <w:i/>
        </w:rPr>
        <w:t xml:space="preserve">29</w:t>
      </w:r>
      <w:r>
        <w:t xml:space="preserve">)</w:t>
      </w:r>
      <w:r>
        <w:t xml:space="preserve">.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(r = 0.404) as well as to brain stem structures like the pons (</w:t>
      </w:r>
      <m:oMath>
        <m:r>
          <m:t>r</m:t>
        </m:r>
        <m:r>
          <m:rPr>
            <m:sty m:val="p"/>
          </m:rPr>
          <m:t>=</m:t>
        </m:r>
        <m:r>
          <m:t>0.359</m:t>
        </m:r>
      </m:oMath>
      <w:r>
        <w:t xml:space="preserve"> </w:t>
      </w:r>
      <w:r>
        <w:t xml:space="preserve">and</w:t>
      </w:r>
      <w:r>
        <w:t xml:space="preserve"> </w:t>
      </w:r>
      <m:oMath>
        <m:r>
          <m:t>r</m:t>
        </m:r>
        <m:r>
          <m:rPr>
            <m:sty m:val="p"/>
          </m:rPr>
          <m:t>=</m:t>
        </m:r>
        <m:r>
          <m:t>0.371</m:t>
        </m:r>
      </m:oMath>
      <w:r>
        <w:t xml:space="preserve"> </w:t>
      </w:r>
      <w:r>
        <w:t xml:space="preserve">for the mouse and human nuclei respectively) and myelencephalon (</w:t>
      </w:r>
      <m:oMath>
        <m:r>
          <m:t>r</m:t>
        </m:r>
        <m:r>
          <m:rPr>
            <m:sty m:val="p"/>
          </m:rPr>
          <m:t>=</m:t>
        </m:r>
        <m:r>
          <m:t>0.318</m:t>
        </m:r>
      </m:oMath>
      <w:r>
        <w:t xml:space="preserve"> </w:t>
      </w:r>
      <w:r>
        <w:t xml:space="preserve">and</w:t>
      </w:r>
      <w:r>
        <w:t xml:space="preserve"> </w:t>
      </w:r>
      <m:oMath>
        <m:r>
          <m:t>r</m:t>
        </m:r>
        <m:r>
          <m:rPr>
            <m:sty m:val="p"/>
          </m:rPr>
          <m:t>=</m:t>
        </m:r>
        <m:r>
          <m:t>0.374</m:t>
        </m:r>
      </m:oMath>
      <w:r>
        <w:t xml:space="preserve">).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w:t>
      </w:r>
      <w:r>
        <w:t xml:space="preserve"> </w:t>
      </w:r>
      <m:oMath>
        <m:r>
          <m:t>r</m:t>
        </m:r>
        <m:r>
          <m:rPr>
            <m:sty m:val="p"/>
          </m:rPr>
          <m:t>=</m:t>
        </m:r>
        <m:r>
          <m:t>0.980</m:t>
        </m:r>
      </m:oMath>
      <w:r>
        <w:t xml:space="preserve">. The similarity profile of human cerebellar crus 1 highlights another example of this homogeneity. The profile of crus 1 is similar to that of all regions of the mouse cerebellum, with an average correlation of</w:t>
      </w:r>
      <w:r>
        <w:t xml:space="preserve"> </w:t>
      </w:r>
      <m:oMath>
        <m:r>
          <m:t>r</m:t>
        </m:r>
        <m:r>
          <m:rPr>
            <m:sty m:val="p"/>
          </m:rPr>
          <m:t>=</m:t>
        </m:r>
        <m:r>
          <m:t>0.269</m:t>
        </m:r>
      </m:oMath>
      <w:r>
        <w:t xml:space="preserve"> </w:t>
      </w:r>
      <w:r>
        <w:t xml:space="preserve">and a standard deviation of</w:t>
      </w:r>
      <w:r>
        <w:t xml:space="preserve"> </w:t>
      </w:r>
      <m:oMath>
        <m:r>
          <m:t>σ</m:t>
        </m:r>
        <m:r>
          <m:rPr>
            <m:sty m:val="p"/>
          </m:rPr>
          <m:t>=</m:t>
        </m:r>
        <m:r>
          <m:t>0.041</m:t>
        </m:r>
      </m:oMath>
      <w:r>
        <w:t xml:space="preserve">. Across all regions, the variance of the correlations across cortical regions is</w:t>
      </w:r>
      <w:r>
        <w:t xml:space="preserve"> </w:t>
      </w:r>
      <m:oMath>
        <m:sSup>
          <m:e>
            <m:r>
              <m:t>σ</m:t>
            </m:r>
          </m:e>
          <m:sup>
            <m:r>
              <m:t>2</m:t>
            </m:r>
          </m:sup>
        </m:sSup>
        <m:r>
          <m:rPr>
            <m:sty m:val="p"/>
          </m:rPr>
          <m:t>=</m:t>
        </m:r>
        <m:r>
          <m:t>0.0052</m:t>
        </m:r>
      </m:oMath>
      <w:r>
        <w:t xml:space="preserve"> </w:t>
      </w:r>
      <w:r>
        <w:t xml:space="preserve">while that across cerebellar hemispheric regions is</w:t>
      </w:r>
      <w:r>
        <w:t xml:space="preserve"> </w:t>
      </w:r>
      <m:oMath>
        <m:sSup>
          <m:e>
            <m:r>
              <m:t>σ</m:t>
            </m:r>
          </m:e>
          <m:sup>
            <m:r>
              <m:t>2</m:t>
            </m:r>
          </m:sup>
        </m:sSup>
        <m:r>
          <m:rPr>
            <m:sty m:val="p"/>
          </m:rPr>
          <m:t>=</m:t>
        </m:r>
        <m:r>
          <m:t>0.0017</m:t>
        </m:r>
      </m:oMath>
      <w:r>
        <w:t xml:space="preserve">, compared with a total variation of</w:t>
      </w:r>
      <w:r>
        <w:t xml:space="preserve"> </w:t>
      </w:r>
      <m:oMath>
        <m:sSup>
          <m:e>
            <m:r>
              <m:t>σ</m:t>
            </m:r>
          </m:e>
          <m:sup>
            <m:r>
              <m:t>2</m:t>
            </m:r>
          </m:sup>
        </m:sSup>
        <m:r>
          <m:rPr>
            <m:sty m:val="p"/>
          </m:rPr>
          <m:t>=</m:t>
        </m:r>
        <m:r>
          <m:t>0.0416</m:t>
        </m:r>
      </m:oMath>
      <w:r>
        <w:t xml:space="preserve"> </w:t>
      </w:r>
      <w:r>
        <w:t xml:space="preserve">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bookmarkEnd w:id="29"/>
    <w:bookmarkStart w:id="30" w:name="X1872616c09a333acb6a71d525f62fd28f55d4f0"/>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w:t>
      </w:r>
      <m:oMath>
        <m:r>
          <m:t>μ</m:t>
        </m:r>
        <m:r>
          <m:rPr>
            <m:sty m:val="p"/>
          </m:rPr>
          <m:t>=</m:t>
        </m:r>
        <m:r>
          <m:t>18.4</m:t>
        </m:r>
        <m:r>
          <m:rPr>
            <m:sty m:val="p"/>
          </m:rPr>
          <m:t>;</m:t>
        </m:r>
        <m:r>
          <m:t>σ</m:t>
        </m:r>
        <m:r>
          <m:rPr>
            <m:sty m:val="p"/>
          </m:rPr>
          <m:t>=</m:t>
        </m:r>
        <m:r>
          <m:t>12.7</m:t>
        </m:r>
      </m:oMath>
      <w:r>
        <w:t xml:space="preserve">), the accessory olfactory bulb (</w:t>
      </w:r>
      <m:oMath>
        <m:r>
          <m:t>μ</m:t>
        </m:r>
        <m:r>
          <m:rPr>
            <m:sty m:val="p"/>
          </m:rPr>
          <m:t>=</m:t>
        </m:r>
        <m:r>
          <m:t>8.7</m:t>
        </m:r>
        <m:r>
          <m:rPr>
            <m:sty m:val="p"/>
          </m:rPr>
          <m:t>;</m:t>
        </m:r>
        <m:r>
          <m:t>σ</m:t>
        </m:r>
        <m:r>
          <m:rPr>
            <m:sty m:val="p"/>
          </m:rPr>
          <m:t>=</m:t>
        </m:r>
        <m:r>
          <m:t>11.6</m:t>
        </m:r>
      </m:oMath>
      <w:r>
        <w:t xml:space="preserve">), and the cerebellar nuclei (</w:t>
      </w:r>
      <m:oMath>
        <m:r>
          <m:t>μ</m:t>
        </m:r>
        <m:r>
          <m:rPr>
            <m:sty m:val="p"/>
          </m:rPr>
          <m:t>=</m:t>
        </m:r>
        <m:r>
          <m:t>9.1</m:t>
        </m:r>
        <m:r>
          <m:rPr>
            <m:sty m:val="p"/>
          </m:rPr>
          <m:t>;</m:t>
        </m:r>
        <m:r>
          <m:t>σ</m:t>
        </m:r>
        <m:r>
          <m:rPr>
            <m:sty m:val="p"/>
          </m:rPr>
          <m:t>=</m:t>
        </m:r>
        <m:r>
          <m:t>8.5</m:t>
        </m:r>
      </m:oMath>
      <w:r>
        <w:t xml:space="preserve">).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w:t>
      </w:r>
      <w:r>
        <w:t xml:space="preserve"> </w:t>
      </w:r>
      <m:oMath>
        <m:r>
          <m:t>μ</m:t>
        </m:r>
        <m:r>
          <m:rPr>
            <m:sty m:val="p"/>
          </m:rPr>
          <m:t>=</m:t>
        </m:r>
        <m:r>
          <m:t>1.4</m:t>
        </m:r>
      </m:oMath>
      <w:r>
        <w:t xml:space="preserve"> </w:t>
      </w:r>
      <w:r>
        <w:t xml:space="preserve">and</w:t>
      </w:r>
      <w:r>
        <w:t xml:space="preserve"> </w:t>
      </w:r>
      <m:oMath>
        <m:r>
          <m:t>σ</m:t>
        </m:r>
        <m:r>
          <m:rPr>
            <m:sty m:val="p"/>
          </m:rPr>
          <m:t>=</m:t>
        </m:r>
        <m:r>
          <m:t>3.6</m:t>
        </m:r>
      </m:oMath>
      <w:r>
        <w:t xml:space="preserve">.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0"/>
    <w:bookmarkStart w:id="31" w:name="X2c55f2bdde546a3fc43a4657fe880f3b98c63fc"/>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r</m:t>
        </m:r>
        <m:r>
          <m:rPr>
            <m:sty m:val="p"/>
          </m:rPr>
          <m:t>=</m:t>
        </m:r>
        <m:r>
          <m:t>0.94</m:t>
        </m:r>
        <m:r>
          <m:rPr>
            <m:sty m:val="p"/>
          </m:rPr>
          <m:t>±</m:t>
        </m:r>
        <m:r>
          <m:t>0.04</m:t>
        </m:r>
      </m:oMath>
      <w:r>
        <w:t xml:space="preserve"> </w:t>
      </w:r>
      <w:r>
        <w:t xml:space="preserve">and</w:t>
      </w:r>
      <w:r>
        <w:t xml:space="preserve"> </w:t>
      </w:r>
      <m:oMath>
        <m:r>
          <m:t>r</m:t>
        </m:r>
        <m:r>
          <m:rPr>
            <m:sty m:val="p"/>
          </m:rPr>
          <m:t>=</m:t>
        </m:r>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r</m:t>
        </m:r>
        <m:r>
          <m:rPr>
            <m:sty m:val="p"/>
          </m:rPr>
          <m:t>=</m:t>
        </m:r>
        <m:r>
          <m:t>0.89</m:t>
        </m:r>
        <m:r>
          <m:rPr>
            <m:sty m:val="p"/>
          </m:rPr>
          <m:t>±</m:t>
        </m:r>
        <m:r>
          <m:t>0.04</m:t>
        </m:r>
      </m:oMath>
      <w:r>
        <w:t xml:space="preserve">), compared with supramodal areas (</w:t>
      </w:r>
      <m:oMath>
        <m:r>
          <m:t>r</m:t>
        </m:r>
        <m:r>
          <m:rPr>
            <m:sty m:val="p"/>
          </m:rPr>
          <m:t>=</m:t>
        </m:r>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w:t>
      </w:r>
      <w:r>
        <w:t xml:space="preserve"> </w:t>
      </w:r>
      <m:oMath>
        <m:r>
          <m:t>r</m:t>
        </m:r>
        <m:r>
          <m:rPr>
            <m:sty m:val="p"/>
          </m:rPr>
          <m:t>=</m:t>
        </m:r>
        <m:r>
          <m:t>0.92</m:t>
        </m:r>
      </m:oMath>
      <w:r>
        <w:t xml:space="preserve">.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bookmarkEnd w:id="31"/>
    <w:bookmarkStart w:id="32"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variance in correlation calculated over all mouse targets is much lower (</w:t>
      </w:r>
      <m:oMath>
        <m:r>
          <m:t>σ</m:t>
        </m:r>
        <m:r>
          <m:rPr>
            <m:sty m:val="p"/>
          </m:rPr>
          <m:t>=</m:t>
        </m:r>
        <m:r>
          <m:t>0.04</m:t>
        </m:r>
      </m:oMath>
      <w:r>
        <w:t xml:space="preserve">) compared with the equivalent variances for the caudate (</w:t>
      </w:r>
      <m:oMath>
        <m:r>
          <m:t>σ</m:t>
        </m:r>
        <m:r>
          <m:rPr>
            <m:sty m:val="p"/>
          </m:rPr>
          <m:t>=</m:t>
        </m:r>
        <m:r>
          <m:t>0.09</m:t>
        </m:r>
      </m:oMath>
      <w:r>
        <w:t xml:space="preserve">) and putamen (</w:t>
      </w:r>
      <m:oMath>
        <m:r>
          <m:t>σ</m:t>
        </m:r>
        <m:r>
          <m:rPr>
            <m:sty m:val="p"/>
          </m:rPr>
          <m:t>=</m:t>
        </m:r>
        <m:r>
          <m:t>0.10</m:t>
        </m:r>
      </m:oMath>
      <w:r>
        <w:t xml:space="preserve">),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bookmarkEnd w:id="32"/>
    <w:bookmarkEnd w:id="33"/>
    <w:bookmarkStart w:id="34"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coronal in-situ hybridization data set used here, the brain-wide expression of each gene is sampled only once (barring a few exceptions). This constrains the types of analyses that are possible (e.g. null-hypothesis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 used a method of gene set selection to attempt to improve the correspondence between established mouse-human homologies. While this lead to improvement, it was only at the level of coarsely defined regions (e.g. cortex-cortex). Our approach, therefore, was to use a supervised machine learning model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37</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38</w:t>
      </w:r>
      <w:r>
        <w:t xml:space="preserve">,</w:t>
      </w:r>
      <w:r>
        <w:t xml:space="preserve"> </w:t>
      </w:r>
      <w:r>
        <w:rPr>
          <w:iCs/>
          <w:i/>
        </w:rPr>
        <w:t xml:space="preserve">39</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40</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41</w:t>
      </w:r>
      <w:r>
        <w:t xml:space="preserve">,</w:t>
      </w:r>
      <w:r>
        <w:t xml:space="preserve"> </w:t>
      </w:r>
      <w:r>
        <w:rPr>
          <w:iCs/>
          <w:i/>
        </w:rPr>
        <w:t xml:space="preserve">42</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43</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44</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45</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46</w:t>
      </w:r>
      <w:r>
        <w:t xml:space="preserve">,</w:t>
      </w:r>
      <w:r>
        <w:t xml:space="preserve"> </w:t>
      </w:r>
      <w:r>
        <w:rPr>
          <w:iCs/>
          <w:i/>
        </w:rPr>
        <w:t xml:space="preserve">47</w:t>
      </w:r>
      <w:r>
        <w:t xml:space="preserve">)</w:t>
      </w:r>
      <w:r>
        <w:t xml:space="preserve"> </w:t>
      </w:r>
      <w:r>
        <w:t xml:space="preserve">and the availability of many distinct model strains</w:t>
      </w:r>
      <w:r>
        <w:t xml:space="preserve"> </w:t>
      </w:r>
      <w:r>
        <w:t xml:space="preserve">(</w:t>
      </w:r>
      <w:r>
        <w:rPr>
          <w:iCs/>
          <w:i/>
        </w:rPr>
        <w:t xml:space="preserve">48</w:t>
      </w:r>
      <w:r>
        <w:t xml:space="preserve">)</w:t>
      </w:r>
      <w:r>
        <w:t xml:space="preserve">, each hypothesized to capture a distinct aspect of a multi-dimensional clinical syndrome, can be related to one another.</w:t>
      </w:r>
    </w:p>
    <w:bookmarkEnd w:id="34"/>
    <w:bookmarkStart w:id="49" w:name="materials-and-methods"/>
    <w:p>
      <w:pPr>
        <w:pStyle w:val="Heading1"/>
      </w:pPr>
      <w:r>
        <w:t xml:space="preserve">Materials and methods</w:t>
      </w:r>
    </w:p>
    <w:bookmarkStart w:id="36"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49</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5">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6"/>
    <w:bookmarkStart w:id="39"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7">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8">
        <w:r>
          <w:rPr>
            <w:rStyle w:val="Hyperlink"/>
          </w:rPr>
          <w:t xml:space="preserve">https://abagen.readthedocs.io/en/stable/</w:t>
        </w:r>
      </w:hyperlink>
      <w:r>
        <w:t xml:space="preserve">)</w:t>
      </w:r>
      <w:r>
        <w:t xml:space="preserve"> </w:t>
      </w:r>
      <w:r>
        <w:t xml:space="preserve">(</w:t>
      </w:r>
      <w:r>
        <w:rPr>
          <w:iCs/>
          <w:i/>
        </w:rPr>
        <w:t xml:space="preserve">50</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51</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39"/>
    <w:bookmarkStart w:id="40"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52</w:t>
      </w:r>
      <w:r>
        <w:t xml:space="preserve">–</w:t>
      </w:r>
      <w:r>
        <w:rPr>
          <w:iCs/>
          <w:i/>
        </w:rPr>
        <w:t xml:space="preserve">56</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0"/>
    <w:bookmarkStart w:id="41"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1"/>
    <w:bookmarkStart w:id="42"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29</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2"/>
    <w:bookmarkStart w:id="44"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3">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57</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4"/>
    <w:bookmarkStart w:id="48"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45">
        <w:r>
          <w:rPr>
            <w:rStyle w:val="Hyperlink"/>
          </w:rPr>
          <w:t xml:space="preserve">https://rmarkdown.rstudio.com</w:t>
        </w:r>
      </w:hyperlink>
      <w:r>
        <w:t xml:space="preserve">) and LaTeX (</w:t>
      </w:r>
      <w:hyperlink r:id="rId46">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7">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7">
        <w:r>
          <w:rPr>
            <w:rStyle w:val="Hyperlink"/>
          </w:rPr>
          <w:t xml:space="preserve">https://github.com/abeaucha/MouseHumanTranscriptomicSimilarity/</w:t>
        </w:r>
      </w:hyperlink>
      <w:r>
        <w:t xml:space="preserve">.</w:t>
      </w:r>
    </w:p>
    <w:bookmarkEnd w:id="48"/>
    <w:bookmarkEnd w:id="49"/>
    <w:bookmarkStart w:id="111" w:name="references"/>
    <w:p>
      <w:pPr>
        <w:pStyle w:val="Heading1"/>
      </w:pPr>
      <w:r>
        <w:t xml:space="preserve">References</w:t>
      </w:r>
    </w:p>
    <w:bookmarkStart w:id="110" w:name="refs"/>
    <w:bookmarkStart w:id="50"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0"/>
    <w:bookmarkStart w:id="51"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1"/>
    <w:bookmarkStart w:id="52"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2"/>
    <w:bookmarkStart w:id="53"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3"/>
    <w:bookmarkStart w:id="54"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4"/>
    <w:bookmarkStart w:id="55"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5"/>
    <w:bookmarkStart w:id="56"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6"/>
    <w:bookmarkStart w:id="57"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7"/>
    <w:bookmarkStart w:id="58"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8"/>
    <w:bookmarkStart w:id="59"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59"/>
    <w:bookmarkStart w:id="60"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0"/>
    <w:bookmarkStart w:id="61"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1"/>
    <w:bookmarkStart w:id="62"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2"/>
    <w:bookmarkStart w:id="63"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3"/>
    <w:bookmarkStart w:id="65"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4">
        <w:r>
          <w:rPr>
            <w:rStyle w:val="Hyperlink"/>
          </w:rPr>
          <w:t xml:space="preserve">10.7554/eLife.35237</w:t>
        </w:r>
      </w:hyperlink>
      <w:r>
        <w:t xml:space="preserve">.</w:t>
      </w:r>
    </w:p>
    <w:bookmarkEnd w:id="65"/>
    <w:bookmarkStart w:id="66"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6"/>
    <w:bookmarkStart w:id="67"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7"/>
    <w:bookmarkStart w:id="68"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8"/>
    <w:bookmarkStart w:id="69"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69"/>
    <w:bookmarkStart w:id="70"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0"/>
    <w:bookmarkStart w:id="71"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1"/>
    <w:bookmarkStart w:id="72"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2"/>
    <w:bookmarkStart w:id="73"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3"/>
    <w:bookmarkStart w:id="74"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4"/>
    <w:bookmarkStart w:id="75"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5"/>
    <w:bookmarkStart w:id="76"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6"/>
    <w:bookmarkStart w:id="77"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7"/>
    <w:bookmarkStart w:id="78"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8"/>
    <w:bookmarkStart w:id="79" w:name="ref-ncbi_database_2018"/>
    <w:p>
      <w:pPr>
        <w:pStyle w:val="Bibliography"/>
      </w:pPr>
      <w:r>
        <w:t xml:space="preserve">29.</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79"/>
    <w:bookmarkStart w:id="80"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0"/>
    <w:bookmarkStart w:id="81"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1"/>
    <w:bookmarkStart w:id="82"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2"/>
    <w:bookmarkStart w:id="83"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3"/>
    <w:bookmarkStart w:id="85"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4">
        <w:r>
          <w:rPr>
            <w:rStyle w:val="Hyperlink"/>
          </w:rPr>
          <w:t xml:space="preserve">10.3389/fnana.2013.00003</w:t>
        </w:r>
      </w:hyperlink>
      <w:r>
        <w:t xml:space="preserve">.</w:t>
      </w:r>
    </w:p>
    <w:bookmarkEnd w:id="85"/>
    <w:bookmarkStart w:id="86"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6"/>
    <w:bookmarkStart w:id="87"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7"/>
    <w:bookmarkStart w:id="88" w:name="ref-striedter_brains_2020"/>
    <w:p>
      <w:pPr>
        <w:pStyle w:val="Bibliography"/>
      </w:pPr>
      <w:r>
        <w:t xml:space="preserve">37.</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88"/>
    <w:bookmarkStart w:id="89" w:name="ref-chaplin_conserved_2013"/>
    <w:p>
      <w:pPr>
        <w:pStyle w:val="Bibliography"/>
      </w:pPr>
      <w:r>
        <w:t xml:space="preserve">38.</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89"/>
    <w:bookmarkStart w:id="90" w:name="ref-mars_evolutionary_2016"/>
    <w:p>
      <w:pPr>
        <w:pStyle w:val="Bibliography"/>
      </w:pPr>
      <w:r>
        <w:t xml:space="preserve">39.</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0"/>
    <w:bookmarkStart w:id="91" w:name="ref-eichert_cross-species_2020"/>
    <w:p>
      <w:pPr>
        <w:pStyle w:val="Bibliography"/>
      </w:pPr>
      <w:r>
        <w:t xml:space="preserve">40.</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1"/>
    <w:bookmarkStart w:id="92" w:name="ref-rudebeck_foraging_2022"/>
    <w:p>
      <w:pPr>
        <w:pStyle w:val="Bibliography"/>
      </w:pPr>
      <w:r>
        <w:t xml:space="preserve">41.</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2"/>
    <w:bookmarkStart w:id="93" w:name="ref-kaas_neocortex_2011"/>
    <w:p>
      <w:pPr>
        <w:pStyle w:val="Bibliography"/>
      </w:pPr>
      <w:r>
        <w:t xml:space="preserve">42.</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3"/>
    <w:bookmarkStart w:id="94" w:name="ref-barron_cross-species_2021"/>
    <w:p>
      <w:pPr>
        <w:pStyle w:val="Bibliography"/>
      </w:pPr>
      <w:r>
        <w:t xml:space="preserve">43.</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4"/>
    <w:bookmarkStart w:id="95" w:name="ref-liu_functional_2021"/>
    <w:p>
      <w:pPr>
        <w:pStyle w:val="Bibliography"/>
      </w:pPr>
      <w:r>
        <w:t xml:space="preserve">44.</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5"/>
    <w:bookmarkStart w:id="96" w:name="ref-mandino_triple-network_2021"/>
    <w:p>
      <w:pPr>
        <w:pStyle w:val="Bibliography"/>
      </w:pPr>
      <w:r>
        <w:t xml:space="preserve">45.</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6"/>
    <w:bookmarkStart w:id="97" w:name="ref-simonoff_psychiatric_2008"/>
    <w:p>
      <w:pPr>
        <w:pStyle w:val="Bibliography"/>
      </w:pPr>
      <w:r>
        <w:t xml:space="preserve">46.</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97"/>
    <w:bookmarkStart w:id="98" w:name="ref-grzadzinski_dsm-5_2013"/>
    <w:p>
      <w:pPr>
        <w:pStyle w:val="Bibliography"/>
      </w:pPr>
      <w:r>
        <w:t xml:space="preserve">47.</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98"/>
    <w:bookmarkStart w:id="99" w:name="ref-ellegood_clustering_2015"/>
    <w:p>
      <w:pPr>
        <w:pStyle w:val="Bibliography"/>
      </w:pPr>
      <w:r>
        <w:t xml:space="preserve">48.</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99"/>
    <w:bookmarkStart w:id="100" w:name="ref-wang_allen_2020"/>
    <w:p>
      <w:pPr>
        <w:pStyle w:val="Bibliography"/>
      </w:pPr>
      <w:r>
        <w:t xml:space="preserve">49.</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0"/>
    <w:bookmarkStart w:id="101" w:name="ref-markello_standardizing_2021"/>
    <w:p>
      <w:pPr>
        <w:pStyle w:val="Bibliography"/>
      </w:pPr>
      <w:r>
        <w:t xml:space="preserve">50.</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1"/>
    <w:bookmarkStart w:id="102" w:name="ref-arnatkeviciute_practical_2019"/>
    <w:p>
      <w:pPr>
        <w:pStyle w:val="Bibliography"/>
      </w:pPr>
      <w:r>
        <w:t xml:space="preserve">51.</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2"/>
    <w:bookmarkStart w:id="103" w:name="ref-dorr_high_2008"/>
    <w:p>
      <w:pPr>
        <w:pStyle w:val="Bibliography"/>
      </w:pPr>
      <w:r>
        <w:t xml:space="preserve">52.</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3"/>
    <w:bookmarkStart w:id="104" w:name="ref-richards_segmentation_2011"/>
    <w:p>
      <w:pPr>
        <w:pStyle w:val="Bibliography"/>
      </w:pPr>
      <w:r>
        <w:t xml:space="preserve">53.</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4"/>
    <w:bookmarkStart w:id="105" w:name="ref-ullmann_segmentation_2013"/>
    <w:p>
      <w:pPr>
        <w:pStyle w:val="Bibliography"/>
      </w:pPr>
      <w:r>
        <w:t xml:space="preserve">54.</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5"/>
    <w:bookmarkStart w:id="106" w:name="ref-steadman_genetic_2014"/>
    <w:p>
      <w:pPr>
        <w:pStyle w:val="Bibliography"/>
      </w:pPr>
      <w:r>
        <w:t xml:space="preserve">55.</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6"/>
    <w:bookmarkStart w:id="107" w:name="ref-qiu_mouse_2018"/>
    <w:p>
      <w:pPr>
        <w:pStyle w:val="Bibliography"/>
      </w:pPr>
      <w:r>
        <w:t xml:space="preserve">56.</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07"/>
    <w:bookmarkStart w:id="109" w:name="ref-loshchilov_decoupled_2019"/>
    <w:p>
      <w:pPr>
        <w:pStyle w:val="Bibliography"/>
      </w:pPr>
      <w:r>
        <w:t xml:space="preserve">57.</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08">
        <w:r>
          <w:rPr>
            <w:rStyle w:val="Hyperlink"/>
          </w:rPr>
          <w:t xml:space="preserve">http://arxiv.org/abs/1711.05101</w:t>
        </w:r>
      </w:hyperlink>
      <w:r>
        <w:t xml:space="preserve">).</w:t>
      </w:r>
    </w:p>
    <w:bookmarkEnd w:id="109"/>
    <w:bookmarkEnd w:id="110"/>
    <w:bookmarkEnd w:id="111"/>
    <w:bookmarkStart w:id="112" w:name="acknowledgments"/>
    <w:p>
      <w:pPr>
        <w:pStyle w:val="Heading1"/>
      </w:pPr>
      <w:r>
        <w:t xml:space="preserve">Acknowledgments</w:t>
      </w:r>
    </w:p>
    <w:bookmarkEnd w:id="112"/>
    <w:bookmarkStart w:id="119" w:name="figures-and-tables"/>
    <w:p>
      <w:pPr>
        <w:pStyle w:val="Heading1"/>
      </w:pPr>
      <w:r>
        <w:t xml:space="preserve">Figures and Tables</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docx_files/figure-docx/results1-fig1-print-1.png" id="0" name="Picture"/>
                    <pic:cNvPicPr>
                      <a:picLocks noChangeArrowheads="1" noChangeAspect="1"/>
                    </pic:cNvPicPr>
                  </pic:nvPicPr>
                  <pic:blipFill>
                    <a:blip r:embed="rId113"/>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docx_files/figure-docx/results2-fig2-print-1.png" id="0" name="Picture"/>
                    <pic:cNvPicPr>
                      <a:picLocks noChangeArrowheads="1" noChangeAspect="1"/>
                    </pic:cNvPicPr>
                  </pic:nvPicPr>
                  <pic:blipFill>
                    <a:blip r:embed="rId114"/>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docx_files/figure-docx/results2-fig3-print-1.png" id="0" name="Picture"/>
                    <pic:cNvPicPr>
                      <a:picLocks noChangeArrowheads="1" noChangeAspect="1"/>
                    </pic:cNvPicPr>
                  </pic:nvPicPr>
                  <pic:blipFill>
                    <a:blip r:embed="rId115"/>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docx_files/figure-docx/results2-fig4-print-1.png" id="0" name="Picture"/>
                    <pic:cNvPicPr>
                      <a:picLocks noChangeArrowheads="1" noChangeAspect="1"/>
                    </pic:cNvPicPr>
                  </pic:nvPicPr>
                  <pic:blipFill>
                    <a:blip r:embed="rId116"/>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docx_files/figure-docx/results3-fig5-print-1.png" id="0" name="Picture"/>
                    <pic:cNvPicPr>
                      <a:picLocks noChangeArrowheads="1" noChangeAspect="1"/>
                    </pic:cNvPicPr>
                  </pic:nvPicPr>
                  <pic:blipFill>
                    <a:blip r:embed="rId117"/>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docx_files/figure-docx/results4-fig6-print-1.png" id="0" name="Picture"/>
                    <pic:cNvPicPr>
                      <a:picLocks noChangeArrowheads="1" noChangeAspect="1"/>
                    </pic:cNvPicPr>
                  </pic:nvPicPr>
                  <pic:blipFill>
                    <a:blip r:embed="rId118"/>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119"/>
    <w:bookmarkStart w:id="120" w:name="supplementary-materials"/>
    <w:p>
      <w:pPr>
        <w:pStyle w:val="Heading1"/>
      </w:pPr>
      <w:r>
        <w:t xml:space="preserve">Supplementary Materials</w:t>
      </w:r>
    </w:p>
    <w:bookmarkEnd w:id="120"/>
    <w:sectPr w:rsidR="002E76AA" w:rsidRPr="007571C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2CEE16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93ECB8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CBA70D8"/>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F14B34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6C2AFA1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546407C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6ECC3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7E8D6EA"/>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79A459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4549D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EBCCD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9A7718"/>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9A7718"/>
    <w:pPr>
      <w:keepNext/>
      <w:keepLines/>
      <w:spacing w:after="0" w:before="120"/>
      <w:ind w:firstLine="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4070C3"/>
    <w:pPr>
      <w:keepNext/>
      <w:keepLines/>
      <w:spacing w:after="0" w:before="200"/>
      <w:ind w:left="720"/>
      <w:outlineLvl w:val="2"/>
    </w:pPr>
    <w:rPr>
      <w:rFonts w:ascii="Times New Roman" w:cstheme="majorBidi" w:eastAsiaTheme="majorEastAsia" w:hAnsi="Times New Roman"/>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26899"/>
    <w:pPr>
      <w:spacing w:after="180" w:before="180"/>
      <w:ind w:left="720"/>
    </w:pPr>
    <w:rPr>
      <w:rFonts w:ascii="Times New Roman" w:hAnsi="Times New Roman"/>
    </w:rPr>
  </w:style>
  <w:style w:customStyle="1" w:styleId="FirstParagraph" w:type="paragraph">
    <w:name w:val="First Paragraph"/>
    <w:basedOn w:val="BodyText"/>
    <w:next w:val="BodyText"/>
    <w:qFormat/>
    <w:rsid w:val="004070C3"/>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4070C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22689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hyperlink" Id="rId37" Target="http://api.brain-map.org" TargetMode="External" /><Relationship Type="http://schemas.openxmlformats.org/officeDocument/2006/relationships/hyperlink" Id="rId108" Target="http://arxiv.org/abs/1711.05101" TargetMode="External" /><Relationship Type="http://schemas.openxmlformats.org/officeDocument/2006/relationships/hyperlink" Id="rId35" Target="http://help.brain-map.org/display/api/Downloading+3-D+Expression+Grid+Data" TargetMode="External" /><Relationship Type="http://schemas.openxmlformats.org/officeDocument/2006/relationships/hyperlink" Id="rId38" Target="https://abagen.readthedocs.io/en/stable/" TargetMode="External" /><Relationship Type="http://schemas.openxmlformats.org/officeDocument/2006/relationships/hyperlink" Id="rId84" Target="https://doi.org/10.3389/fnana.2013.00003" TargetMode="External" /><Relationship Type="http://schemas.openxmlformats.org/officeDocument/2006/relationships/hyperlink" Id="rId64" Target="https://doi.org/10.7554/eLife.35237" TargetMode="External" /><Relationship Type="http://schemas.openxmlformats.org/officeDocument/2006/relationships/hyperlink" Id="rId47" Target="https://github.com/abeaucha/MouseHumanTranscriptomicSimilarity/" TargetMode="External" /><Relationship Type="http://schemas.openxmlformats.org/officeDocument/2006/relationships/hyperlink" Id="rId45" Target="https://rmarkdown.rstudio.com" TargetMode="External" /><Relationship Type="http://schemas.openxmlformats.org/officeDocument/2006/relationships/hyperlink" Id="rId43" Target="https://skorch.readthedocs.io/en/stable/" TargetMode="External" /><Relationship Type="http://schemas.openxmlformats.org/officeDocument/2006/relationships/hyperlink" Id="rId46" Target="https://www.latex-project.org" TargetMode="External" /><Relationship Type="http://schemas.openxmlformats.org/officeDocument/2006/relationships/hyperlink" Id="rId23" Target="mailto:antoine.beauchamp@sickkids.ca" TargetMode="External" /></Relationships>
</file>

<file path=word/_rels/footnotes.xml.rels><?xml version="1.0" encoding="UTF-8"?><Relationships xmlns="http://schemas.openxmlformats.org/package/2006/relationships"><Relationship Type="http://schemas.openxmlformats.org/officeDocument/2006/relationships/hyperlink" Id="rId37" Target="http://api.brain-map.org" TargetMode="External" /><Relationship Type="http://schemas.openxmlformats.org/officeDocument/2006/relationships/hyperlink" Id="rId108" Target="http://arxiv.org/abs/1711.05101" TargetMode="External" /><Relationship Type="http://schemas.openxmlformats.org/officeDocument/2006/relationships/hyperlink" Id="rId35" Target="http://help.brain-map.org/display/api/Downloading+3-D+Expression+Grid+Data" TargetMode="External" /><Relationship Type="http://schemas.openxmlformats.org/officeDocument/2006/relationships/hyperlink" Id="rId38" Target="https://abagen.readthedocs.io/en/stable/" TargetMode="External" /><Relationship Type="http://schemas.openxmlformats.org/officeDocument/2006/relationships/hyperlink" Id="rId84" Target="https://doi.org/10.3389/fnana.2013.00003" TargetMode="External" /><Relationship Type="http://schemas.openxmlformats.org/officeDocument/2006/relationships/hyperlink" Id="rId64" Target="https://doi.org/10.7554/eLife.35237" TargetMode="External" /><Relationship Type="http://schemas.openxmlformats.org/officeDocument/2006/relationships/hyperlink" Id="rId47" Target="https://github.com/abeaucha/MouseHumanTranscriptomicSimilarity/" TargetMode="External" /><Relationship Type="http://schemas.openxmlformats.org/officeDocument/2006/relationships/hyperlink" Id="rId45" Target="https://rmarkdown.rstudio.com" TargetMode="External" /><Relationship Type="http://schemas.openxmlformats.org/officeDocument/2006/relationships/hyperlink" Id="rId43" Target="https://skorch.readthedocs.io/en/stable/" TargetMode="External" /><Relationship Type="http://schemas.openxmlformats.org/officeDocument/2006/relationships/hyperlink" Id="rId46" Target="https://www.latex-project.org" TargetMode="External" /><Relationship Type="http://schemas.openxmlformats.org/officeDocument/2006/relationships/hyperlink" Id="rId23" Target="mailto:antoine.beauchamp@sickkids.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34</Words>
  <Characters>195</Characters>
  <Application>Microsoft Office Word</Application>
  <DocSecurity>0</DocSecurity>
  <Lines>1</Lines>
  <Paragraphs>1</Paragraphs>
  <ScaleCrop>false</ScaleCrop>
  <Company/>
  <LinksUpToDate>false</LinksUpToDate>
  <CharactersWithSpaces>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2022-03-15T17:57:55Z</dcterms:created>
  <dcterms:modified xsi:type="dcterms:W3CDTF">2022-03-15T17:57:55Z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