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sup>
        </m:sSup>
      </m:oMath>
      <w:r>
        <w:t xml:space="preserve">, Yohan Yee</w:t>
      </w:r>
      <m:oMath>
        <m:sSup>
          <m:e>
            <m:r>
              <m:t>​</m:t>
            </m:r>
          </m:e>
          <m:sup>
            <m:r>
              <m:t>1</m:t>
            </m:r>
            <m:r>
              <m:rPr>
                <m:sty m:val="p"/>
              </m:rPr>
              <m:t>,</m:t>
            </m:r>
            <m:r>
              <m:t>2</m:t>
            </m:r>
            <m:r>
              <m:rPr>
                <m:sty m:val="p"/>
              </m:rPr>
              <m:t>,</m:t>
            </m:r>
            <m:r>
              <m:t>3</m:t>
            </m:r>
          </m:sup>
        </m:sSup>
      </m:oMath>
      <w:r>
        <w:t xml:space="preserve">, Ben C.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5"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r>
        <w:t xml:space="preserve"> </w:t>
      </w:r>
      <w:r>
        <w:t xml:space="preserve">(A.B.);</w:t>
      </w:r>
      <w:r>
        <w:t xml:space="preserve"> </w:t>
      </w:r>
      <w:hyperlink r:id="rId24">
        <w:r>
          <w:rPr>
            <w:rStyle w:val="Hyperlink"/>
          </w:rPr>
          <w:t xml:space="preserve">jason.lerch@ndcn.ox.ac.uk</w:t>
        </w:r>
      </w:hyperlink>
      <w:r>
        <w:t xml:space="preserve"> </w:t>
      </w:r>
      <w:r>
        <w:t xml:space="preserve">(J.P.L)</w:t>
      </w:r>
    </w:p>
    <w:bookmarkEnd w:id="25"/>
    <w:bookmarkStart w:id="26"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mouse and human brains. Recently, scientists have developed new ways of making these comparisons using data from various modalities. Here we use openly accessible brain-wide transcriptomic data sets to evaluate the similarity of mouse and human brain regions on the basis of homologous gene expression. Our results demonstrate that mouse-human homologous genes capture broad patterns of neuroanatomical organization, but that the resolution of cross-species correspondences can be improved using a novel supervised machine learning approach. We demonstrate that sensorimotor subdivisions of the neocortex exhibit greater similarity between species, compared with supramodal subdivisions. We also find that mouse and human striatal regions are strongly conserved. Our results highlight how gene homology can be used as a basis for quantitative comparative neuroanatomy.</w:t>
      </w:r>
    </w:p>
    <w:bookmarkEnd w:id="26"/>
    <w:bookmarkStart w:id="27" w:name="teaser"/>
    <w:p>
      <w:pPr>
        <w:pStyle w:val="Heading1"/>
      </w:pPr>
      <w:r>
        <w:t xml:space="preserve">Teaser</w:t>
      </w:r>
    </w:p>
    <w:p>
      <w:pPr>
        <w:pStyle w:val="FirstParagraph"/>
      </w:pPr>
      <w:r>
        <w:t xml:space="preserve">The expression patterns of homologous genes can be used to make quantitative comparisons between mouse and human brains.</w:t>
      </w:r>
    </w:p>
    <w:bookmarkEnd w:id="27"/>
    <w:bookmarkStart w:id="28" w:name="main-text"/>
    <w:p>
      <w:pPr>
        <w:pStyle w:val="Heading1"/>
      </w:pPr>
      <w:r>
        <w:t xml:space="preserve">MAIN TEXT</w:t>
      </w:r>
    </w:p>
    <w:bookmarkEnd w:id="28"/>
    <w:bookmarkStart w:id="29" w:name="intro"/>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w:t>
      </w:r>
      <w:r>
        <w:rPr>
          <w:iCs/>
          <w:i/>
        </w:rPr>
        <w:t xml:space="preserve">29</w:t>
      </w:r>
      <w:r>
        <w:t xml:space="preserve">)</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9"/>
    <w:bookmarkStart w:id="34" w:name="results"/>
    <w:p>
      <w:pPr>
        <w:pStyle w:val="Heading1"/>
      </w:pPr>
      <w:r>
        <w:t xml:space="preserve">Results</w:t>
      </w:r>
    </w:p>
    <w:bookmarkStart w:id="30"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(0.404) as well as to brain stem structures like the pons (0.359 and 0.371 for the mouse and human nuclei respectively) and myelencephalon (0.318 and 0.374).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 0.980. The similarity profile of human cerebellar crus 1 highlights another example of this homogeneity. The profile of crus 1 is similar to that of all regions of the mouse cerebellum, with an average correlation of 0.269 and a standard deviation of 0.041. Across all regions, the variance of the correlations across cortical regions is 0.0052 while that across cerebellar hemispheric regions is 0.0017, compared with a total variation of 0.0416 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30"/>
    <w:bookmarkStart w:id="31"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(mean of 18.4, s.d. of 12.7), the accessory olfactory bulb (mean of 8.7, s.d. of 11.6), and the cerebellar nuclei (mean of 9.1, s.d. of 8.5).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 1.4 and 3.6.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1"/>
    <w:bookmarkStart w:id="32"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0.94</m:t>
        </m:r>
        <m:r>
          <m:rPr>
            <m:sty m:val="p"/>
          </m:rPr>
          <m:t>±</m:t>
        </m:r>
        <m:r>
          <m:t>0.04</m:t>
        </m:r>
      </m:oMath>
      <w:r>
        <w:t xml:space="preserve"> </w:t>
      </w:r>
      <w:r>
        <w:t xml:space="preserve">(mean</w:t>
      </w:r>
      <w:r>
        <w:t xml:space="preserve"> </w:t>
      </w:r>
      <m:oMath>
        <m:r>
          <m:rPr>
            <m:sty m:val="p"/>
          </m:rPr>
          <m:t>±</m:t>
        </m:r>
      </m:oMath>
      <w:r>
        <w:t xml:space="preserve"> </w:t>
      </w:r>
      <w:r>
        <w:t xml:space="preserve">95% C.I.) and</w:t>
      </w:r>
      <w:r>
        <w:t xml:space="preserve"> </w:t>
      </w:r>
      <m:oMath>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0.89</m:t>
        </m:r>
        <m:r>
          <m:rPr>
            <m:sty m:val="p"/>
          </m:rPr>
          <m:t>±</m:t>
        </m:r>
        <m:r>
          <m:t>0.04</m:t>
        </m:r>
      </m:oMath>
      <w:r>
        <w:t xml:space="preserve">), compared with supramodal areas (</w:t>
      </w:r>
      <m:oMath>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 0.92.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2"/>
    <w:bookmarkStart w:id="33"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standard deviation of the correlation calculated over all mouse targets is much lower (0.04) compared with the equivalent standard deviations for the caudate (0.09) and putamen (0.10),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3"/>
    <w:bookmarkEnd w:id="34"/>
    <w:bookmarkStart w:id="35"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w:t>
      </w:r>
      <w:r>
        <w:t xml:space="preserve"> </w:t>
      </w:r>
      <w:r>
        <w:t xml:space="preserve">(</w:t>
      </w:r>
      <w:r>
        <w:rPr>
          <w:iCs/>
          <w:i/>
        </w:rPr>
        <w:t xml:space="preserve">37</w:t>
      </w:r>
      <w:r>
        <w:t xml:space="preserve">)</w:t>
      </w:r>
      <w:r>
        <w:t xml:space="preserve"> </w:t>
      </w:r>
      <w:r>
        <w:t xml:space="preserve">used a method of gene set selection to attempt to improve the correspondence between established mouse-human homologies. While this lead to improvement, it was only at the level of coarsely defined regions (e.g. cortex-cortex).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38</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39</w:t>
      </w:r>
      <w:r>
        <w:t xml:space="preserve">,</w:t>
      </w:r>
      <w:r>
        <w:t xml:space="preserve"> </w:t>
      </w:r>
      <w:r>
        <w:rPr>
          <w:iCs/>
          <w:i/>
        </w:rPr>
        <w:t xml:space="preserve">40</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41</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42</w:t>
      </w:r>
      <w:r>
        <w:t xml:space="preserve">,</w:t>
      </w:r>
      <w:r>
        <w:t xml:space="preserve"> </w:t>
      </w:r>
      <w:r>
        <w:rPr>
          <w:iCs/>
          <w:i/>
        </w:rPr>
        <w:t xml:space="preserve">43</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44</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45</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46</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47</w:t>
      </w:r>
      <w:r>
        <w:t xml:space="preserve">,</w:t>
      </w:r>
      <w:r>
        <w:t xml:space="preserve"> </w:t>
      </w:r>
      <w:r>
        <w:rPr>
          <w:iCs/>
          <w:i/>
        </w:rPr>
        <w:t xml:space="preserve">48</w:t>
      </w:r>
      <w:r>
        <w:t xml:space="preserve">)</w:t>
      </w:r>
      <w:r>
        <w:t xml:space="preserve"> </w:t>
      </w:r>
      <w:r>
        <w:t xml:space="preserve">and the availability of many distinct model strains</w:t>
      </w:r>
      <w:r>
        <w:t xml:space="preserve"> </w:t>
      </w:r>
      <w:r>
        <w:t xml:space="preserve">(</w:t>
      </w:r>
      <w:r>
        <w:rPr>
          <w:iCs/>
          <w:i/>
        </w:rPr>
        <w:t xml:space="preserve">49</w:t>
      </w:r>
      <w:r>
        <w:t xml:space="preserve">)</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35"/>
    <w:bookmarkStart w:id="50" w:name="materials-methods"/>
    <w:p>
      <w:pPr>
        <w:pStyle w:val="Heading1"/>
      </w:pPr>
      <w:r>
        <w:t xml:space="preserve">Materials and methods</w:t>
      </w:r>
    </w:p>
    <w:bookmarkStart w:id="37"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50</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6">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7"/>
    <w:bookmarkStart w:id="40"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8">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9">
        <w:r>
          <w:rPr>
            <w:rStyle w:val="Hyperlink"/>
          </w:rPr>
          <w:t xml:space="preserve">https://abagen.readthedocs.io/en/stable/</w:t>
        </w:r>
      </w:hyperlink>
      <w:r>
        <w:t xml:space="preserve">)</w:t>
      </w:r>
      <w:r>
        <w:t xml:space="preserve"> </w:t>
      </w:r>
      <w:r>
        <w:t xml:space="preserve">(</w:t>
      </w:r>
      <w:r>
        <w:rPr>
          <w:iCs/>
          <w:i/>
        </w:rPr>
        <w:t xml:space="preserve">51</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52</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40"/>
    <w:bookmarkStart w:id="41"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53</w:t>
      </w:r>
      <w:r>
        <w:t xml:space="preserve">–</w:t>
      </w:r>
      <w:r>
        <w:rPr>
          <w:iCs/>
          <w:i/>
        </w:rPr>
        <w:t xml:space="preserve">57</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1"/>
    <w:bookmarkStart w:id="42"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2"/>
    <w:bookmarkStart w:id="43"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58</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3"/>
    <w:bookmarkStart w:id="45"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4">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59</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5"/>
    <w:bookmarkStart w:id="49"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8">
        <w:r>
          <w:rPr>
            <w:rStyle w:val="Hyperlink"/>
          </w:rPr>
          <w:t xml:space="preserve">https://github.com/abeaucha/MouseHumanTranscriptomicSimilarity/</w:t>
        </w:r>
      </w:hyperlink>
      <w:r>
        <w:t xml:space="preserve">.</w:t>
      </w:r>
    </w:p>
    <w:bookmarkEnd w:id="49"/>
    <w:bookmarkEnd w:id="50"/>
    <w:bookmarkStart w:id="115" w:name="references"/>
    <w:p>
      <w:pPr>
        <w:pStyle w:val="Heading1"/>
      </w:pPr>
      <w:r>
        <w:t xml:space="preserve">References</w:t>
      </w:r>
    </w:p>
    <w:bookmarkStart w:id="114" w:name="refs"/>
    <w:bookmarkStart w:id="51"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1"/>
    <w:bookmarkStart w:id="52"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2"/>
    <w:bookmarkStart w:id="53"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3"/>
    <w:bookmarkStart w:id="54"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4"/>
    <w:bookmarkStart w:id="55"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5"/>
    <w:bookmarkStart w:id="56"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6"/>
    <w:bookmarkStart w:id="57"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7"/>
    <w:bookmarkStart w:id="58"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8"/>
    <w:bookmarkStart w:id="59"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9"/>
    <w:bookmarkStart w:id="60"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60"/>
    <w:bookmarkStart w:id="61"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1"/>
    <w:bookmarkStart w:id="62"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2"/>
    <w:bookmarkStart w:id="63"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3"/>
    <w:bookmarkStart w:id="64"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4"/>
    <w:bookmarkStart w:id="66"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5">
        <w:r>
          <w:rPr>
            <w:rStyle w:val="Hyperlink"/>
          </w:rPr>
          <w:t xml:space="preserve">10.7554/eLife.35237</w:t>
        </w:r>
      </w:hyperlink>
      <w:r>
        <w:t xml:space="preserve">.</w:t>
      </w:r>
    </w:p>
    <w:bookmarkEnd w:id="66"/>
    <w:bookmarkStart w:id="67"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7"/>
    <w:bookmarkStart w:id="68"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8"/>
    <w:bookmarkStart w:id="69"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9"/>
    <w:bookmarkStart w:id="70"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70"/>
    <w:bookmarkStart w:id="71"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1"/>
    <w:bookmarkStart w:id="72"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2"/>
    <w:bookmarkStart w:id="73"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3"/>
    <w:bookmarkStart w:id="74"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4"/>
    <w:bookmarkStart w:id="75"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5"/>
    <w:bookmarkStart w:id="76"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6"/>
    <w:bookmarkStart w:id="77"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7"/>
    <w:bookmarkStart w:id="78"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8"/>
    <w:bookmarkStart w:id="79"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9"/>
    <w:bookmarkStart w:id="81" w:name="ref-englund_comparing_2021"/>
    <w:p>
      <w:pPr>
        <w:pStyle w:val="Bibliography"/>
      </w:pPr>
      <w:r>
        <w:t xml:space="preserve">29.</w:t>
      </w:r>
      <w:r>
        <w:t xml:space="preserve"> </w:t>
      </w:r>
      <w:r>
        <w:t xml:space="preserve">	</w:t>
      </w:r>
      <w:r>
        <w:t xml:space="preserve">M. Englund, S. S. James, R. Bottom, K. J. Huffman, S. P. Wilson, L. A. Krubitzer, Comparing cortex-wide gene expression patterns between species in a common reference frame (2021), doi:</w:t>
      </w:r>
      <w:hyperlink r:id="rId80">
        <w:r>
          <w:rPr>
            <w:rStyle w:val="Hyperlink"/>
          </w:rPr>
          <w:t xml:space="preserve">10.1101/2021.07.28.454203</w:t>
        </w:r>
      </w:hyperlink>
      <w:r>
        <w:t xml:space="preserve">.</w:t>
      </w:r>
    </w:p>
    <w:bookmarkEnd w:id="81"/>
    <w:bookmarkStart w:id="82"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2"/>
    <w:bookmarkStart w:id="83"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3"/>
    <w:bookmarkStart w:id="84"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4"/>
    <w:bookmarkStart w:id="85"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5"/>
    <w:bookmarkStart w:id="87"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6">
        <w:r>
          <w:rPr>
            <w:rStyle w:val="Hyperlink"/>
          </w:rPr>
          <w:t xml:space="preserve">10.3389/fnana.2013.00003</w:t>
        </w:r>
      </w:hyperlink>
      <w:r>
        <w:t xml:space="preserve">.</w:t>
      </w:r>
    </w:p>
    <w:bookmarkEnd w:id="87"/>
    <w:bookmarkStart w:id="88"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8"/>
    <w:bookmarkStart w:id="89"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9"/>
    <w:bookmarkStart w:id="90" w:name="ref-myers_molecular_2017"/>
    <w:p>
      <w:pPr>
        <w:pStyle w:val="Bibliography"/>
      </w:pPr>
      <w:r>
        <w:t xml:space="preserve">37.</w:t>
      </w:r>
      <w:r>
        <w:t xml:space="preserve"> </w:t>
      </w:r>
      <w:r>
        <w:t xml:space="preserve">	</w:t>
      </w:r>
      <w:r>
        <w:t xml:space="preserve">E. Myers, thesis, Boston University (2017).</w:t>
      </w:r>
    </w:p>
    <w:bookmarkEnd w:id="90"/>
    <w:bookmarkStart w:id="91" w:name="ref-striedter_brains_2020"/>
    <w:p>
      <w:pPr>
        <w:pStyle w:val="Bibliography"/>
      </w:pPr>
      <w:r>
        <w:t xml:space="preserve">38.</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91"/>
    <w:bookmarkStart w:id="92" w:name="ref-chaplin_conserved_2013"/>
    <w:p>
      <w:pPr>
        <w:pStyle w:val="Bibliography"/>
      </w:pPr>
      <w:r>
        <w:t xml:space="preserve">39.</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92"/>
    <w:bookmarkStart w:id="93" w:name="ref-mars_evolutionary_2016"/>
    <w:p>
      <w:pPr>
        <w:pStyle w:val="Bibliography"/>
      </w:pPr>
      <w:r>
        <w:t xml:space="preserve">40.</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3"/>
    <w:bookmarkStart w:id="94" w:name="ref-eichert_cross-species_2020"/>
    <w:p>
      <w:pPr>
        <w:pStyle w:val="Bibliography"/>
      </w:pPr>
      <w:r>
        <w:t xml:space="preserve">41.</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4"/>
    <w:bookmarkStart w:id="95" w:name="ref-rudebeck_foraging_2022"/>
    <w:p>
      <w:pPr>
        <w:pStyle w:val="Bibliography"/>
      </w:pPr>
      <w:r>
        <w:t xml:space="preserve">42.</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5"/>
    <w:bookmarkStart w:id="96" w:name="ref-kaas_neocortex_2011"/>
    <w:p>
      <w:pPr>
        <w:pStyle w:val="Bibliography"/>
      </w:pPr>
      <w:r>
        <w:t xml:space="preserve">43.</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6"/>
    <w:bookmarkStart w:id="97" w:name="ref-barron_cross-species_2021"/>
    <w:p>
      <w:pPr>
        <w:pStyle w:val="Bibliography"/>
      </w:pPr>
      <w:r>
        <w:t xml:space="preserve">44.</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7"/>
    <w:bookmarkStart w:id="98" w:name="ref-liu_functional_2021"/>
    <w:p>
      <w:pPr>
        <w:pStyle w:val="Bibliography"/>
      </w:pPr>
      <w:r>
        <w:t xml:space="preserve">45.</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8"/>
    <w:bookmarkStart w:id="99" w:name="ref-mandino_triple-network_2021"/>
    <w:p>
      <w:pPr>
        <w:pStyle w:val="Bibliography"/>
      </w:pPr>
      <w:r>
        <w:t xml:space="preserve">46.</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9"/>
    <w:bookmarkStart w:id="100" w:name="ref-simonoff_psychiatric_2008"/>
    <w:p>
      <w:pPr>
        <w:pStyle w:val="Bibliography"/>
      </w:pPr>
      <w:r>
        <w:t xml:space="preserve">47.</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100"/>
    <w:bookmarkStart w:id="101" w:name="ref-grzadzinski_dsm-5_2013"/>
    <w:p>
      <w:pPr>
        <w:pStyle w:val="Bibliography"/>
      </w:pPr>
      <w:r>
        <w:t xml:space="preserve">48.</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101"/>
    <w:bookmarkStart w:id="102" w:name="ref-ellegood_clustering_2015"/>
    <w:p>
      <w:pPr>
        <w:pStyle w:val="Bibliography"/>
      </w:pPr>
      <w:r>
        <w:t xml:space="preserve">49.</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102"/>
    <w:bookmarkStart w:id="103" w:name="ref-wang_allen_2020"/>
    <w:p>
      <w:pPr>
        <w:pStyle w:val="Bibliography"/>
      </w:pPr>
      <w:r>
        <w:t xml:space="preserve">50.</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3"/>
    <w:bookmarkStart w:id="104" w:name="ref-markello_standardizing_2021"/>
    <w:p>
      <w:pPr>
        <w:pStyle w:val="Bibliography"/>
      </w:pPr>
      <w:r>
        <w:t xml:space="preserve">51.</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4"/>
    <w:bookmarkStart w:id="105" w:name="ref-arnatkeviciute_practical_2019"/>
    <w:p>
      <w:pPr>
        <w:pStyle w:val="Bibliography"/>
      </w:pPr>
      <w:r>
        <w:t xml:space="preserve">52.</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5"/>
    <w:bookmarkStart w:id="106" w:name="ref-dorr_high_2008"/>
    <w:p>
      <w:pPr>
        <w:pStyle w:val="Bibliography"/>
      </w:pPr>
      <w:r>
        <w:t xml:space="preserve">53.</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6"/>
    <w:bookmarkStart w:id="107" w:name="ref-richards_segmentation_2011"/>
    <w:p>
      <w:pPr>
        <w:pStyle w:val="Bibliography"/>
      </w:pPr>
      <w:r>
        <w:t xml:space="preserve">54.</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7"/>
    <w:bookmarkStart w:id="108" w:name="ref-ullmann_segmentation_2013"/>
    <w:p>
      <w:pPr>
        <w:pStyle w:val="Bibliography"/>
      </w:pPr>
      <w:r>
        <w:t xml:space="preserve">55.</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8"/>
    <w:bookmarkStart w:id="109" w:name="ref-steadman_genetic_2014"/>
    <w:p>
      <w:pPr>
        <w:pStyle w:val="Bibliography"/>
      </w:pPr>
      <w:r>
        <w:t xml:space="preserve">56.</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9"/>
    <w:bookmarkStart w:id="110" w:name="ref-qiu_mouse_2018"/>
    <w:p>
      <w:pPr>
        <w:pStyle w:val="Bibliography"/>
      </w:pPr>
      <w:r>
        <w:t xml:space="preserve">57.</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10"/>
    <w:bookmarkStart w:id="111" w:name="ref-ncbi_database_2018"/>
    <w:p>
      <w:pPr>
        <w:pStyle w:val="Bibliography"/>
      </w:pPr>
      <w:r>
        <w:t xml:space="preserve">58.</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111"/>
    <w:bookmarkStart w:id="113" w:name="ref-loshchilov_decoupled_2019"/>
    <w:p>
      <w:pPr>
        <w:pStyle w:val="Bibliography"/>
      </w:pPr>
      <w:r>
        <w:t xml:space="preserve">59.</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12">
        <w:r>
          <w:rPr>
            <w:rStyle w:val="Hyperlink"/>
          </w:rPr>
          <w:t xml:space="preserve">http://arxiv.org/abs/1711.05101</w:t>
        </w:r>
      </w:hyperlink>
      <w:r>
        <w:t xml:space="preserve">).</w:t>
      </w:r>
    </w:p>
    <w:bookmarkEnd w:id="113"/>
    <w:bookmarkEnd w:id="114"/>
    <w:bookmarkEnd w:id="115"/>
    <w:bookmarkStart w:id="116" w:name="acknowledgments"/>
    <w:p>
      <w:pPr>
        <w:pStyle w:val="Heading1"/>
      </w:pPr>
      <w:r>
        <w:t xml:space="preserve">Acknowledgments</w:t>
      </w:r>
    </w:p>
    <w:p>
      <w:pPr>
        <w:pStyle w:val="FirstParagraph"/>
      </w:pPr>
      <w:r>
        <w:t xml:space="preserve">We thank C. Hammill, D.J. Fernandes, E. Anagnostou, B.J. Nieman, and E. Sibille for providing advice and for interesting conceptual discussions.</w:t>
      </w:r>
      <w:r>
        <w:t xml:space="preserve"> </w:t>
      </w:r>
      <w:r>
        <w:rPr>
          <w:bCs/>
          <w:b/>
        </w:rPr>
        <w:t xml:space="preserve">Funding:</w:t>
      </w:r>
      <w:r>
        <w:t xml:space="preserve"> </w:t>
      </w:r>
      <w:r>
        <w:t xml:space="preserve">This study was supported by the Canadian Institutes of Health Research (doctoral funding and foreign study award for A.B.). The Wellcome Centre for Integrative Neuroimaging is supported by core funding from the Wellcome Trust (203139/Z/16/Z).</w:t>
      </w:r>
      <w:r>
        <w:t xml:space="preserve"> </w:t>
      </w:r>
      <w:r>
        <w:rPr>
          <w:bCs/>
          <w:b/>
        </w:rPr>
        <w:t xml:space="preserve">Author contributions:</w:t>
      </w:r>
      <w:r>
        <w:t xml:space="preserve"> </w:t>
      </w:r>
      <w:r>
        <w:t xml:space="preserve">A.B. analyzed and visualized data, and wrote the manuscript with input from all authors. Y.Y. developed scripts for downloading the data sets. B.C.D. provided input and guidance on working with artificial neural networks. A.R. provided guidance for obtaining homologous gene sets. R.B.M. and J.P.L. conceived and supervised the project.</w:t>
      </w:r>
      <w:r>
        <w:t xml:space="preserve"> </w:t>
      </w:r>
      <w:r>
        <w:rPr>
          <w:bCs/>
          <w:b/>
        </w:rPr>
        <w:t xml:space="preserve">Competing interests:</w:t>
      </w:r>
      <w:r>
        <w:t xml:space="preserve"> </w:t>
      </w:r>
      <w:r>
        <w:t xml:space="preserve">The authors declare that they have no competing interests.</w:t>
      </w:r>
      <w:r>
        <w:t xml:space="preserve"> </w:t>
      </w:r>
      <w:r>
        <w:rPr>
          <w:bCs/>
          <w:b/>
        </w:rPr>
        <w:t xml:space="preserve">Data and materials availability:</w:t>
      </w:r>
      <w:r>
        <w:t xml:space="preserve"> </w:t>
      </w: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scripts and additional data needed to generate this analysis, including figures and manuscript, are accessible at</w:t>
      </w:r>
      <w:r>
        <w:t xml:space="preserve"> </w:t>
      </w:r>
      <w:hyperlink r:id="rId48">
        <w:r>
          <w:rPr>
            <w:rStyle w:val="Hyperlink"/>
          </w:rPr>
          <w:t xml:space="preserve">https://github.com/abeaucha/MouseHumanTranscriptomicSimilarity/</w:t>
        </w:r>
      </w:hyperlink>
      <w:r>
        <w:t xml:space="preserve">.</w:t>
      </w:r>
    </w:p>
    <w:bookmarkEnd w:id="116"/>
    <w:bookmarkStart w:id="123"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science_advances_docx_files/figure-docx/results1-fig1-print-1.png" id="0" name="Picture"/>
                    <pic:cNvPicPr>
                      <a:picLocks noChangeArrowheads="1" noChangeAspect="1"/>
                    </pic:cNvPicPr>
                  </pic:nvPicPr>
                  <pic:blipFill>
                    <a:blip r:embed="rId117"/>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science_advances_docx_files/figure-docx/results2-fig2-print-1.png" id="0" name="Picture"/>
                    <pic:cNvPicPr>
                      <a:picLocks noChangeArrowheads="1" noChangeAspect="1"/>
                    </pic:cNvPicPr>
                  </pic:nvPicPr>
                  <pic:blipFill>
                    <a:blip r:embed="rId118"/>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science_advances_docx_files/figure-docx/results2-fig3-print-1.png" id="0" name="Picture"/>
                    <pic:cNvPicPr>
                      <a:picLocks noChangeArrowheads="1" noChangeAspect="1"/>
                    </pic:cNvPicPr>
                  </pic:nvPicPr>
                  <pic:blipFill>
                    <a:blip r:embed="rId119"/>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science_advances_docx_files/figure-docx/results2-fig4-print-1.png" id="0" name="Picture"/>
                    <pic:cNvPicPr>
                      <a:picLocks noChangeArrowheads="1" noChangeAspect="1"/>
                    </pic:cNvPicPr>
                  </pic:nvPicPr>
                  <pic:blipFill>
                    <a:blip r:embed="rId120"/>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science_advances_docx_files/figure-docx/results3-fig5-print-1.png" id="0" name="Picture"/>
                    <pic:cNvPicPr>
                      <a:picLocks noChangeArrowheads="1" noChangeAspect="1"/>
                    </pic:cNvPicPr>
                  </pic:nvPicPr>
                  <pic:blipFill>
                    <a:blip r:embed="rId121"/>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science_advances_docx_files/figure-docx/results4-fig6-print-1.png" id="0" name="Picture"/>
                    <pic:cNvPicPr>
                      <a:picLocks noChangeArrowheads="1" noChangeAspect="1"/>
                    </pic:cNvPicPr>
                  </pic:nvPicPr>
                  <pic:blipFill>
                    <a:blip r:embed="rId122"/>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23"/>
    <w:bookmarkStart w:id="124" w:name="supplementary-materials"/>
    <w:p>
      <w:pPr>
        <w:pStyle w:val="Heading1"/>
      </w:pPr>
      <w:r>
        <w:t xml:space="preserve">Supplementary Materials</w:t>
      </w:r>
    </w:p>
    <w:bookmarkEnd w:id="124"/>
    <w:sectPr w:rsidR="00B91E5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B6C050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6B2E4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404F63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EA05EE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93CD7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615A220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E90725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1BC89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C9205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BE84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BFC2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96403"/>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896403"/>
    <w:pPr>
      <w:keepNext/>
      <w:keepLines/>
      <w:spacing w:after="0" w:before="120"/>
      <w:ind w:left="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6403"/>
    <w:pPr>
      <w:spacing w:after="180" w:before="180"/>
      <w:ind w:left="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15EE"/>
    <w:pPr>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9640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8964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2022-03-21T18:40:10Z</dcterms:created>
  <dcterms:modified xsi:type="dcterms:W3CDTF">2022-03-21T18:40:10Z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