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1"/>
      </w:pPr>
      <w:r>
        <w:t xml:space="preserve">FRONT MATTER</w:t>
      </w:r>
    </w:p>
    <w:bookmarkEnd w:id="20"/>
    <w:bookmarkStart w:id="21" w:name="title"/>
    <w:p>
      <w:pPr>
        <w:pStyle w:val="Heading1"/>
      </w:pPr>
      <w:r>
        <w:t xml:space="preserve">Title</w:t>
      </w:r>
    </w:p>
    <w:p>
      <w:pPr>
        <w:pStyle w:val="FirstParagraph"/>
      </w:pPr>
      <w:r>
        <w:t xml:space="preserve">Transcriptomic similarity in the mouse and human brain</w:t>
      </w:r>
    </w:p>
    <w:bookmarkEnd w:id="21"/>
    <w:bookmarkStart w:id="22" w:name="authors"/>
    <w:p>
      <w:pPr>
        <w:pStyle w:val="Heading1"/>
      </w:pPr>
      <w:r>
        <w:t xml:space="preserve">Authors</w:t>
      </w:r>
    </w:p>
    <w:p>
      <w:pPr>
        <w:pStyle w:val="FirstParagraph"/>
      </w:pPr>
      <w:r>
        <w:t xml:space="preserve">Antoine Beauchamp</w:t>
      </w:r>
      <m:oMath>
        <m:sSup>
          <m:e>
            <m:r>
              <m:t>​</m:t>
            </m:r>
          </m:e>
          <m:sup>
            <m:r>
              <m:t>1</m:t>
            </m:r>
            <m:r>
              <m:rPr>
                <m:sty m:val="p"/>
              </m:rPr>
              <m:t>,</m:t>
            </m:r>
            <m:r>
              <m:t>2</m:t>
            </m:r>
            <m:r>
              <m:rPr>
                <m:sty m:val="p"/>
              </m:rPr>
              <m:t>,</m:t>
            </m:r>
            <m:r>
              <m:t>3</m:t>
            </m:r>
            <m:r>
              <m:rPr>
                <m:sty m:val="p"/>
              </m:rPr>
              <m:t>*</m:t>
            </m:r>
          </m:sup>
        </m:sSup>
      </m:oMath>
      <w:r>
        <w:t xml:space="preserve">, Yohan Yee</w:t>
      </w:r>
      <m:oMath>
        <m:sSup>
          <m:e>
            <m:r>
              <m:t>​</m:t>
            </m:r>
          </m:e>
          <m:sup>
            <m:r>
              <m:t>1</m:t>
            </m:r>
            <m:r>
              <m:rPr>
                <m:sty m:val="p"/>
              </m:rPr>
              <m:t>,</m:t>
            </m:r>
            <m:r>
              <m:t>2</m:t>
            </m:r>
            <m:r>
              <m:rPr>
                <m:sty m:val="p"/>
              </m:rPr>
              <m:t>,</m:t>
            </m:r>
            <m:r>
              <m:t>3</m:t>
            </m:r>
          </m:sup>
        </m:sSup>
      </m:oMath>
      <w:r>
        <w:t xml:space="preserve">, Ben Darwin</w:t>
      </w:r>
      <m:oMath>
        <m:sSup>
          <m:e>
            <m:r>
              <m:t>​</m:t>
            </m:r>
          </m:e>
          <m:sup>
            <m:r>
              <m:t>1</m:t>
            </m:r>
            <m:r>
              <m:rPr>
                <m:sty m:val="p"/>
              </m:rPr>
              <m:t>,</m:t>
            </m:r>
            <m:r>
              <m:t>2</m:t>
            </m:r>
          </m:sup>
        </m:sSup>
      </m:oMath>
      <w:r>
        <w:t xml:space="preserve">, Armin Raznahan</w:t>
      </w:r>
      <m:oMath>
        <m:sSup>
          <m:e>
            <m:r>
              <m:t>​</m:t>
            </m:r>
          </m:e>
          <m:sup>
            <m:r>
              <m:t>4</m:t>
            </m:r>
          </m:sup>
        </m:sSup>
      </m:oMath>
      <w:r>
        <w:t xml:space="preserve">, Rogier B. Mars</w:t>
      </w:r>
      <m:oMath>
        <m:sSup>
          <m:e>
            <m:r>
              <m:t>​</m:t>
            </m:r>
          </m:e>
          <m:sup>
            <m:r>
              <m:t>5</m:t>
            </m:r>
            <m:r>
              <m:rPr>
                <m:sty m:val="p"/>
              </m:rPr>
              <m:t>,</m:t>
            </m:r>
            <m:r>
              <m:t>6</m:t>
            </m:r>
            <m:r>
              <m:rPr>
                <m:sty m:val="p"/>
              </m:rPr>
              <m:t>†</m:t>
            </m:r>
          </m:sup>
        </m:sSup>
      </m:oMath>
      <w:r>
        <w:t xml:space="preserve">, Jason P. Lerch</w:t>
      </w:r>
      <m:oMath>
        <m:sSup>
          <m:e>
            <m:r>
              <m:t>​</m:t>
            </m:r>
          </m:e>
          <m:sup>
            <m:r>
              <m:t>1</m:t>
            </m:r>
            <m:r>
              <m:rPr>
                <m:sty m:val="p"/>
              </m:rPr>
              <m:t>,</m:t>
            </m:r>
            <m:r>
              <m:t>2</m:t>
            </m:r>
            <m:r>
              <m:rPr>
                <m:sty m:val="p"/>
              </m:rPr>
              <m:t>,</m:t>
            </m:r>
            <m:r>
              <m:t>3</m:t>
            </m:r>
            <m:r>
              <m:rPr>
                <m:sty m:val="p"/>
              </m:rPr>
              <m:t>,</m:t>
            </m:r>
            <m:r>
              <m:t>5</m:t>
            </m:r>
            <m:r>
              <m:rPr>
                <m:sty m:val="p"/>
              </m:rPr>
              <m:t>*</m:t>
            </m:r>
            <m:r>
              <m:rPr>
                <m:sty m:val="p"/>
              </m:rPr>
              <m:t>†</m:t>
            </m:r>
          </m:sup>
        </m:sSup>
      </m:oMath>
    </w:p>
    <w:bookmarkEnd w:id="22"/>
    <w:bookmarkStart w:id="25" w:name="affiliations"/>
    <w:p>
      <w:pPr>
        <w:pStyle w:val="Heading1"/>
      </w:pPr>
      <w:r>
        <w:t xml:space="preserve">Affiliations</w:t>
      </w:r>
    </w:p>
    <w:p>
      <w:pPr>
        <w:pStyle w:val="FirstParagraph"/>
      </w:pPr>
      <m:oMath>
        <m:sSup>
          <m:e>
            <m:r>
              <m:t>​</m:t>
            </m:r>
          </m:e>
          <m:sup>
            <m:r>
              <m:t>1</m:t>
            </m:r>
          </m:sup>
        </m:sSup>
      </m:oMath>
      <w:r>
        <w:t xml:space="preserve">Mouse Imaging Centre, Toronto, Ontario, Canada.</w:t>
      </w:r>
    </w:p>
    <w:p>
      <w:pPr>
        <w:pStyle w:val="BodyText"/>
      </w:pPr>
      <m:oMath>
        <m:sSup>
          <m:e>
            <m:r>
              <m:t>​</m:t>
            </m:r>
          </m:e>
          <m:sup>
            <m:r>
              <m:t>2</m:t>
            </m:r>
          </m:sup>
        </m:sSup>
      </m:oMath>
      <w:r>
        <w:t xml:space="preserve">The Hospital for Sick Children, Toronto, Ontario, Canada.</w:t>
      </w:r>
    </w:p>
    <w:p>
      <w:pPr>
        <w:pStyle w:val="BodyText"/>
      </w:pPr>
      <m:oMath>
        <m:sSup>
          <m:e>
            <m:r>
              <m:t>​</m:t>
            </m:r>
          </m:e>
          <m:sup>
            <m:r>
              <m:t>3</m:t>
            </m:r>
          </m:sup>
        </m:sSup>
      </m:oMath>
      <w:r>
        <w:t xml:space="preserve">Department of Medical Biophysics, University of Toronto, Toronto, Ontario, Canada.</w:t>
      </w:r>
    </w:p>
    <w:p>
      <w:pPr>
        <w:pStyle w:val="BodyText"/>
      </w:pPr>
      <m:oMath>
        <m:sSup>
          <m:e>
            <m:r>
              <m:t>​</m:t>
            </m:r>
          </m:e>
          <m:sup>
            <m:r>
              <m:t>4</m:t>
            </m:r>
          </m:sup>
        </m:sSup>
      </m:oMath>
      <w:r>
        <w:t xml:space="preserve">Section on Developmental Neurogenomics, Human Genetics Branch, National Institute of Mental Health Intramural Research Program, Bethesda, MD, U.S.A.</w:t>
      </w:r>
    </w:p>
    <w:p>
      <w:pPr>
        <w:pStyle w:val="BodyText"/>
      </w:pPr>
      <m:oMath>
        <m:sSup>
          <m:e>
            <m:r>
              <m:t>​</m:t>
            </m:r>
          </m:e>
          <m:sup>
            <m:r>
              <m:t>5</m:t>
            </m:r>
          </m:sup>
        </m:sSup>
      </m:oMath>
      <w:r>
        <w:t xml:space="preserve">Wellcome Centre for Integrative Neuroimaging, Centre for Functional MRI of the Brain (FMRIB), Nuffield Department of Clinical Neurosciences, John Radcliffe Hospital, University of Oxford, Oxford, United Kingdom.</w:t>
      </w:r>
    </w:p>
    <w:p>
      <w:pPr>
        <w:pStyle w:val="BodyText"/>
      </w:pPr>
      <m:oMath>
        <m:sSup>
          <m:e>
            <m:r>
              <m:t>​</m:t>
            </m:r>
          </m:e>
          <m:sup>
            <m:r>
              <m:t>6</m:t>
            </m:r>
          </m:sup>
        </m:sSup>
      </m:oMath>
      <w:r>
        <w:t xml:space="preserve">Donders Institute for Brain, Cognition and Behaviour, Radboud University Nijmegen, Nijmegen, Netherlands.</w:t>
      </w:r>
    </w:p>
    <w:p>
      <w:pPr>
        <w:pStyle w:val="BodyText"/>
      </w:pPr>
      <m:oMath>
        <m:sSup>
          <m:e>
            <m:r>
              <m:t>​</m:t>
            </m:r>
          </m:e>
          <m:sup>
            <m:r>
              <m:rPr>
                <m:sty m:val="p"/>
              </m:rPr>
              <m:t>†</m:t>
            </m:r>
          </m:sup>
        </m:sSup>
      </m:oMath>
      <w:r>
        <w:t xml:space="preserve">These authors contributed equally to this work.</w:t>
      </w:r>
    </w:p>
    <w:p>
      <w:pPr>
        <w:pStyle w:val="BodyText"/>
      </w:pPr>
      <m:oMath>
        <m:sSup>
          <m:e>
            <m:r>
              <m:t>​</m:t>
            </m:r>
          </m:e>
          <m:sup>
            <m:r>
              <m:rPr>
                <m:sty m:val="p"/>
              </m:rPr>
              <m:t>*</m:t>
            </m:r>
          </m:sup>
        </m:sSup>
      </m:oMath>
      <w:r>
        <w:t xml:space="preserve">Corresponding author. Email:</w:t>
      </w:r>
      <w:r>
        <w:t xml:space="preserve"> </w:t>
      </w:r>
      <w:hyperlink r:id="rId23">
        <w:r>
          <w:rPr>
            <w:rStyle w:val="Hyperlink"/>
          </w:rPr>
          <w:t xml:space="preserve">antoine.beauchamp@sickkids.ca</w:t>
        </w:r>
      </w:hyperlink>
      <w:r>
        <w:t xml:space="preserve"> </w:t>
      </w:r>
      <w:r>
        <w:t xml:space="preserve">(A.B.);</w:t>
      </w:r>
      <w:r>
        <w:t xml:space="preserve"> </w:t>
      </w:r>
      <w:hyperlink r:id="rId24">
        <w:r>
          <w:rPr>
            <w:rStyle w:val="Hyperlink"/>
          </w:rPr>
          <w:t xml:space="preserve">jason.lerch@ndcn.ox.ac.uk</w:t>
        </w:r>
      </w:hyperlink>
      <w:r>
        <w:t xml:space="preserve"> </w:t>
      </w:r>
      <w:r>
        <w:t xml:space="preserve">(J.P.L)</w:t>
      </w:r>
    </w:p>
    <w:bookmarkEnd w:id="25"/>
    <w:bookmarkStart w:id="26"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the mouse and human brains. Using openly accessible brain-wide transcriptomic data sets, we evaluated the similarity of mouse and human brain regions on the basis of homologous gene expression. Our results suggest that mouse-human homologous genes capture broad patterns of neuroanatomical organization, but that the resolution of cross-species correspondences can be improved using a novel supervised machine learning approach. Using this method, we demonstrate that sensorimotor subdivisions of the neocortex exhibit greater similarity between species, compared with supramodal subdivisions, and that mouse isocortical regions separate into sensorimotor and supramodal clusters based on their similarity to human cortical regions. We also find that mouse and human striatal regions are strongly conserved, with the mouse caudoputamen exhibiting an equal degree of similarity to both the human caudate and putamen.</w:t>
      </w:r>
    </w:p>
    <w:bookmarkEnd w:id="26"/>
    <w:bookmarkStart w:id="27" w:name="teaser"/>
    <w:p>
      <w:pPr>
        <w:pStyle w:val="Heading1"/>
      </w:pPr>
      <w:r>
        <w:t xml:space="preserve">Teaser</w:t>
      </w:r>
    </w:p>
    <w:p>
      <w:pPr>
        <w:pStyle w:val="FirstParagraph"/>
      </w:pPr>
      <w:r>
        <w:t xml:space="preserve">Correspondences between the mouse and human brain can be identified using the expression patterns of homologous genes.</w:t>
      </w:r>
    </w:p>
    <w:bookmarkEnd w:id="27"/>
    <w:bookmarkStart w:id="28" w:name="main-text"/>
    <w:p>
      <w:pPr>
        <w:pStyle w:val="Heading1"/>
      </w:pPr>
      <w:r>
        <w:t xml:space="preserve">MAIN TEXT</w:t>
      </w:r>
    </w:p>
    <w:bookmarkEnd w:id="28"/>
    <w:bookmarkStart w:id="29" w:name="intro"/>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 In fact, a recent study demonstrated how the expression of homologous genes can be used to directly register mouse and vole brains into a common reference frame, which allows for direct point-by-point comparisons of brain maps</w:t>
      </w:r>
      <w:r>
        <w:t xml:space="preserve"> </w:t>
      </w:r>
      <w:r>
        <w:t xml:space="preserve">(</w:t>
      </w:r>
      <w:r>
        <w:rPr>
          <w:iCs/>
          <w:i/>
        </w:rPr>
        <w:t xml:space="preserve">29</w:t>
      </w:r>
      <w:r>
        <w:t xml:space="preserve">)</w:t>
      </w:r>
      <w:r>
        <w:t xml:space="preserve">. However, this specific approach is only feasible because of the large degree of morphological similarity between mouse and vole brains. In the case of mouse-human comparisons, we almost certainly cannot directly register mouse and human brains into a common coordinate frame using methods for image registration. Hence we need to be more creative in our approach.</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9"/>
    <w:bookmarkStart w:id="34" w:name="results"/>
    <w:p>
      <w:pPr>
        <w:pStyle w:val="Heading1"/>
      </w:pPr>
      <w:r>
        <w:t xml:space="preserve">Results</w:t>
      </w:r>
    </w:p>
    <w:bookmarkStart w:id="30" w:name="results-1"/>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 (NCBI 2018).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r>
        <w:t xml:space="preserve"> </w:t>
      </w: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(r = 0.404) as well as to brain stem structures like the pons (</w:t>
      </w:r>
      <m:oMath>
        <m:r>
          <m:t>r</m:t>
        </m:r>
        <m:r>
          <m:rPr>
            <m:sty m:val="p"/>
          </m:rPr>
          <m:t>=</m:t>
        </m:r>
        <m:r>
          <m:t>0.359</m:t>
        </m:r>
      </m:oMath>
      <w:r>
        <w:t xml:space="preserve"> </w:t>
      </w:r>
      <w:r>
        <w:t xml:space="preserve">and</w:t>
      </w:r>
      <w:r>
        <w:t xml:space="preserve"> </w:t>
      </w:r>
      <m:oMath>
        <m:r>
          <m:t>r</m:t>
        </m:r>
        <m:r>
          <m:rPr>
            <m:sty m:val="p"/>
          </m:rPr>
          <m:t>=</m:t>
        </m:r>
        <m:r>
          <m:t>0.371</m:t>
        </m:r>
      </m:oMath>
      <w:r>
        <w:t xml:space="preserve"> </w:t>
      </w:r>
      <w:r>
        <w:t xml:space="preserve">for the mouse and human nuclei respectively) and myelencephalon (</w:t>
      </w:r>
      <m:oMath>
        <m:r>
          <m:t>r</m:t>
        </m:r>
        <m:r>
          <m:rPr>
            <m:sty m:val="p"/>
          </m:rPr>
          <m:t>=</m:t>
        </m:r>
        <m:r>
          <m:t>0.318</m:t>
        </m:r>
      </m:oMath>
      <w:r>
        <w:t xml:space="preserve"> </w:t>
      </w:r>
      <w:r>
        <w:t xml:space="preserve">and</w:t>
      </w:r>
      <w:r>
        <w:t xml:space="preserve"> </w:t>
      </w:r>
      <m:oMath>
        <m:r>
          <m:t>r</m:t>
        </m:r>
        <m:r>
          <m:rPr>
            <m:sty m:val="p"/>
          </m:rPr>
          <m:t>=</m:t>
        </m:r>
        <m:r>
          <m:t>0.374</m:t>
        </m:r>
      </m:oMath>
      <w:r>
        <w:t xml:space="preserve">).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w:t>
      </w:r>
      <w:r>
        <w:t xml:space="preserve"> </w:t>
      </w:r>
      <m:oMath>
        <m:r>
          <m:t>r</m:t>
        </m:r>
        <m:r>
          <m:rPr>
            <m:sty m:val="p"/>
          </m:rPr>
          <m:t>=</m:t>
        </m:r>
        <m:r>
          <m:t>0.980</m:t>
        </m:r>
      </m:oMath>
      <w:r>
        <w:t xml:space="preserve">. The similarity profile of human cerebellar crus 1 highlights another example of this homogeneity. The profile of crus 1 is similar to that of all regions of the mouse cerebellum, with an average correlation of</w:t>
      </w:r>
      <w:r>
        <w:t xml:space="preserve"> </w:t>
      </w:r>
      <m:oMath>
        <m:r>
          <m:t>r</m:t>
        </m:r>
        <m:r>
          <m:rPr>
            <m:sty m:val="p"/>
          </m:rPr>
          <m:t>=</m:t>
        </m:r>
        <m:r>
          <m:t>0.269</m:t>
        </m:r>
      </m:oMath>
      <w:r>
        <w:t xml:space="preserve"> </w:t>
      </w:r>
      <w:r>
        <w:t xml:space="preserve">and a standard deviation of</w:t>
      </w:r>
      <w:r>
        <w:t xml:space="preserve"> </w:t>
      </w:r>
      <m:oMath>
        <m:r>
          <m:t>σ</m:t>
        </m:r>
        <m:r>
          <m:rPr>
            <m:sty m:val="p"/>
          </m:rPr>
          <m:t>=</m:t>
        </m:r>
        <m:r>
          <m:t>0.041</m:t>
        </m:r>
      </m:oMath>
      <w:r>
        <w:t xml:space="preserve">. Across all regions, the variance of the correlations across cortical regions is</w:t>
      </w:r>
      <w:r>
        <w:t xml:space="preserve"> </w:t>
      </w:r>
      <m:oMath>
        <m:sSup>
          <m:e>
            <m:r>
              <m:t>σ</m:t>
            </m:r>
          </m:e>
          <m:sup>
            <m:r>
              <m:t>2</m:t>
            </m:r>
          </m:sup>
        </m:sSup>
        <m:r>
          <m:rPr>
            <m:sty m:val="p"/>
          </m:rPr>
          <m:t>=</m:t>
        </m:r>
        <m:r>
          <m:t>0.0052</m:t>
        </m:r>
      </m:oMath>
      <w:r>
        <w:t xml:space="preserve"> </w:t>
      </w:r>
      <w:r>
        <w:t xml:space="preserve">while that across cerebellar hemispheric regions is</w:t>
      </w:r>
      <w:r>
        <w:t xml:space="preserve"> </w:t>
      </w:r>
      <m:oMath>
        <m:sSup>
          <m:e>
            <m:r>
              <m:t>σ</m:t>
            </m:r>
          </m:e>
          <m:sup>
            <m:r>
              <m:t>2</m:t>
            </m:r>
          </m:sup>
        </m:sSup>
        <m:r>
          <m:rPr>
            <m:sty m:val="p"/>
          </m:rPr>
          <m:t>=</m:t>
        </m:r>
        <m:r>
          <m:t>0.0017</m:t>
        </m:r>
      </m:oMath>
      <w:r>
        <w:t xml:space="preserve">, compared with a total variation of</w:t>
      </w:r>
      <w:r>
        <w:t xml:space="preserve"> </w:t>
      </w:r>
      <m:oMath>
        <m:sSup>
          <m:e>
            <m:r>
              <m:t>σ</m:t>
            </m:r>
          </m:e>
          <m:sup>
            <m:r>
              <m:t>2</m:t>
            </m:r>
          </m:sup>
        </m:sSup>
        <m:r>
          <m:rPr>
            <m:sty m:val="p"/>
          </m:rPr>
          <m:t>=</m:t>
        </m:r>
        <m:r>
          <m:t>0.0416</m:t>
        </m:r>
      </m:oMath>
      <w:r>
        <w:t xml:space="preserve"> </w:t>
      </w:r>
      <w:r>
        <w:t xml:space="preserve">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bookmarkEnd w:id="30"/>
    <w:bookmarkStart w:id="31" w:name="results-2"/>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w:t>
      </w:r>
      <m:oMath>
        <m:r>
          <m:t>μ</m:t>
        </m:r>
        <m:r>
          <m:rPr>
            <m:sty m:val="p"/>
          </m:rPr>
          <m:t>=</m:t>
        </m:r>
        <m:r>
          <m:t>18.4</m:t>
        </m:r>
        <m:r>
          <m:rPr>
            <m:sty m:val="p"/>
          </m:rPr>
          <m:t>;</m:t>
        </m:r>
        <m:r>
          <m:t>σ</m:t>
        </m:r>
        <m:r>
          <m:rPr>
            <m:sty m:val="p"/>
          </m:rPr>
          <m:t>=</m:t>
        </m:r>
        <m:r>
          <m:t>12.7</m:t>
        </m:r>
      </m:oMath>
      <w:r>
        <w:t xml:space="preserve">), the accessory olfactory bulb (</w:t>
      </w:r>
      <m:oMath>
        <m:r>
          <m:t>μ</m:t>
        </m:r>
        <m:r>
          <m:rPr>
            <m:sty m:val="p"/>
          </m:rPr>
          <m:t>=</m:t>
        </m:r>
        <m:r>
          <m:t>8.7</m:t>
        </m:r>
        <m:r>
          <m:rPr>
            <m:sty m:val="p"/>
          </m:rPr>
          <m:t>;</m:t>
        </m:r>
        <m:r>
          <m:t>σ</m:t>
        </m:r>
        <m:r>
          <m:rPr>
            <m:sty m:val="p"/>
          </m:rPr>
          <m:t>=</m:t>
        </m:r>
        <m:r>
          <m:t>11.6</m:t>
        </m:r>
      </m:oMath>
      <w:r>
        <w:t xml:space="preserve">), and the cerebellar nuclei (</w:t>
      </w:r>
      <m:oMath>
        <m:r>
          <m:t>μ</m:t>
        </m:r>
        <m:r>
          <m:rPr>
            <m:sty m:val="p"/>
          </m:rPr>
          <m:t>=</m:t>
        </m:r>
        <m:r>
          <m:t>9.1</m:t>
        </m:r>
        <m:r>
          <m:rPr>
            <m:sty m:val="p"/>
          </m:rPr>
          <m:t>;</m:t>
        </m:r>
        <m:r>
          <m:t>σ</m:t>
        </m:r>
        <m:r>
          <m:rPr>
            <m:sty m:val="p"/>
          </m:rPr>
          <m:t>=</m:t>
        </m:r>
        <m:r>
          <m:t>8.5</m:t>
        </m:r>
      </m:oMath>
      <w:r>
        <w:t xml:space="preserve">).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w:t>
      </w:r>
      <w:r>
        <w:t xml:space="preserve"> </w:t>
      </w:r>
      <m:oMath>
        <m:r>
          <m:t>μ</m:t>
        </m:r>
        <m:r>
          <m:rPr>
            <m:sty m:val="p"/>
          </m:rPr>
          <m:t>=</m:t>
        </m:r>
        <m:r>
          <m:t>1.4</m:t>
        </m:r>
      </m:oMath>
      <w:r>
        <w:t xml:space="preserve"> </w:t>
      </w:r>
      <w:r>
        <w:t xml:space="preserve">and</w:t>
      </w:r>
      <w:r>
        <w:t xml:space="preserve"> </w:t>
      </w:r>
      <m:oMath>
        <m:r>
          <m:t>σ</m:t>
        </m:r>
        <m:r>
          <m:rPr>
            <m:sty m:val="p"/>
          </m:rPr>
          <m:t>=</m:t>
        </m:r>
        <m:r>
          <m:t>3.6</m:t>
        </m:r>
      </m:oMath>
      <w:r>
        <w:t xml:space="preserve">.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1"/>
    <w:bookmarkStart w:id="32" w:name="results-3"/>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r</m:t>
        </m:r>
        <m:r>
          <m:rPr>
            <m:sty m:val="p"/>
          </m:rPr>
          <m:t>=</m:t>
        </m:r>
        <m:r>
          <m:t>0.94</m:t>
        </m:r>
        <m:r>
          <m:rPr>
            <m:sty m:val="p"/>
          </m:rPr>
          <m:t>±</m:t>
        </m:r>
        <m:r>
          <m:t>0.04</m:t>
        </m:r>
      </m:oMath>
      <w:r>
        <w:t xml:space="preserve"> </w:t>
      </w:r>
      <w:r>
        <w:t xml:space="preserve">and</w:t>
      </w:r>
      <w:r>
        <w:t xml:space="preserve"> </w:t>
      </w:r>
      <m:oMath>
        <m:r>
          <m:t>r</m:t>
        </m:r>
        <m:r>
          <m:rPr>
            <m:sty m:val="p"/>
          </m:rPr>
          <m:t>=</m:t>
        </m:r>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r</m:t>
        </m:r>
        <m:r>
          <m:rPr>
            <m:sty m:val="p"/>
          </m:rPr>
          <m:t>=</m:t>
        </m:r>
        <m:r>
          <m:t>0.89</m:t>
        </m:r>
        <m:r>
          <m:rPr>
            <m:sty m:val="p"/>
          </m:rPr>
          <m:t>±</m:t>
        </m:r>
        <m:r>
          <m:t>0.04</m:t>
        </m:r>
      </m:oMath>
      <w:r>
        <w:t xml:space="preserve">), compared with supramodal areas (</w:t>
      </w:r>
      <m:oMath>
        <m:r>
          <m:t>r</m:t>
        </m:r>
        <m:r>
          <m:rPr>
            <m:sty m:val="p"/>
          </m:rPr>
          <m:t>=</m:t>
        </m:r>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w:t>
      </w:r>
      <w:r>
        <w:t xml:space="preserve"> </w:t>
      </w:r>
      <m:oMath>
        <m:r>
          <m:t>r</m:t>
        </m:r>
        <m:r>
          <m:rPr>
            <m:sty m:val="p"/>
          </m:rPr>
          <m:t>=</m:t>
        </m:r>
        <m:r>
          <m:t>0.92</m:t>
        </m:r>
      </m:oMath>
      <w:r>
        <w:t xml:space="preserve">.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bookmarkEnd w:id="32"/>
    <w:bookmarkStart w:id="33"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variance in correlation calculated over all mouse targets is much lower (</w:t>
      </w:r>
      <m:oMath>
        <m:r>
          <m:t>σ</m:t>
        </m:r>
        <m:r>
          <m:rPr>
            <m:sty m:val="p"/>
          </m:rPr>
          <m:t>=</m:t>
        </m:r>
        <m:r>
          <m:t>0.04</m:t>
        </m:r>
      </m:oMath>
      <w:r>
        <w:t xml:space="preserve">) compared with the equivalent variances for the caudate (</w:t>
      </w:r>
      <m:oMath>
        <m:r>
          <m:t>σ</m:t>
        </m:r>
        <m:r>
          <m:rPr>
            <m:sty m:val="p"/>
          </m:rPr>
          <m:t>=</m:t>
        </m:r>
        <m:r>
          <m:t>0.09</m:t>
        </m:r>
      </m:oMath>
      <w:r>
        <w:t xml:space="preserve">) and putamen (</w:t>
      </w:r>
      <m:oMath>
        <m:r>
          <m:t>σ</m:t>
        </m:r>
        <m:r>
          <m:rPr>
            <m:sty m:val="p"/>
          </m:rPr>
          <m:t>=</m:t>
        </m:r>
        <m:r>
          <m:t>0.10</m:t>
        </m:r>
      </m:oMath>
      <w:r>
        <w:t xml:space="preserve">),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bookmarkEnd w:id="33"/>
    <w:bookmarkEnd w:id="34"/>
    <w:bookmarkStart w:id="35"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mouse coronal in-situ hybridization data set used here, the brain-wide expression of each gene is sampled only once (barring a few exceptions). This constrains the types of analyses that are possible (e.g. null 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w:t>
      </w:r>
      <w:r>
        <w:t xml:space="preserve"> </w:t>
      </w:r>
      <w:r>
        <w:t xml:space="preserve">(</w:t>
      </w:r>
      <w:r>
        <w:rPr>
          <w:iCs/>
          <w:i/>
        </w:rPr>
        <w:t xml:space="preserve">37</w:t>
      </w:r>
      <w:r>
        <w:t xml:space="preserve">)</w:t>
      </w:r>
      <w:r>
        <w:t xml:space="preserve"> </w:t>
      </w:r>
      <w:r>
        <w:t xml:space="preserve">used a method of gene set selection to attempt to improve the correspondence between established mouse-human homologies. While this lead to improvement, it was only at the level of coarsely defined regions (e.g. cortex-cortex). Our approach, therefore, was to use supervised machine learning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38</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39</w:t>
      </w:r>
      <w:r>
        <w:t xml:space="preserve">,</w:t>
      </w:r>
      <w:r>
        <w:t xml:space="preserve"> </w:t>
      </w:r>
      <w:r>
        <w:rPr>
          <w:iCs/>
          <w:i/>
        </w:rPr>
        <w:t xml:space="preserve">40</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41</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42</w:t>
      </w:r>
      <w:r>
        <w:t xml:space="preserve">,</w:t>
      </w:r>
      <w:r>
        <w:t xml:space="preserve"> </w:t>
      </w:r>
      <w:r>
        <w:rPr>
          <w:iCs/>
          <w:i/>
        </w:rPr>
        <w:t xml:space="preserve">43</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44</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45</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46</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47</w:t>
      </w:r>
      <w:r>
        <w:t xml:space="preserve">,</w:t>
      </w:r>
      <w:r>
        <w:t xml:space="preserve"> </w:t>
      </w:r>
      <w:r>
        <w:rPr>
          <w:iCs/>
          <w:i/>
        </w:rPr>
        <w:t xml:space="preserve">48</w:t>
      </w:r>
      <w:r>
        <w:t xml:space="preserve">)</w:t>
      </w:r>
      <w:r>
        <w:t xml:space="preserve"> </w:t>
      </w:r>
      <w:r>
        <w:t xml:space="preserve">and the availability of many distinct model strains</w:t>
      </w:r>
      <w:r>
        <w:t xml:space="preserve"> </w:t>
      </w:r>
      <w:r>
        <w:t xml:space="preserve">(</w:t>
      </w:r>
      <w:r>
        <w:rPr>
          <w:iCs/>
          <w:i/>
        </w:rPr>
        <w:t xml:space="preserve">49</w:t>
      </w:r>
      <w:r>
        <w:t xml:space="preserve">)</w:t>
      </w:r>
      <w:r>
        <w:t xml:space="preserve">, each hypothesized to capture a distinct aspect of a multi-dimensional clinical syndrome, can be related to one another. Ultimately, we believe that using the mapping of homologous gene expression between species can be an important part of building a transform that maps information obtained using mice to humans and vice versa.</w:t>
      </w:r>
    </w:p>
    <w:bookmarkEnd w:id="35"/>
    <w:bookmarkStart w:id="50" w:name="materials-methods"/>
    <w:p>
      <w:pPr>
        <w:pStyle w:val="Heading1"/>
      </w:pPr>
      <w:r>
        <w:t xml:space="preserve">Materials and methods</w:t>
      </w:r>
    </w:p>
    <w:bookmarkStart w:id="37"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50</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36">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37"/>
    <w:bookmarkStart w:id="40"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38">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39">
        <w:r>
          <w:rPr>
            <w:rStyle w:val="Hyperlink"/>
          </w:rPr>
          <w:t xml:space="preserve">https://abagen.readthedocs.io/en/stable/</w:t>
        </w:r>
      </w:hyperlink>
      <w:r>
        <w:t xml:space="preserve">)</w:t>
      </w:r>
      <w:r>
        <w:t xml:space="preserve"> </w:t>
      </w:r>
      <w:r>
        <w:t xml:space="preserve">(</w:t>
      </w:r>
      <w:r>
        <w:rPr>
          <w:iCs/>
          <w:i/>
        </w:rPr>
        <w:t xml:space="preserve">51</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52</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40"/>
    <w:bookmarkStart w:id="41"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53</w:t>
      </w:r>
      <w:r>
        <w:t xml:space="preserve">–</w:t>
      </w:r>
      <w:r>
        <w:rPr>
          <w:iCs/>
          <w:i/>
        </w:rPr>
        <w:t xml:space="preserve">57</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41"/>
    <w:bookmarkStart w:id="42"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2"/>
    <w:bookmarkStart w:id="43"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58</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3"/>
    <w:bookmarkStart w:id="45"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4">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59</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5"/>
    <w:bookmarkStart w:id="49" w:name="data-and-code-availability"/>
    <w:p>
      <w:pPr>
        <w:pStyle w:val="Heading2"/>
      </w:pPr>
      <w:r>
        <w:t xml:space="preserve">Data and code availability</w:t>
      </w:r>
    </w:p>
    <w:p>
      <w:pPr>
        <w:pStyle w:val="FirstParagraph"/>
      </w:pPr>
      <w:r>
        <w:t xml:space="preserve">This manuscript, including all figures, was generated programmatically using R Markdown (</w:t>
      </w:r>
      <w:hyperlink r:id="rId46">
        <w:r>
          <w:rPr>
            <w:rStyle w:val="Hyperlink"/>
          </w:rPr>
          <w:t xml:space="preserve">https://rmarkdown.rstudio.com</w:t>
        </w:r>
      </w:hyperlink>
      <w:r>
        <w:t xml:space="preserve">) and</w:t>
      </w:r>
      <w:r>
        <w:t xml:space="preserve"> </w:t>
      </w:r>
      <w:r>
        <w:t xml:space="preserve">(</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8">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48">
        <w:r>
          <w:rPr>
            <w:rStyle w:val="Hyperlink"/>
          </w:rPr>
          <w:t xml:space="preserve">https://github.com/abeaucha/MouseHumanTranscriptomicSimilarity/</w:t>
        </w:r>
      </w:hyperlink>
      <w:r>
        <w:t xml:space="preserve">.</w:t>
      </w:r>
    </w:p>
    <w:bookmarkEnd w:id="49"/>
    <w:bookmarkEnd w:id="50"/>
    <w:bookmarkStart w:id="115" w:name="references"/>
    <w:p>
      <w:pPr>
        <w:pStyle w:val="Heading1"/>
      </w:pPr>
      <w:r>
        <w:t xml:space="preserve">References</w:t>
      </w:r>
    </w:p>
    <w:bookmarkStart w:id="114" w:name="refs"/>
    <w:bookmarkStart w:id="51"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51"/>
    <w:bookmarkStart w:id="52"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2"/>
    <w:bookmarkStart w:id="53"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3"/>
    <w:bookmarkStart w:id="54"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4"/>
    <w:bookmarkStart w:id="55"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5"/>
    <w:bookmarkStart w:id="56"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56"/>
    <w:bookmarkStart w:id="57"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57"/>
    <w:bookmarkStart w:id="58"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58"/>
    <w:bookmarkStart w:id="59"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59"/>
    <w:bookmarkStart w:id="60"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60"/>
    <w:bookmarkStart w:id="61"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61"/>
    <w:bookmarkStart w:id="62"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2"/>
    <w:bookmarkStart w:id="63"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3"/>
    <w:bookmarkStart w:id="64"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4"/>
    <w:bookmarkStart w:id="66"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5">
        <w:r>
          <w:rPr>
            <w:rStyle w:val="Hyperlink"/>
          </w:rPr>
          <w:t xml:space="preserve">10.7554/eLife.35237</w:t>
        </w:r>
      </w:hyperlink>
      <w:r>
        <w:t xml:space="preserve">.</w:t>
      </w:r>
    </w:p>
    <w:bookmarkEnd w:id="66"/>
    <w:bookmarkStart w:id="67"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67"/>
    <w:bookmarkStart w:id="68"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68"/>
    <w:bookmarkStart w:id="69"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69"/>
    <w:bookmarkStart w:id="70"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70"/>
    <w:bookmarkStart w:id="71"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71"/>
    <w:bookmarkStart w:id="72"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2"/>
    <w:bookmarkStart w:id="73"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3"/>
    <w:bookmarkStart w:id="74"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4"/>
    <w:bookmarkStart w:id="75"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5"/>
    <w:bookmarkStart w:id="76"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76"/>
    <w:bookmarkStart w:id="77"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77"/>
    <w:bookmarkStart w:id="78"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78"/>
    <w:bookmarkStart w:id="79"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79"/>
    <w:bookmarkStart w:id="81" w:name="ref-englund_comparing_2021"/>
    <w:p>
      <w:pPr>
        <w:pStyle w:val="Bibliography"/>
      </w:pPr>
      <w:r>
        <w:t xml:space="preserve">29.</w:t>
      </w:r>
      <w:r>
        <w:t xml:space="preserve"> </w:t>
      </w:r>
      <w:r>
        <w:t xml:space="preserve">	</w:t>
      </w:r>
      <w:r>
        <w:t xml:space="preserve">M. Englund, S. S. James, R. Bottom, K. J. Huffman, S. P. Wilson, L. A. Krubitzer, Comparing cortex-wide gene expression patterns between species in a common reference frame (2021), doi:</w:t>
      </w:r>
      <w:hyperlink r:id="rId80">
        <w:r>
          <w:rPr>
            <w:rStyle w:val="Hyperlink"/>
          </w:rPr>
          <w:t xml:space="preserve">10.1101/2021.07.28.454203</w:t>
        </w:r>
      </w:hyperlink>
      <w:r>
        <w:t xml:space="preserve">.</w:t>
      </w:r>
    </w:p>
    <w:bookmarkEnd w:id="81"/>
    <w:bookmarkStart w:id="82"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82"/>
    <w:bookmarkStart w:id="83"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3"/>
    <w:bookmarkStart w:id="84"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4"/>
    <w:bookmarkStart w:id="85"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5"/>
    <w:bookmarkStart w:id="87"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6">
        <w:r>
          <w:rPr>
            <w:rStyle w:val="Hyperlink"/>
          </w:rPr>
          <w:t xml:space="preserve">10.3389/fnana.2013.00003</w:t>
        </w:r>
      </w:hyperlink>
      <w:r>
        <w:t xml:space="preserve">.</w:t>
      </w:r>
    </w:p>
    <w:bookmarkEnd w:id="87"/>
    <w:bookmarkStart w:id="88"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88"/>
    <w:bookmarkStart w:id="89"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89"/>
    <w:bookmarkStart w:id="90" w:name="ref-myers_molecular_2017"/>
    <w:p>
      <w:pPr>
        <w:pStyle w:val="Bibliography"/>
      </w:pPr>
      <w:r>
        <w:t xml:space="preserve">37.</w:t>
      </w:r>
      <w:r>
        <w:t xml:space="preserve"> </w:t>
      </w:r>
      <w:r>
        <w:t xml:space="preserve">	</w:t>
      </w:r>
      <w:r>
        <w:t xml:space="preserve">E. Myers, thesis, Boston University (2017).</w:t>
      </w:r>
    </w:p>
    <w:bookmarkEnd w:id="90"/>
    <w:bookmarkStart w:id="91" w:name="ref-striedter_brains_2020"/>
    <w:p>
      <w:pPr>
        <w:pStyle w:val="Bibliography"/>
      </w:pPr>
      <w:r>
        <w:t xml:space="preserve">38.</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91"/>
    <w:bookmarkStart w:id="92" w:name="ref-chaplin_conserved_2013"/>
    <w:p>
      <w:pPr>
        <w:pStyle w:val="Bibliography"/>
      </w:pPr>
      <w:r>
        <w:t xml:space="preserve">39.</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92"/>
    <w:bookmarkStart w:id="93" w:name="ref-mars_evolutionary_2016"/>
    <w:p>
      <w:pPr>
        <w:pStyle w:val="Bibliography"/>
      </w:pPr>
      <w:r>
        <w:t xml:space="preserve">40.</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93"/>
    <w:bookmarkStart w:id="94" w:name="ref-eichert_cross-species_2020"/>
    <w:p>
      <w:pPr>
        <w:pStyle w:val="Bibliography"/>
      </w:pPr>
      <w:r>
        <w:t xml:space="preserve">41.</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4"/>
    <w:bookmarkStart w:id="95" w:name="ref-rudebeck_foraging_2022"/>
    <w:p>
      <w:pPr>
        <w:pStyle w:val="Bibliography"/>
      </w:pPr>
      <w:r>
        <w:t xml:space="preserve">42.</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5"/>
    <w:bookmarkStart w:id="96" w:name="ref-kaas_neocortex_2011"/>
    <w:p>
      <w:pPr>
        <w:pStyle w:val="Bibliography"/>
      </w:pPr>
      <w:r>
        <w:t xml:space="preserve">43.</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6"/>
    <w:bookmarkStart w:id="97" w:name="ref-barron_cross-species_2021"/>
    <w:p>
      <w:pPr>
        <w:pStyle w:val="Bibliography"/>
      </w:pPr>
      <w:r>
        <w:t xml:space="preserve">44.</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7"/>
    <w:bookmarkStart w:id="98" w:name="ref-liu_functional_2021"/>
    <w:p>
      <w:pPr>
        <w:pStyle w:val="Bibliography"/>
      </w:pPr>
      <w:r>
        <w:t xml:space="preserve">45.</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98"/>
    <w:bookmarkStart w:id="99" w:name="ref-mandino_triple-network_2021"/>
    <w:p>
      <w:pPr>
        <w:pStyle w:val="Bibliography"/>
      </w:pPr>
      <w:r>
        <w:t xml:space="preserve">46.</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99"/>
    <w:bookmarkStart w:id="100" w:name="ref-simonoff_psychiatric_2008"/>
    <w:p>
      <w:pPr>
        <w:pStyle w:val="Bibliography"/>
      </w:pPr>
      <w:r>
        <w:t xml:space="preserve">47.</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100"/>
    <w:bookmarkStart w:id="101" w:name="ref-grzadzinski_dsm-5_2013"/>
    <w:p>
      <w:pPr>
        <w:pStyle w:val="Bibliography"/>
      </w:pPr>
      <w:r>
        <w:t xml:space="preserve">48.</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101"/>
    <w:bookmarkStart w:id="102" w:name="ref-ellegood_clustering_2015"/>
    <w:p>
      <w:pPr>
        <w:pStyle w:val="Bibliography"/>
      </w:pPr>
      <w:r>
        <w:t xml:space="preserve">49.</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102"/>
    <w:bookmarkStart w:id="103" w:name="ref-wang_allen_2020"/>
    <w:p>
      <w:pPr>
        <w:pStyle w:val="Bibliography"/>
      </w:pPr>
      <w:r>
        <w:t xml:space="preserve">50.</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103"/>
    <w:bookmarkStart w:id="104" w:name="ref-markello_standardizing_2021"/>
    <w:p>
      <w:pPr>
        <w:pStyle w:val="Bibliography"/>
      </w:pPr>
      <w:r>
        <w:t xml:space="preserve">51.</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4"/>
    <w:bookmarkStart w:id="105" w:name="ref-arnatkeviciute_practical_2019"/>
    <w:p>
      <w:pPr>
        <w:pStyle w:val="Bibliography"/>
      </w:pPr>
      <w:r>
        <w:t xml:space="preserve">52.</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5"/>
    <w:bookmarkStart w:id="106" w:name="ref-dorr_high_2008"/>
    <w:p>
      <w:pPr>
        <w:pStyle w:val="Bibliography"/>
      </w:pPr>
      <w:r>
        <w:t xml:space="preserve">53.</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6"/>
    <w:bookmarkStart w:id="107" w:name="ref-richards_segmentation_2011"/>
    <w:p>
      <w:pPr>
        <w:pStyle w:val="Bibliography"/>
      </w:pPr>
      <w:r>
        <w:t xml:space="preserve">54.</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7"/>
    <w:bookmarkStart w:id="108" w:name="ref-ullmann_segmentation_2013"/>
    <w:p>
      <w:pPr>
        <w:pStyle w:val="Bibliography"/>
      </w:pPr>
      <w:r>
        <w:t xml:space="preserve">55.</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08"/>
    <w:bookmarkStart w:id="109" w:name="ref-steadman_genetic_2014"/>
    <w:p>
      <w:pPr>
        <w:pStyle w:val="Bibliography"/>
      </w:pPr>
      <w:r>
        <w:t xml:space="preserve">56.</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09"/>
    <w:bookmarkStart w:id="110" w:name="ref-qiu_mouse_2018"/>
    <w:p>
      <w:pPr>
        <w:pStyle w:val="Bibliography"/>
      </w:pPr>
      <w:r>
        <w:t xml:space="preserve">57.</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10"/>
    <w:bookmarkStart w:id="111" w:name="ref-ncbi_database_2018"/>
    <w:p>
      <w:pPr>
        <w:pStyle w:val="Bibliography"/>
      </w:pPr>
      <w:r>
        <w:t xml:space="preserve">58.</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111"/>
    <w:bookmarkStart w:id="113" w:name="ref-loshchilov_decoupled_2019"/>
    <w:p>
      <w:pPr>
        <w:pStyle w:val="Bibliography"/>
      </w:pPr>
      <w:r>
        <w:t xml:space="preserve">59.</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12">
        <w:r>
          <w:rPr>
            <w:rStyle w:val="Hyperlink"/>
          </w:rPr>
          <w:t xml:space="preserve">http://arxiv.org/abs/1711.05101</w:t>
        </w:r>
      </w:hyperlink>
      <w:r>
        <w:t xml:space="preserve">).</w:t>
      </w:r>
    </w:p>
    <w:bookmarkEnd w:id="113"/>
    <w:bookmarkEnd w:id="114"/>
    <w:bookmarkEnd w:id="115"/>
    <w:bookmarkStart w:id="116" w:name="acknowledgments"/>
    <w:p>
      <w:pPr>
        <w:pStyle w:val="Heading1"/>
      </w:pPr>
      <w:r>
        <w:t xml:space="preserve">Acknowledgments</w:t>
      </w:r>
    </w:p>
    <w:bookmarkEnd w:id="116"/>
    <w:bookmarkStart w:id="123" w:name="figures-and-tables"/>
    <w:p>
      <w:pPr>
        <w:pStyle w:val="Heading1"/>
      </w:pPr>
      <w:r>
        <w:t xml:space="preserve">Figures and Tables</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science_advances_docx_files/figure-docx/results1-fig1-print-1.png" id="0" name="Picture"/>
                    <pic:cNvPicPr>
                      <a:picLocks noChangeArrowheads="1" noChangeAspect="1"/>
                    </pic:cNvPicPr>
                  </pic:nvPicPr>
                  <pic:blipFill>
                    <a:blip r:embed="rId117"/>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science_advances_docx_files/figure-docx/results2-fig2-print-1.png" id="0" name="Picture"/>
                    <pic:cNvPicPr>
                      <a:picLocks noChangeArrowheads="1" noChangeAspect="1"/>
                    </pic:cNvPicPr>
                  </pic:nvPicPr>
                  <pic:blipFill>
                    <a:blip r:embed="rId118"/>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science_advances_docx_files/figure-docx/results2-fig3-print-1.png" id="0" name="Picture"/>
                    <pic:cNvPicPr>
                      <a:picLocks noChangeArrowheads="1" noChangeAspect="1"/>
                    </pic:cNvPicPr>
                  </pic:nvPicPr>
                  <pic:blipFill>
                    <a:blip r:embed="rId119"/>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science_advances_docx_files/figure-docx/results2-fig4-print-1.png" id="0" name="Picture"/>
                    <pic:cNvPicPr>
                      <a:picLocks noChangeArrowheads="1" noChangeAspect="1"/>
                    </pic:cNvPicPr>
                  </pic:nvPicPr>
                  <pic:blipFill>
                    <a:blip r:embed="rId120"/>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science_advances_docx_files/figure-docx/results3-fig5-print-1.png" id="0" name="Picture"/>
                    <pic:cNvPicPr>
                      <a:picLocks noChangeArrowheads="1" noChangeAspect="1"/>
                    </pic:cNvPicPr>
                  </pic:nvPicPr>
                  <pic:blipFill>
                    <a:blip r:embed="rId121"/>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science_advances_docx_files/figure-docx/results4-fig6-print-1.png" id="0" name="Picture"/>
                    <pic:cNvPicPr>
                      <a:picLocks noChangeArrowheads="1" noChangeAspect="1"/>
                    </pic:cNvPicPr>
                  </pic:nvPicPr>
                  <pic:blipFill>
                    <a:blip r:embed="rId122"/>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123"/>
    <w:bookmarkStart w:id="124" w:name="supplementary-materials"/>
    <w:p>
      <w:pPr>
        <w:pStyle w:val="Heading1"/>
      </w:pPr>
      <w:r>
        <w:t xml:space="preserve">Supplementary Materials</w:t>
      </w:r>
    </w:p>
    <w:bookmarkEnd w:id="124"/>
    <w:sectPr w:rsidR="00B91E5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B6C0504"/>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6B2E4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2404F63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EA05EE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593CD7D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615A220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3E90725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31BC89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C92056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BE84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BFC2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896403"/>
    <w:pPr>
      <w:keepNext/>
      <w:keepLines/>
      <w:spacing w:after="0" w:before="12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896403"/>
    <w:pPr>
      <w:keepNext/>
      <w:keepLines/>
      <w:spacing w:after="0" w:before="120"/>
      <w:ind w:left="72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6403"/>
    <w:pPr>
      <w:spacing w:after="180" w:before="180"/>
      <w:ind w:left="720"/>
    </w:pPr>
    <w:rPr>
      <w:rFonts w:ascii="Times New Roman" w:hAnsi="Times New Roman"/>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615EE"/>
    <w:pPr>
      <w:ind w:hanging="720" w:left="720"/>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9640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8964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_rels/footnotes.xml.rels><?xml version="1.0" encoding="UTF-8"?><Relationships xmlns="http://schemas.openxmlformats.org/package/2006/relationships"><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108</Words>
  <Characters>618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2022-03-21T14:19:30Z</dcterms:created>
  <dcterms:modified xsi:type="dcterms:W3CDTF">2022-03-21T14:19:30Z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