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1"/>
      </w:pPr>
      <w:r>
        <w:t xml:space="preserve">FRONT MATTER</w:t>
      </w:r>
    </w:p>
    <w:bookmarkEnd w:id="20"/>
    <w:bookmarkStart w:id="21" w:name="title"/>
    <w:p>
      <w:pPr>
        <w:pStyle w:val="Heading1"/>
      </w:pPr>
      <w:r>
        <w:t xml:space="preserve">Title</w:t>
      </w:r>
    </w:p>
    <w:bookmarkEnd w:id="21"/>
    <w:bookmarkStart w:id="22" w:name="authors"/>
    <w:p>
      <w:pPr>
        <w:pStyle w:val="Heading1"/>
      </w:pPr>
      <w:r>
        <w:t xml:space="preserve">Authors</w:t>
      </w:r>
    </w:p>
    <w:bookmarkEnd w:id="22"/>
    <w:bookmarkStart w:id="23" w:name="affiliations"/>
    <w:p>
      <w:pPr>
        <w:pStyle w:val="Heading1"/>
      </w:pPr>
      <w:r>
        <w:t xml:space="preserve">Affiliations</w:t>
      </w:r>
    </w:p>
    <w:bookmarkEnd w:id="23"/>
    <w:bookmarkStart w:id="24" w:name="abstract"/>
    <w:p>
      <w:pPr>
        <w:pStyle w:val="Heading1"/>
      </w:pPr>
      <w:r>
        <w:t xml:space="preserve">Abstract</w:t>
      </w:r>
    </w:p>
    <w:bookmarkEnd w:id="24"/>
    <w:bookmarkStart w:id="25" w:name="teaser"/>
    <w:p>
      <w:pPr>
        <w:pStyle w:val="Heading1"/>
      </w:pPr>
      <w:r>
        <w:t xml:space="preserve">Teaser</w:t>
      </w:r>
    </w:p>
    <w:bookmarkEnd w:id="25"/>
    <w:bookmarkStart w:id="26" w:name="main-text"/>
    <w:p>
      <w:pPr>
        <w:pStyle w:val="Heading1"/>
      </w:pPr>
      <w:r>
        <w:t xml:space="preserve">MAIN TEXT</w:t>
      </w:r>
    </w:p>
    <w:bookmarkEnd w:id="26"/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(</w:t>
      </w:r>
      <w:r>
        <w:rPr>
          <w:iCs/>
          <w:i/>
        </w:rPr>
        <w:t xml:space="preserve">1</w:t>
      </w:r>
      <w:r>
        <w:t xml:space="preserve">–</w:t>
      </w:r>
      <w:r>
        <w:rPr>
          <w:iCs/>
          <w:i/>
        </w:rPr>
        <w:t xml:space="preserve">4</w:t>
      </w:r>
      <w:r>
        <w:t xml:space="preserve">)</w:t>
      </w:r>
    </w:p>
    <w:bookmarkEnd w:id="27"/>
    <w:bookmarkStart w:id="29" w:name="results"/>
    <w:p>
      <w:pPr>
        <w:pStyle w:val="Heading1"/>
      </w:pPr>
      <w:r>
        <w:t xml:space="preserve">Results</w:t>
      </w:r>
    </w:p>
    <w:bookmarkStart w:id="28" w:name="results-sub-heading"/>
    <w:p>
      <w:pPr>
        <w:pStyle w:val="Heading2"/>
      </w:pPr>
      <w:r>
        <w:t xml:space="preserve">Results sub-heading</w:t>
      </w:r>
    </w:p>
    <w:bookmarkEnd w:id="28"/>
    <w:bookmarkEnd w:id="29"/>
    <w:bookmarkStart w:id="30" w:name="discussion"/>
    <w:p>
      <w:pPr>
        <w:pStyle w:val="Heading1"/>
      </w:pPr>
      <w:r>
        <w:t xml:space="preserve">Discussion</w:t>
      </w:r>
    </w:p>
    <w:bookmarkEnd w:id="30"/>
    <w:bookmarkStart w:id="31" w:name="materials-and-methods"/>
    <w:p>
      <w:pPr>
        <w:pStyle w:val="Heading1"/>
      </w:pPr>
      <w:r>
        <w:t xml:space="preserve">Materials and Methods</w:t>
      </w:r>
    </w:p>
    <w:bookmarkEnd w:id="31"/>
    <w:bookmarkStart w:id="37" w:name="references"/>
    <w:p>
      <w:pPr>
        <w:pStyle w:val="Heading1"/>
      </w:pPr>
      <w:r>
        <w:t xml:space="preserve">References</w:t>
      </w:r>
    </w:p>
    <w:bookmarkStart w:id="36" w:name="refs"/>
    <w:bookmarkStart w:id="32" w:name="ref-hedrich_chapter_200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H. J. Hedrich, H. Mossmann, W. Nicklas,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Laboratory</w:t>
      </w:r>
      <w:r>
        <w:rPr>
          <w:iCs/>
          <w:i/>
        </w:rPr>
        <w:t xml:space="preserve"> </w:t>
      </w:r>
      <w:r>
        <w:rPr>
          <w:iCs/>
          <w:i/>
        </w:rPr>
        <w:t xml:space="preserve">Mouse</w:t>
      </w:r>
      <w:r>
        <w:t xml:space="preserve"> </w:t>
      </w:r>
      <w:r>
        <w:t xml:space="preserve">(Elsevier Academic Press, 1st Edition., 2004), pp. 395–408.</w:t>
      </w:r>
    </w:p>
    <w:bookmarkEnd w:id="32"/>
    <w:bookmarkStart w:id="33" w:name="ref-houdebine_louis-marie_chapter_200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L.-M. Houdebine,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Laboratory</w:t>
      </w:r>
      <w:r>
        <w:rPr>
          <w:iCs/>
          <w:i/>
        </w:rPr>
        <w:t xml:space="preserve"> </w:t>
      </w:r>
      <w:r>
        <w:rPr>
          <w:iCs/>
          <w:i/>
        </w:rPr>
        <w:t xml:space="preserve">Mouse</w:t>
      </w:r>
      <w:r>
        <w:t xml:space="preserve"> </w:t>
      </w:r>
      <w:r>
        <w:t xml:space="preserve">(Elsevier Academic Press, 1st Edition., 2004), pp. 97–107.</w:t>
      </w:r>
    </w:p>
    <w:bookmarkEnd w:id="33"/>
    <w:bookmarkStart w:id="34" w:name="ref-dietrich_publication_201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M. R. Dietrich, R. A. Ankeny, P. M. Chen, Publication</w:t>
      </w:r>
      <w:r>
        <w:t xml:space="preserve"> </w:t>
      </w: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Model</w:t>
      </w:r>
      <w:r>
        <w:t xml:space="preserve"> </w:t>
      </w:r>
      <w:r>
        <w:t xml:space="preserve">Organism</w:t>
      </w:r>
      <w:r>
        <w:t xml:space="preserve"> </w:t>
      </w:r>
      <w:r>
        <w:t xml:space="preserve">Research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.</w:t>
      </w:r>
      <w:r>
        <w:t xml:space="preserve"> </w:t>
      </w:r>
      <w:r>
        <w:rPr>
          <w:bCs/>
          <w:b/>
        </w:rPr>
        <w:t xml:space="preserve">198</w:t>
      </w:r>
      <w:r>
        <w:t xml:space="preserve">, 787–794 (2014).</w:t>
      </w:r>
    </w:p>
    <w:bookmarkEnd w:id="34"/>
    <w:bookmarkStart w:id="35" w:name="ref-ellenbroek_rodent_2016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B. Ellenbroek, J. Youn, Rodent models in neuroscience research: Is it a rat race?</w:t>
      </w:r>
      <w:r>
        <w:t xml:space="preserve"> </w:t>
      </w:r>
      <w:r>
        <w:rPr>
          <w:iCs/>
          <w:i/>
        </w:rPr>
        <w:t xml:space="preserve">Disease Models &amp; Mechanisms</w:t>
      </w:r>
      <w:r>
        <w:t xml:space="preserve">.</w:t>
      </w:r>
      <w:r>
        <w:t xml:space="preserve"> </w:t>
      </w:r>
      <w:r>
        <w:rPr>
          <w:bCs/>
          <w:b/>
        </w:rPr>
        <w:t xml:space="preserve">9</w:t>
      </w:r>
      <w:r>
        <w:t xml:space="preserve">, 1079–1087 (2016).</w:t>
      </w:r>
    </w:p>
    <w:bookmarkEnd w:id="35"/>
    <w:bookmarkEnd w:id="36"/>
    <w:bookmarkEnd w:id="37"/>
    <w:bookmarkStart w:id="38" w:name="acknowledgements"/>
    <w:p>
      <w:pPr>
        <w:pStyle w:val="Heading1"/>
      </w:pPr>
      <w:r>
        <w:t xml:space="preserve">Acknowledgements</w:t>
      </w:r>
    </w:p>
    <w:bookmarkEnd w:id="38"/>
    <w:bookmarkStart w:id="40" w:name="figures-and-tables"/>
    <w:p>
      <w:pPr>
        <w:pStyle w:val="Heading1"/>
      </w:pPr>
      <w:r>
        <w:t xml:space="preserve">Figures and Tables</w:t>
      </w:r>
    </w:p>
    <w:p>
      <w:pPr>
        <w:pStyle w:val="CaptionedFigure"/>
      </w:pPr>
      <w:r>
        <w:drawing>
          <wp:inline>
            <wp:extent cx="5334000" cy="5067300"/>
            <wp:effectExtent b="0" l="0" r="0" t="0"/>
            <wp:docPr descr="Figure caption" title="" id="1" name="Picture"/>
            <a:graphic>
              <a:graphicData uri="http://schemas.openxmlformats.org/drawingml/2006/picture">
                <pic:pic>
                  <pic:nvPicPr>
                    <pic:cNvPr descr="template_word_science_advanc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caption</w:t>
      </w:r>
    </w:p>
    <w:bookmarkEnd w:id="40"/>
    <w:bookmarkStart w:id="41" w:name="supplementary-materials"/>
    <w:p>
      <w:pPr>
        <w:pStyle w:val="Heading1"/>
      </w:pPr>
      <w:r>
        <w:t xml:space="preserve">Supplementary Materials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2022-03-15T18:03:38Z</dcterms:created>
  <dcterms:modified xsi:type="dcterms:W3CDTF">2022-03-15T18:03:38Z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TranscriptomicSimilarity.bib</vt:lpwstr>
  </property>
  <property fmtid="{D5CDD505-2E9C-101B-9397-08002B2CF9AE}" pid="3" name="csl">
    <vt:lpwstr>science-advances.csl</vt:lpwstr>
  </property>
  <property fmtid="{D5CDD505-2E9C-101B-9397-08002B2CF9AE}" pid="4" name="output">
    <vt:lpwstr>word_document</vt:lpwstr>
  </property>
</Properties>
</file>