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Services</w:t>
      </w:r>
    </w:p>
    <w:p>
      <w:pPr>
        <w:pStyle w:val="Body"/>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Therapy</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For the treatment of diverse conditions, including anxiety, mood disorders, attention deficit hyperactivity disorder (ADHD), right hemisphere disorders (e.g., nonverbal learning disorder, Asperger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and autism spectrum disorders) that often emerge in the context of family and relationship difficulties, academic and professional struggles.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Across the lifespan: children (age 5 and up), adolescents and adults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For: individuals, couples, families, and groups</w:t>
        <w:tab/>
      </w:r>
    </w:p>
    <w:p>
      <w:pPr>
        <w:pStyle w:val="Body"/>
        <w:rPr>
          <w:rFonts w:ascii="Times New Roman" w:cs="Times New Roman" w:hAnsi="Times New Roman" w:eastAsia="Times New Roman"/>
          <w:i w:val="1"/>
          <w:iCs w:val="1"/>
          <w:sz w:val="28"/>
          <w:szCs w:val="28"/>
        </w:rPr>
      </w:pPr>
    </w:p>
    <w:p>
      <w:pPr>
        <w:pStyle w:val="Body"/>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Evaluations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Include: Comprehensive Neuropsychological, </w:t>
      </w:r>
      <w:r>
        <w:rPr>
          <w:rFonts w:ascii="Times New Roman" w:hAnsi="Times New Roman"/>
          <w:sz w:val="24"/>
          <w:szCs w:val="24"/>
          <w:u w:color="ff0000"/>
          <w:rtl w:val="0"/>
          <w:lang w:val="en-US"/>
        </w:rPr>
        <w:t>Educational</w:t>
      </w:r>
      <w:r>
        <w:rPr>
          <w:rFonts w:ascii="Times New Roman" w:hAnsi="Times New Roman"/>
          <w:sz w:val="24"/>
          <w:szCs w:val="24"/>
          <w:rtl w:val="0"/>
        </w:rPr>
        <w:t xml:space="preserve"> (Psycho</w:t>
      </w:r>
      <w:r>
        <w:rPr>
          <w:rFonts w:ascii="Times New Roman" w:hAnsi="Times New Roman"/>
          <w:sz w:val="24"/>
          <w:szCs w:val="24"/>
          <w:u w:color="ff0000"/>
          <w:rtl w:val="0"/>
        </w:rPr>
        <w:t>diagnostic</w:t>
      </w:r>
      <w:r>
        <w:rPr>
          <w:rFonts w:ascii="Times New Roman" w:hAnsi="Times New Roman"/>
          <w:sz w:val="24"/>
          <w:szCs w:val="24"/>
          <w:rtl w:val="0"/>
          <w:lang w:val="en-US"/>
        </w:rPr>
        <w:t xml:space="preserve">), and Psychological </w:t>
      </w:r>
      <w:r>
        <w:rPr>
          <w:rFonts w:ascii="Times New Roman" w:hAnsi="Times New Roman"/>
          <w:sz w:val="24"/>
          <w:szCs w:val="24"/>
          <w:u w:color="ff0000"/>
          <w:rtl w:val="0"/>
          <w:lang w:val="it-IT"/>
        </w:rPr>
        <w:t>Assessment</w:t>
      </w:r>
      <w:r>
        <w:rPr>
          <w:rFonts w:ascii="Times New Roman" w:hAnsi="Times New Roman"/>
          <w:sz w:val="24"/>
          <w:szCs w:val="24"/>
          <w:rtl w:val="0"/>
        </w:rPr>
        <w:t xml:space="preserv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Across the lifespan: children (age 5 and up), adolescents and adults</w:t>
      </w:r>
    </w:p>
    <w:p>
      <w:pPr>
        <w:pStyle w:val="Body A"/>
        <w:tabs>
          <w:tab w:val="left" w:pos="720"/>
        </w:tabs>
        <w:spacing w:line="249" w:lineRule="auto"/>
        <w:rPr>
          <w:rFonts w:ascii="Times New Roman" w:cs="Times New Roman" w:hAnsi="Times New Roman" w:eastAsia="Times New Roman"/>
          <w:sz w:val="24"/>
          <w:szCs w:val="24"/>
        </w:rPr>
      </w:pPr>
      <w:r>
        <w:rPr>
          <w:rFonts w:ascii="Times New Roman" w:hAnsi="Times New Roman"/>
          <w:sz w:val="24"/>
          <w:szCs w:val="24"/>
          <w:rtl w:val="0"/>
          <w:lang w:val="de-DE"/>
        </w:rPr>
        <w:t>To evaluate:</w:t>
      </w:r>
    </w:p>
    <w:p>
      <w:pPr>
        <w:pStyle w:val="List Paragraph"/>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Learning, executive function and attention disorders</w:t>
      </w:r>
    </w:p>
    <w:p>
      <w:pPr>
        <w:pStyle w:val="List Paragraph"/>
        <w:numPr>
          <w:ilvl w:val="0"/>
          <w:numId w:val="3"/>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Developmental and acquired cognitive disorders</w:t>
      </w:r>
    </w:p>
    <w:p>
      <w:pPr>
        <w:pStyle w:val="List Paragraph"/>
        <w:numPr>
          <w:ilvl w:val="0"/>
          <w:numId w:val="3"/>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Cognitive and psychosocial difficulties related to medical and psychiatric disorders</w:t>
      </w:r>
    </w:p>
    <w:p>
      <w:pPr>
        <w:pStyle w:val="List Paragraph"/>
        <w:numPr>
          <w:ilvl w:val="0"/>
          <w:numId w:val="3"/>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Differential diagnosis of cognitive and psychiatric disabilities</w:t>
      </w:r>
    </w:p>
    <w:p>
      <w:pPr>
        <w:pStyle w:val="List Paragraph"/>
        <w:numPr>
          <w:ilvl w:val="0"/>
          <w:numId w:val="3"/>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Integrative understanding of concerns</w:t>
      </w:r>
    </w:p>
    <w:p>
      <w:pPr>
        <w:pStyle w:val="List Paragraph"/>
        <w:numPr>
          <w:ilvl w:val="0"/>
          <w:numId w:val="3"/>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Implications for real life functioning</w:t>
      </w:r>
    </w:p>
    <w:p>
      <w:pPr>
        <w:pStyle w:val="List Paragraph"/>
        <w:numPr>
          <w:ilvl w:val="0"/>
          <w:numId w:val="3"/>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Comprehensive treatment and educational recommendations</w:t>
      </w:r>
    </w:p>
    <w:p>
      <w:pPr>
        <w:pStyle w:val="List Paragraph"/>
        <w:numPr>
          <w:ilvl w:val="0"/>
          <w:numId w:val="3"/>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Detailed school, college and testing accommodations</w:t>
      </w:r>
    </w:p>
    <w:p>
      <w:pPr>
        <w:pStyle w:val="List Paragraph"/>
        <w:numPr>
          <w:ilvl w:val="0"/>
          <w:numId w:val="3"/>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Qualifications for gifted and advanced studies programs and schools</w:t>
      </w:r>
    </w:p>
    <w:p>
      <w:pPr>
        <w:pStyle w:val="List Paragraph"/>
        <w:numPr>
          <w:ilvl w:val="0"/>
          <w:numId w:val="3"/>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Guide the family towards best resources</w:t>
      </w:r>
    </w:p>
    <w:p>
      <w:pPr>
        <w:pStyle w:val="Body"/>
      </w:pPr>
    </w:p>
    <w:p>
      <w:pPr>
        <w:pStyle w:val="Body"/>
        <w:rPr>
          <w:rFonts w:ascii="Times New Roman" w:cs="Times New Roman" w:hAnsi="Times New Roman" w:eastAsia="Times New Roman"/>
          <w:sz w:val="24"/>
          <w:szCs w:val="24"/>
        </w:rPr>
      </w:pPr>
      <w:r>
        <w:rPr>
          <w:rFonts w:ascii="Times New Roman" w:hAnsi="Times New Roman"/>
          <w:sz w:val="24"/>
          <w:szCs w:val="24"/>
          <w:u w:val="single"/>
          <w:rtl w:val="0"/>
          <w:lang w:val="en-US"/>
        </w:rPr>
        <w:t>The Neuropsychological Evaluation</w:t>
      </w:r>
      <w:r>
        <w:rPr>
          <w:rFonts w:ascii="Times New Roman" w:hAnsi="Times New Roman"/>
          <w:sz w:val="24"/>
          <w:szCs w:val="24"/>
          <w:rtl w:val="0"/>
        </w:rPr>
        <w:t xml:space="preserv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purpose of a neuropsychological evaluation is to understand the relationship between a person</w:t>
      </w:r>
      <w:r>
        <w:rPr>
          <w:rFonts w:ascii="Times New Roman" w:hAnsi="Times New Roman" w:hint="default"/>
          <w:sz w:val="24"/>
          <w:szCs w:val="24"/>
          <w:rtl w:val="0"/>
          <w:lang w:val="en-US"/>
        </w:rPr>
        <w:t>’</w:t>
      </w:r>
      <w:r>
        <w:rPr>
          <w:rFonts w:ascii="Times New Roman" w:hAnsi="Times New Roman"/>
          <w:sz w:val="24"/>
          <w:szCs w:val="24"/>
          <w:rtl w:val="0"/>
          <w:lang w:val="en-US"/>
        </w:rPr>
        <w:t xml:space="preserve">s brain functioning and his/her behavior through a standardized and individually tailored process of assessment. Such evaluations seek to identify and integrate the neurocognitive and psychological issues that disrupt optimal functioning. This service may be requested to help diagnose or gain a greater understanding of the impact of acquired, genetic, neurologic or developmental disorders, injuries, and/or ongoing physiological influences (such as sleep disturbance and drugs).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evaluation includes a thorough review of background information and relevant records, current information from those close to and familiar with the individual when available, testing of discrete areas of cognitive functioning (including attention and concentration, executive function, memory, language, visuospatial processing, and other skills), assessment of achievement (academic) skills, and assessment of social/emotional functioning. The quantitative data is closely examined in the context of the individual</w:t>
      </w:r>
      <w:r>
        <w:rPr>
          <w:rFonts w:ascii="Times New Roman" w:hAnsi="Times New Roman" w:hint="default"/>
          <w:sz w:val="24"/>
          <w:szCs w:val="24"/>
          <w:rtl w:val="0"/>
          <w:lang w:val="en-US"/>
        </w:rPr>
        <w:t>’</w:t>
      </w:r>
      <w:r>
        <w:rPr>
          <w:rFonts w:ascii="Times New Roman" w:hAnsi="Times New Roman"/>
          <w:sz w:val="24"/>
          <w:szCs w:val="24"/>
          <w:rtl w:val="0"/>
          <w:lang w:val="en-US"/>
        </w:rPr>
        <w:t xml:space="preserve">s history combined with a qualitative analysis of </w:t>
      </w:r>
      <w:r>
        <w:rPr>
          <w:rFonts w:ascii="Times New Roman" w:hAnsi="Times New Roman"/>
          <w:i w:val="1"/>
          <w:iCs w:val="1"/>
          <w:sz w:val="24"/>
          <w:szCs w:val="24"/>
          <w:rtl w:val="0"/>
          <w:lang w:val="en-US"/>
        </w:rPr>
        <w:t>how</w:t>
      </w:r>
      <w:r>
        <w:rPr>
          <w:rFonts w:ascii="Times New Roman" w:hAnsi="Times New Roman"/>
          <w:sz w:val="24"/>
          <w:szCs w:val="24"/>
          <w:rtl w:val="0"/>
          <w:lang w:val="en-US"/>
        </w:rPr>
        <w:t xml:space="preserve"> the individual approaches and solves problems.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results reveal an integrated picture of the individual to clarify strengths and challenges that affect functioning. Comprehensive treatment recommendations are provided to address areas of relative weakness in effort to improve abilities at school, work and home.</w:t>
      </w:r>
    </w:p>
    <w:p>
      <w:pPr>
        <w:pStyle w:val="Body"/>
        <w:rPr>
          <w:rFonts w:ascii="Times New Roman" w:cs="Times New Roman" w:hAnsi="Times New Roman" w:eastAsia="Times New Roman"/>
          <w:sz w:val="24"/>
          <w:szCs w:val="24"/>
        </w:rPr>
      </w:pPr>
      <w:r>
        <w:rPr>
          <w:rFonts w:ascii="Times New Roman" w:hAnsi="Times New Roman"/>
          <w:sz w:val="24"/>
          <w:szCs w:val="24"/>
          <w:u w:val="single"/>
          <w:rtl w:val="0"/>
          <w:lang w:val="en-US"/>
        </w:rPr>
        <w:t>The Educational Assessment</w:t>
      </w:r>
      <w:r>
        <w:rPr>
          <w:rFonts w:ascii="Times New Roman" w:hAnsi="Times New Roman"/>
          <w:sz w:val="24"/>
          <w:szCs w:val="24"/>
          <w:rtl w:val="0"/>
          <w:lang w:val="en-US"/>
        </w:rPr>
        <w:t xml:space="preserve"> (also referred to as Psychoeducational Testing)</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 student</w:t>
      </w:r>
      <w:r>
        <w:rPr>
          <w:rFonts w:ascii="Times New Roman" w:hAnsi="Times New Roman" w:hint="default"/>
          <w:sz w:val="24"/>
          <w:szCs w:val="24"/>
          <w:rtl w:val="0"/>
          <w:lang w:val="en-US"/>
        </w:rPr>
        <w:t>’</w:t>
      </w:r>
      <w:r>
        <w:rPr>
          <w:rFonts w:ascii="Times New Roman" w:hAnsi="Times New Roman"/>
          <w:sz w:val="24"/>
          <w:szCs w:val="24"/>
          <w:rtl w:val="0"/>
          <w:lang w:val="en-US"/>
        </w:rPr>
        <w:t>s intellectual, educational and cognitive abilities are assessed in depth to understand strengths and weaknesses that are affecting learning and school performance. Specific achievement skills are examined (that include reading, spelling, written language, and mathematics) to determine whether a student meets criteria for special education services due to a learning disability. Comprehensive educational recommendations are provided that include the need for accommodations (such as extended time) for school work and standardized tests (such as SAT, GRE, MCAT and others, as well as licensing exams and certificates for social work and other specializations), teaching strategies, learning strategies, and targeted interventions that depend on the nature of the identified areas of weakness.</w:t>
      </w:r>
    </w:p>
    <w:p>
      <w:pPr>
        <w:pStyle w:val="Body"/>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The Psychological Assessment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Psychological testing is performed to better understand how an individual thinks, feels, and relates to the world. This evaluation is based on the integration of diverse data that includes scores, response content and themes, style and process of responses, and the interpersonal interaction. The goal is to </w:t>
      </w:r>
      <w:r>
        <w:rPr>
          <w:rFonts w:ascii="Times New Roman" w:hAnsi="Times New Roman"/>
          <w:sz w:val="24"/>
          <w:szCs w:val="24"/>
          <w:rtl w:val="0"/>
          <w:lang w:val="en-US"/>
        </w:rPr>
        <w:t>generat</w:t>
      </w:r>
      <w:r>
        <w:rPr>
          <w:rFonts w:ascii="Times New Roman" w:hAnsi="Times New Roman"/>
          <w:sz w:val="24"/>
          <w:szCs w:val="24"/>
          <w:rtl w:val="0"/>
        </w:rPr>
        <w:t>e</w:t>
      </w:r>
      <w:r>
        <w:rPr>
          <w:rFonts w:ascii="Times New Roman" w:hAnsi="Times New Roman"/>
          <w:sz w:val="24"/>
          <w:szCs w:val="24"/>
          <w:rtl w:val="0"/>
          <w:lang w:val="en-US"/>
        </w:rPr>
        <w:t xml:space="preserve"> a</w:t>
      </w:r>
      <w:r>
        <w:rPr>
          <w:rFonts w:ascii="Times New Roman" w:hAnsi="Times New Roman"/>
          <w:sz w:val="24"/>
          <w:szCs w:val="24"/>
          <w:rtl w:val="0"/>
          <w:lang w:val="en-US"/>
        </w:rPr>
        <w:t xml:space="preserve"> meaningful description of personality functioning to provide diagnostic clarification</w:t>
      </w:r>
      <w:r>
        <w:rPr>
          <w:rFonts w:ascii="Times New Roman" w:hAnsi="Times New Roman"/>
          <w:sz w:val="24"/>
          <w:szCs w:val="24"/>
          <w:rtl w:val="0"/>
          <w:lang w:val="en-US"/>
        </w:rPr>
        <w:t xml:space="preserve">, </w:t>
      </w:r>
      <w:r>
        <w:rPr>
          <w:rFonts w:ascii="Times New Roman" w:hAnsi="Times New Roman"/>
          <w:sz w:val="24"/>
          <w:szCs w:val="24"/>
          <w:rtl w:val="0"/>
          <w:lang w:val="en-US"/>
        </w:rPr>
        <w:t>determine the best form of treatment</w:t>
      </w:r>
      <w:r>
        <w:rPr>
          <w:rFonts w:ascii="Times New Roman" w:hAnsi="Times New Roman"/>
          <w:sz w:val="24"/>
          <w:szCs w:val="24"/>
          <w:rtl w:val="0"/>
          <w:lang w:val="en-US"/>
        </w:rPr>
        <w:t>,</w:t>
      </w:r>
      <w:r>
        <w:rPr>
          <w:rFonts w:ascii="Times New Roman" w:hAnsi="Times New Roman"/>
          <w:sz w:val="24"/>
          <w:szCs w:val="24"/>
          <w:rtl w:val="0"/>
          <w:lang w:val="en-US"/>
        </w:rPr>
        <w:t xml:space="preserve"> guide the process of therapy, </w:t>
      </w:r>
      <w:r>
        <w:rPr>
          <w:rFonts w:ascii="Times New Roman" w:hAnsi="Times New Roman"/>
          <w:sz w:val="24"/>
          <w:szCs w:val="24"/>
          <w:rtl w:val="0"/>
          <w:lang w:val="en-US"/>
        </w:rPr>
        <w:t xml:space="preserve">and </w:t>
      </w:r>
      <w:r>
        <w:rPr>
          <w:rFonts w:ascii="Times New Roman" w:hAnsi="Times New Roman"/>
          <w:sz w:val="24"/>
          <w:szCs w:val="24"/>
          <w:rtl w:val="0"/>
          <w:lang w:val="en-US"/>
        </w:rPr>
        <w:t>help elucidate the areas that merit focus. Some measures of psychological functioning are incorporated in other evaluations because emotional and adaptive difficulties impact cognitive abilities.</w:t>
      </w:r>
    </w:p>
    <w:p>
      <w:pPr>
        <w:pStyle w:val="Body"/>
        <w:rPr>
          <w:rFonts w:ascii="Times New Roman" w:cs="Times New Roman" w:hAnsi="Times New Roman" w:eastAsia="Times New Roman"/>
          <w:i w:val="1"/>
          <w:iCs w:val="1"/>
          <w:color w:val="000000"/>
          <w:sz w:val="28"/>
          <w:szCs w:val="28"/>
          <w:u w:color="000000"/>
        </w:rPr>
      </w:pPr>
    </w:p>
    <w:p>
      <w:pPr>
        <w:pStyle w:val="Body A"/>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de-DE"/>
        </w:rPr>
        <w:t>Forensic</w:t>
      </w:r>
      <w:r>
        <w:rPr>
          <w:rFonts w:ascii="Times New Roman" w:hAnsi="Times New Roman"/>
          <w:i w:val="1"/>
          <w:iCs w:val="1"/>
          <w:sz w:val="28"/>
          <w:szCs w:val="28"/>
          <w:rtl w:val="0"/>
          <w:lang w:val="fr-FR"/>
        </w:rPr>
        <w:t xml:space="preserve"> Consultations</w:t>
      </w:r>
      <w:r>
        <w:rPr>
          <w:rFonts w:ascii="Times New Roman" w:hAnsi="Times New Roman"/>
          <w:i w:val="1"/>
          <w:iCs w:val="1"/>
          <w:sz w:val="28"/>
          <w:szCs w:val="28"/>
          <w:rtl w:val="0"/>
          <w:lang w:val="en-US"/>
        </w:rPr>
        <w:t>, including Independent Medical Examinations</w:t>
      </w:r>
      <w:r>
        <w:rPr>
          <w:rFonts w:ascii="Times New Roman" w:hAnsi="Times New Roman"/>
          <w:i w:val="1"/>
          <w:iCs w:val="1"/>
          <w:sz w:val="28"/>
          <w:szCs w:val="28"/>
          <w:rtl w:val="0"/>
          <w:lang w:val="de-DE"/>
        </w:rPr>
        <w:t xml:space="preserve"> (IMEs) and </w:t>
      </w:r>
      <w:r>
        <w:rPr>
          <w:rFonts w:ascii="Times New Roman" w:hAnsi="Times New Roman"/>
          <w:i w:val="1"/>
          <w:iCs w:val="1"/>
          <w:sz w:val="28"/>
          <w:szCs w:val="28"/>
          <w:rtl w:val="0"/>
          <w:lang w:val="fr-FR"/>
        </w:rPr>
        <w:t>Professional Consultations</w:t>
      </w:r>
    </w:p>
    <w:p>
      <w:pPr>
        <w:pStyle w:val="Body"/>
        <w:rPr>
          <w:rFonts w:ascii="Times New Roman" w:cs="Times New Roman" w:hAnsi="Times New Roman" w:eastAsia="Times New Roman"/>
          <w:sz w:val="24"/>
          <w:szCs w:val="24"/>
        </w:rPr>
      </w:pPr>
      <w:r>
        <w:rPr>
          <w:rFonts w:ascii="Times New Roman" w:hAnsi="Times New Roman"/>
          <w:i w:val="1"/>
          <w:iCs w:val="1"/>
          <w:sz w:val="24"/>
          <w:szCs w:val="24"/>
          <w:rtl w:val="0"/>
          <w:lang w:val="en-US"/>
        </w:rPr>
        <w:t>Forensic consultations</w:t>
      </w:r>
      <w:r>
        <w:rPr>
          <w:rFonts w:ascii="Times New Roman" w:hAnsi="Times New Roman"/>
          <w:sz w:val="24"/>
          <w:szCs w:val="24"/>
          <w:rtl w:val="0"/>
          <w:lang w:val="en-US"/>
        </w:rPr>
        <w:t xml:space="preserve"> involve specialized forensic services tailored to assess psychological and cognitive factors resulting from an injury or condition</w:t>
      </w:r>
      <w:r>
        <w:rPr>
          <w:rFonts w:ascii="Times New Roman" w:hAnsi="Times New Roman"/>
          <w:sz w:val="24"/>
          <w:szCs w:val="24"/>
          <w:rtl w:val="0"/>
          <w:lang w:val="en-US"/>
        </w:rPr>
        <w:t xml:space="preserve"> in children, adolescents and adults. Dr. Findler works with </w:t>
      </w:r>
      <w:r>
        <w:rPr>
          <w:rFonts w:ascii="Times New Roman" w:hAnsi="Times New Roman"/>
          <w:sz w:val="24"/>
          <w:szCs w:val="24"/>
          <w:rtl w:val="0"/>
          <w:lang w:val="en-US"/>
        </w:rPr>
        <w:t>defense and plaintiff attorneys, governmental agencies,</w:t>
      </w:r>
      <w:r>
        <w:rPr>
          <w:rFonts w:ascii="Times New Roman" w:hAnsi="Times New Roman"/>
          <w:sz w:val="24"/>
          <w:szCs w:val="24"/>
          <w:rtl w:val="0"/>
          <w:lang w:val="en-US"/>
        </w:rPr>
        <w:t xml:space="preserve"> </w:t>
      </w:r>
      <w:r>
        <w:rPr>
          <w:rFonts w:ascii="Times New Roman" w:hAnsi="Times New Roman"/>
          <w:sz w:val="24"/>
          <w:szCs w:val="24"/>
          <w:rtl w:val="0"/>
          <w:lang w:val="en-US"/>
        </w:rPr>
        <w:t>insurance companies,</w:t>
      </w:r>
      <w:r>
        <w:rPr>
          <w:rFonts w:ascii="Times New Roman" w:hAnsi="Times New Roman" w:hint="default"/>
          <w:sz w:val="24"/>
          <w:szCs w:val="24"/>
          <w:rtl w:val="0"/>
        </w:rPr>
        <w:t> </w:t>
      </w:r>
      <w:r>
        <w:rPr>
          <w:rFonts w:ascii="Times New Roman" w:hAnsi="Times New Roman"/>
          <w:sz w:val="24"/>
          <w:szCs w:val="24"/>
          <w:rtl w:val="0"/>
          <w:lang w:val="en-US"/>
        </w:rPr>
        <w:t>businesses and educational agencies to provide evaluation and consultation</w:t>
      </w:r>
      <w:r>
        <w:rPr>
          <w:rFonts w:ascii="Times New Roman" w:hAnsi="Times New Roman"/>
          <w:sz w:val="24"/>
          <w:szCs w:val="24"/>
          <w:rtl w:val="0"/>
          <w:lang w:val="en-US"/>
        </w:rPr>
        <w: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Services are in the following areas:</w:t>
      </w:r>
    </w:p>
    <w:p>
      <w:pPr>
        <w:pStyle w:val="Body"/>
        <w:numPr>
          <w:ilvl w:val="0"/>
          <w:numId w:val="5"/>
        </w:numPr>
        <w:rPr>
          <w:rFonts w:ascii="Times New Roman" w:cs="Times New Roman" w:hAnsi="Times New Roman" w:eastAsia="Times New Roman"/>
          <w:sz w:val="24"/>
          <w:szCs w:val="24"/>
        </w:rPr>
      </w:pPr>
      <w:r>
        <w:rPr>
          <w:rFonts w:ascii="Times New Roman" w:hAnsi="Times New Roman"/>
          <w:sz w:val="24"/>
          <w:szCs w:val="24"/>
          <w:rtl w:val="0"/>
          <w:lang w:val="en-US"/>
        </w:rPr>
        <w:t>Independent Medical Evaluation</w:t>
      </w:r>
    </w:p>
    <w:p>
      <w:pPr>
        <w:pStyle w:val="Body"/>
        <w:numPr>
          <w:ilvl w:val="0"/>
          <w:numId w:val="5"/>
        </w:numPr>
        <w:rPr>
          <w:rFonts w:ascii="Times New Roman" w:cs="Times New Roman" w:hAnsi="Times New Roman" w:eastAsia="Times New Roman"/>
          <w:sz w:val="24"/>
          <w:szCs w:val="24"/>
        </w:rPr>
      </w:pPr>
      <w:r>
        <w:rPr>
          <w:rFonts w:ascii="Times New Roman" w:hAnsi="Times New Roman"/>
          <w:sz w:val="24"/>
          <w:szCs w:val="24"/>
          <w:rtl w:val="0"/>
          <w:lang w:val="en-US"/>
        </w:rPr>
        <w:t>Neuropsychological testing</w:t>
      </w:r>
    </w:p>
    <w:p>
      <w:pPr>
        <w:pStyle w:val="Body"/>
        <w:numPr>
          <w:ilvl w:val="0"/>
          <w:numId w:val="5"/>
        </w:numPr>
        <w:rPr>
          <w:rFonts w:ascii="Times New Roman" w:cs="Times New Roman" w:hAnsi="Times New Roman" w:eastAsia="Times New Roman"/>
          <w:sz w:val="24"/>
          <w:szCs w:val="24"/>
        </w:rPr>
      </w:pPr>
      <w:r>
        <w:rPr>
          <w:rFonts w:ascii="Times New Roman" w:hAnsi="Times New Roman"/>
          <w:sz w:val="24"/>
          <w:szCs w:val="24"/>
          <w:rtl w:val="0"/>
          <w:lang w:val="en-US"/>
        </w:rPr>
        <w:t>D</w:t>
      </w:r>
      <w:r>
        <w:rPr>
          <w:rFonts w:ascii="Times New Roman" w:hAnsi="Times New Roman"/>
          <w:sz w:val="24"/>
          <w:szCs w:val="24"/>
          <w:rtl w:val="0"/>
          <w:lang w:val="en-US"/>
        </w:rPr>
        <w:t>isability determination</w:t>
      </w:r>
      <w:r>
        <w:rPr>
          <w:rFonts w:ascii="Times New Roman" w:hAnsi="Times New Roman"/>
          <w:sz w:val="24"/>
          <w:szCs w:val="24"/>
          <w:rtl w:val="0"/>
          <w:lang w:val="en-US"/>
        </w:rPr>
        <w:t xml:space="preserve"> and workman</w:t>
      </w:r>
      <w:r>
        <w:rPr>
          <w:rFonts w:ascii="Times New Roman" w:hAnsi="Times New Roman" w:hint="default"/>
          <w:sz w:val="24"/>
          <w:szCs w:val="24"/>
          <w:rtl w:val="0"/>
          <w:lang w:val="en-US"/>
        </w:rPr>
        <w:t>’</w:t>
      </w:r>
      <w:r>
        <w:rPr>
          <w:rFonts w:ascii="Times New Roman" w:hAnsi="Times New Roman"/>
          <w:sz w:val="24"/>
          <w:szCs w:val="24"/>
          <w:rtl w:val="0"/>
          <w:lang w:val="en-US"/>
        </w:rPr>
        <w:t>s compensation</w:t>
      </w:r>
    </w:p>
    <w:p>
      <w:pPr>
        <w:pStyle w:val="Body"/>
        <w:numPr>
          <w:ilvl w:val="0"/>
          <w:numId w:val="5"/>
        </w:numPr>
        <w:rPr>
          <w:rFonts w:ascii="Times New Roman" w:cs="Times New Roman" w:hAnsi="Times New Roman" w:eastAsia="Times New Roman"/>
          <w:sz w:val="24"/>
          <w:szCs w:val="24"/>
        </w:rPr>
      </w:pPr>
      <w:r>
        <w:rPr>
          <w:rFonts w:ascii="Times New Roman" w:hAnsi="Times New Roman"/>
          <w:sz w:val="24"/>
          <w:szCs w:val="24"/>
          <w:rtl w:val="0"/>
          <w:lang w:val="en-US"/>
        </w:rPr>
        <w:t>F</w:t>
      </w:r>
      <w:r>
        <w:rPr>
          <w:rFonts w:ascii="Times New Roman" w:hAnsi="Times New Roman"/>
          <w:sz w:val="24"/>
          <w:szCs w:val="24"/>
          <w:rtl w:val="0"/>
          <w:lang w:val="en-US"/>
        </w:rPr>
        <w:t>itness-for-duty evaluation</w:t>
      </w:r>
      <w:r>
        <w:rPr>
          <w:rFonts w:ascii="Times New Roman" w:hAnsi="Times New Roman"/>
          <w:sz w:val="24"/>
          <w:szCs w:val="24"/>
          <w:rtl w:val="0"/>
          <w:lang w:val="en-US"/>
        </w:rPr>
        <w:t xml:space="preserve"> and return to work strategies</w:t>
      </w:r>
    </w:p>
    <w:p>
      <w:pPr>
        <w:pStyle w:val="Body"/>
        <w:numPr>
          <w:ilvl w:val="0"/>
          <w:numId w:val="5"/>
        </w:numPr>
        <w:rPr>
          <w:rFonts w:ascii="Times New Roman" w:cs="Times New Roman" w:hAnsi="Times New Roman" w:eastAsia="Times New Roman"/>
          <w:sz w:val="24"/>
          <w:szCs w:val="24"/>
        </w:rPr>
      </w:pPr>
      <w:r>
        <w:rPr>
          <w:rFonts w:ascii="Times New Roman" w:hAnsi="Times New Roman"/>
          <w:sz w:val="24"/>
          <w:szCs w:val="24"/>
          <w:rtl w:val="0"/>
          <w:lang w:val="en-US"/>
        </w:rPr>
        <w:t>D</w:t>
      </w:r>
      <w:r>
        <w:rPr>
          <w:rFonts w:ascii="Times New Roman" w:hAnsi="Times New Roman"/>
          <w:sz w:val="24"/>
          <w:szCs w:val="24"/>
          <w:rtl w:val="0"/>
          <w:lang w:val="en-US"/>
        </w:rPr>
        <w:t>ecision-making capacity</w:t>
      </w:r>
    </w:p>
    <w:p>
      <w:pPr>
        <w:pStyle w:val="Body"/>
        <w:numPr>
          <w:ilvl w:val="0"/>
          <w:numId w:val="5"/>
        </w:numPr>
        <w:rPr>
          <w:rFonts w:ascii="Times New Roman" w:cs="Times New Roman" w:hAnsi="Times New Roman" w:eastAsia="Times New Roman"/>
          <w:sz w:val="24"/>
          <w:szCs w:val="24"/>
        </w:rPr>
      </w:pPr>
      <w:r>
        <w:rPr>
          <w:rFonts w:ascii="Times New Roman" w:hAnsi="Times New Roman"/>
          <w:sz w:val="24"/>
          <w:szCs w:val="24"/>
          <w:rtl w:val="0"/>
          <w:lang w:val="en-US"/>
        </w:rPr>
        <w:t>Guardianship</w:t>
      </w:r>
    </w:p>
    <w:p>
      <w:pPr>
        <w:pStyle w:val="Body"/>
        <w:numPr>
          <w:ilvl w:val="0"/>
          <w:numId w:val="5"/>
        </w:numPr>
        <w:rPr>
          <w:sz w:val="24"/>
          <w:szCs w:val="24"/>
        </w:rPr>
      </w:pPr>
      <w:r>
        <w:rPr>
          <w:rFonts w:ascii="Times New Roman" w:hAnsi="Times New Roman"/>
          <w:sz w:val="24"/>
          <w:szCs w:val="24"/>
          <w:rtl w:val="0"/>
          <w:lang w:val="en-US"/>
        </w:rPr>
        <w:t>Competency to stand trial and testimentory capacity</w:t>
      </w:r>
    </w:p>
    <w:p>
      <w:pPr>
        <w:pStyle w:val="Default"/>
        <w:tabs>
          <w:tab w:val="left" w:pos="220"/>
          <w:tab w:val="left" w:pos="720"/>
        </w:tabs>
        <w:bidi w:val="0"/>
        <w:ind w:left="720" w:right="0" w:hanging="720"/>
        <w:jc w:val="left"/>
        <w:rPr>
          <w:rFonts w:ascii="Times New Roman" w:cs="Times New Roman" w:hAnsi="Times New Roman" w:eastAsia="Times New Roman"/>
          <w:sz w:val="24"/>
          <w:szCs w:val="24"/>
          <w:shd w:val="clear" w:color="auto" w:fill="aaaaaa"/>
          <w:rtl w:val="0"/>
        </w:rPr>
      </w:pPr>
    </w:p>
    <w:p>
      <w:pPr>
        <w:pStyle w:val="Body"/>
        <w:rPr>
          <w:rFonts w:ascii="Times New Roman" w:cs="Times New Roman" w:hAnsi="Times New Roman" w:eastAsia="Times New Roman"/>
          <w:sz w:val="24"/>
          <w:szCs w:val="24"/>
        </w:rPr>
      </w:pPr>
      <w:r>
        <w:rPr>
          <w:rFonts w:ascii="Times New Roman" w:hAnsi="Times New Roman"/>
          <w:i w:val="1"/>
          <w:iCs w:val="1"/>
          <w:sz w:val="24"/>
          <w:szCs w:val="24"/>
          <w:rtl w:val="0"/>
          <w:lang w:val="fr-FR"/>
        </w:rPr>
        <w:t xml:space="preserve">Professional Consultations </w:t>
      </w:r>
      <w:r>
        <w:rPr>
          <w:rFonts w:ascii="Times New Roman" w:hAnsi="Times New Roman"/>
          <w:sz w:val="24"/>
          <w:szCs w:val="24"/>
          <w:rtl w:val="0"/>
          <w:lang w:val="fr-FR"/>
        </w:rPr>
        <w:t xml:space="preserve">regarding work performance and relationships within the work environment to provide a clinical </w:t>
      </w:r>
      <w:r>
        <w:rPr>
          <w:rFonts w:ascii="Times New Roman" w:hAnsi="Times New Roman"/>
          <w:sz w:val="24"/>
          <w:szCs w:val="24"/>
          <w:rtl w:val="0"/>
        </w:rPr>
        <w:t>opinion;</w:t>
      </w:r>
      <w:r>
        <w:rPr>
          <w:rFonts w:ascii="Times New Roman" w:hAnsi="Times New Roman"/>
          <w:sz w:val="24"/>
          <w:szCs w:val="24"/>
          <w:rtl w:val="0"/>
          <w:lang w:val="fr-FR"/>
        </w:rPr>
        <w:t xml:space="preserve"> includes a review of records and information obtained from interviews and/or observation.</w:t>
      </w:r>
    </w:p>
    <w:p>
      <w:pPr>
        <w:pStyle w:val="Body"/>
        <w:rPr>
          <w:rFonts w:ascii="Times New Roman" w:cs="Times New Roman" w:hAnsi="Times New Roman" w:eastAsia="Times New Roman"/>
          <w:sz w:val="24"/>
          <w:szCs w:val="24"/>
        </w:rPr>
      </w:pPr>
      <w:r>
        <w:rPr>
          <w:rFonts w:ascii="Times New Roman" w:hAnsi="Times New Roman"/>
          <w:i w:val="1"/>
          <w:iCs w:val="1"/>
          <w:sz w:val="24"/>
          <w:szCs w:val="24"/>
          <w:rtl w:val="0"/>
          <w:lang w:val="fr-FR"/>
        </w:rPr>
        <w:t>Diagnostic Consultation</w:t>
      </w:r>
      <w:r>
        <w:rPr>
          <w:rFonts w:ascii="Times New Roman" w:hAnsi="Times New Roman"/>
          <w:sz w:val="24"/>
          <w:szCs w:val="24"/>
          <w:rtl w:val="0"/>
          <w:lang w:val="fr-FR"/>
        </w:rPr>
        <w:t xml:space="preserve"> to render a diagnostic </w:t>
      </w:r>
      <w:r>
        <w:rPr>
          <w:rFonts w:ascii="Times New Roman" w:hAnsi="Times New Roman"/>
          <w:sz w:val="24"/>
          <w:szCs w:val="24"/>
          <w:rtl w:val="0"/>
        </w:rPr>
        <w:t xml:space="preserve">opinion; </w:t>
      </w:r>
      <w:r>
        <w:rPr>
          <w:rFonts w:ascii="Times New Roman" w:hAnsi="Times New Roman"/>
          <w:sz w:val="24"/>
          <w:szCs w:val="24"/>
          <w:rtl w:val="0"/>
          <w:lang w:val="fr-FR"/>
        </w:rPr>
        <w:t>includes a review of records and past evaluations, and information obtained from interviews and/or observation.</w:t>
      </w:r>
    </w:p>
    <w:p>
      <w:pPr>
        <w:pStyle w:val="Body"/>
      </w:pPr>
      <w:r>
        <w:rPr>
          <w:rFonts w:ascii="Times New Roman" w:hAnsi="Times New Roman"/>
          <w:i w:val="1"/>
          <w:iCs w:val="1"/>
          <w:sz w:val="24"/>
          <w:szCs w:val="24"/>
          <w:rtl w:val="0"/>
          <w:lang w:val="fr-FR"/>
        </w:rPr>
        <w:t xml:space="preserve">Treatment Consultation </w:t>
      </w:r>
      <w:r>
        <w:rPr>
          <w:rFonts w:ascii="Times New Roman" w:hAnsi="Times New Roman"/>
          <w:sz w:val="24"/>
          <w:szCs w:val="24"/>
          <w:rtl w:val="0"/>
          <w:lang w:val="fr-FR"/>
        </w:rPr>
        <w:t>to provide suggestions regarding treatment methods and</w:t>
      </w:r>
      <w:r>
        <w:rPr>
          <w:rFonts w:ascii="Times New Roman" w:hAnsi="Times New Roman" w:hint="default"/>
          <w:sz w:val="24"/>
          <w:szCs w:val="24"/>
          <w:rtl w:val="0"/>
          <w:lang w:val="fr-FR"/>
        </w:rPr>
        <w:t> </w:t>
      </w:r>
      <w:r>
        <w:rPr>
          <w:rFonts w:ascii="Times New Roman" w:hAnsi="Times New Roman"/>
          <w:sz w:val="24"/>
          <w:szCs w:val="24"/>
          <w:rtl w:val="0"/>
          <w:lang w:val="fr-FR"/>
        </w:rPr>
        <w:t>interventions;</w:t>
      </w:r>
      <w:r>
        <w:rPr>
          <w:rFonts w:ascii="Times New Roman" w:hAnsi="Times New Roman"/>
          <w:sz w:val="24"/>
          <w:szCs w:val="24"/>
          <w:rtl w:val="0"/>
          <w:lang w:val="fr-FR"/>
        </w:rPr>
        <w:t xml:space="preserve"> includes a review of records and past evaluations, observation if needed and consultation with treating therapist(s).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ahom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left" w:pos="72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72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2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72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2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2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72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2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Bullets">
    <w:name w:val="Bullets"/>
    <w:pPr>
      <w:numPr>
        <w:numId w:val="4"/>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