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621" w:rsidRPr="00B95621" w:rsidRDefault="00B95621" w:rsidP="00B95621">
      <w:pPr>
        <w:pStyle w:val="TOCHeading"/>
        <w:spacing w:line="360" w:lineRule="auto"/>
        <w:rPr>
          <w:rFonts w:ascii="Times New Roman" w:eastAsiaTheme="minorHAnsi" w:hAnsi="Times New Roman" w:cs="Times New Roman"/>
          <w:b w:val="0"/>
          <w:bCs w:val="0"/>
          <w:color w:val="auto"/>
          <w:sz w:val="24"/>
          <w:szCs w:val="24"/>
          <w:lang w:eastAsia="en-US"/>
        </w:rPr>
      </w:pP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                       </w:t>
      </w: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noProof/>
          <w:sz w:val="24"/>
          <w:szCs w:val="24"/>
        </w:rPr>
        <w:drawing>
          <wp:inline distT="0" distB="0" distL="0" distR="0" wp14:anchorId="35FC6923" wp14:editId="2F5A384F">
            <wp:extent cx="5943600" cy="1424707"/>
            <wp:effectExtent l="0" t="0" r="0" b="4445"/>
            <wp:docPr id="1" name="Picture 1" descr="C:\Users\student\Pictures\er.jpg"/>
            <wp:cNvGraphicFramePr/>
            <a:graphic xmlns:a="http://schemas.openxmlformats.org/drawingml/2006/main">
              <a:graphicData uri="http://schemas.openxmlformats.org/drawingml/2006/picture">
                <pic:pic xmlns:pic="http://schemas.openxmlformats.org/drawingml/2006/picture">
                  <pic:nvPicPr>
                    <pic:cNvPr id="0" name="Picture 1" descr="C:\Users\student\Pictures\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24707"/>
                    </a:xfrm>
                    <a:prstGeom prst="rect">
                      <a:avLst/>
                    </a:prstGeom>
                    <a:noFill/>
                    <a:ln>
                      <a:noFill/>
                    </a:ln>
                  </pic:spPr>
                </pic:pic>
              </a:graphicData>
            </a:graphic>
          </wp:inline>
        </w:drawing>
      </w: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jc w:val="center"/>
        <w:rPr>
          <w:rFonts w:ascii="Times New Roman" w:hAnsi="Times New Roman" w:cs="Times New Roman"/>
          <w:bCs/>
          <w:sz w:val="24"/>
          <w:szCs w:val="24"/>
        </w:rPr>
      </w:pPr>
      <w:r w:rsidRPr="00B95621">
        <w:rPr>
          <w:rFonts w:ascii="Times New Roman" w:hAnsi="Times New Roman" w:cs="Times New Roman"/>
          <w:bCs/>
          <w:sz w:val="24"/>
          <w:szCs w:val="24"/>
        </w:rPr>
        <w:t>COLLEGE OF LAW</w:t>
      </w: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FINAL REPORT ON THE EXTERNSHIP PROGRAM                                                           AREA OF JURISDICTION: ASSELA TOWN FIRST INSTANCE COURT</w:t>
      </w:r>
    </w:p>
    <w:p w:rsidR="00B95621" w:rsidRPr="00B95621" w:rsidRDefault="00B95621" w:rsidP="00B95621">
      <w:pPr>
        <w:spacing w:line="360" w:lineRule="auto"/>
        <w:jc w:val="center"/>
        <w:rPr>
          <w:rFonts w:ascii="Times New Roman" w:hAnsi="Times New Roman" w:cs="Times New Roman"/>
          <w:bCs/>
          <w:sz w:val="24"/>
          <w:szCs w:val="24"/>
        </w:rPr>
      </w:pPr>
      <w:r w:rsidRPr="00B95621">
        <w:rPr>
          <w:rFonts w:ascii="Times New Roman" w:hAnsi="Times New Roman" w:cs="Times New Roman"/>
          <w:bCs/>
          <w:sz w:val="24"/>
          <w:szCs w:val="24"/>
        </w:rPr>
        <w:t>PREPARED BY: GAMACHU BANJAWU</w:t>
      </w:r>
    </w:p>
    <w:p w:rsidR="00B95621" w:rsidRPr="00B95621" w:rsidRDefault="00B95621" w:rsidP="00B95621">
      <w:pPr>
        <w:spacing w:line="360" w:lineRule="auto"/>
        <w:jc w:val="center"/>
        <w:rPr>
          <w:rFonts w:ascii="Times New Roman" w:hAnsi="Times New Roman" w:cs="Times New Roman"/>
          <w:bCs/>
          <w:sz w:val="24"/>
          <w:szCs w:val="24"/>
        </w:rPr>
      </w:pPr>
      <w:r w:rsidRPr="00B95621">
        <w:rPr>
          <w:rFonts w:ascii="Times New Roman" w:hAnsi="Times New Roman" w:cs="Times New Roman"/>
          <w:bCs/>
          <w:sz w:val="24"/>
          <w:szCs w:val="24"/>
        </w:rPr>
        <w:t>ID.NO: R/0828/09</w:t>
      </w:r>
    </w:p>
    <w:p w:rsidR="00B95621" w:rsidRPr="00B95621" w:rsidRDefault="00B95621" w:rsidP="00B95621">
      <w:pPr>
        <w:spacing w:line="360" w:lineRule="auto"/>
        <w:jc w:val="right"/>
        <w:rPr>
          <w:rFonts w:ascii="Times New Roman" w:hAnsi="Times New Roman" w:cs="Times New Roman"/>
          <w:bCs/>
          <w:sz w:val="24"/>
          <w:szCs w:val="24"/>
        </w:rPr>
      </w:pPr>
      <w:r w:rsidRPr="00B95621">
        <w:rPr>
          <w:rFonts w:ascii="Times New Roman" w:hAnsi="Times New Roman" w:cs="Times New Roman"/>
          <w:bCs/>
          <w:sz w:val="24"/>
          <w:szCs w:val="24"/>
        </w:rPr>
        <w:t>DATE OF SUBMISSION: 24/12/2021</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EXTERNSHIP SUPERVISOR: ABDULJEBBAR ABDULLAHI</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br w:type="page"/>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lastRenderedPageBreak/>
        <w:t xml:space="preserve">Acknowledgement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My first and deepest gratitude goes to my almighty God for everything he has done for me to accomplish my externship program. Also I would like to express my profound appreciation  and thanks to judge </w:t>
      </w:r>
      <w:proofErr w:type="spellStart"/>
      <w:r w:rsidRPr="00B95621">
        <w:rPr>
          <w:rFonts w:ascii="Times New Roman" w:hAnsi="Times New Roman" w:cs="Times New Roman"/>
          <w:bCs/>
          <w:sz w:val="24"/>
          <w:szCs w:val="24"/>
        </w:rPr>
        <w:t>Mr.Tadesse</w:t>
      </w:r>
      <w:proofErr w:type="spellEnd"/>
      <w:r w:rsidRPr="00B95621">
        <w:rPr>
          <w:rFonts w:ascii="Times New Roman" w:hAnsi="Times New Roman" w:cs="Times New Roman"/>
          <w:bCs/>
          <w:sz w:val="24"/>
          <w:szCs w:val="24"/>
        </w:rPr>
        <w:t xml:space="preserve"> </w:t>
      </w:r>
      <w:proofErr w:type="spellStart"/>
      <w:r w:rsidRPr="00B95621">
        <w:rPr>
          <w:rFonts w:ascii="Times New Roman" w:hAnsi="Times New Roman" w:cs="Times New Roman"/>
          <w:bCs/>
          <w:sz w:val="24"/>
          <w:szCs w:val="24"/>
        </w:rPr>
        <w:t>Chala</w:t>
      </w:r>
      <w:proofErr w:type="spellEnd"/>
      <w:r w:rsidRPr="00B95621">
        <w:rPr>
          <w:rFonts w:ascii="Times New Roman" w:hAnsi="Times New Roman" w:cs="Times New Roman"/>
          <w:bCs/>
          <w:sz w:val="24"/>
          <w:szCs w:val="24"/>
        </w:rPr>
        <w:t xml:space="preserve"> and the judge of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first instance court and human resource management  officer for their remarkable comments and giving information on the tasks how to do in each activity while I was performing my externship program and I would also like to extend my thanks to judges and officers of the court for making interview with me and for their support and creating a chance to get experience in court practice. Indeed, I’m thankful to my University </w:t>
      </w:r>
      <w:proofErr w:type="gramStart"/>
      <w:r w:rsidRPr="00B95621">
        <w:rPr>
          <w:rFonts w:ascii="Times New Roman" w:hAnsi="Times New Roman" w:cs="Times New Roman"/>
          <w:bCs/>
          <w:sz w:val="24"/>
          <w:szCs w:val="24"/>
        </w:rPr>
        <w:t>college</w:t>
      </w:r>
      <w:proofErr w:type="gramEnd"/>
      <w:r w:rsidRPr="00B95621">
        <w:rPr>
          <w:rFonts w:ascii="Times New Roman" w:hAnsi="Times New Roman" w:cs="Times New Roman"/>
          <w:bCs/>
          <w:sz w:val="24"/>
          <w:szCs w:val="24"/>
        </w:rPr>
        <w:t xml:space="preserve"> of law dean and its staff members for providing me the chance of practicing laws and thankful to our school instructors for all their support and encouragement and make me ready to do an externship work.</w:t>
      </w: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lastRenderedPageBreak/>
        <w:t xml:space="preserve">            Introduction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This paper contains the report I have prepared on the externship program I have been conducting for the last two months. The first part of my paper stipulates the place I have been undertaking the externship which is I also try to describe the structure of this court and it very objectives intended to be achieved by this court. Secondly, </w:t>
      </w:r>
      <w:proofErr w:type="gramStart"/>
      <w:r w:rsidRPr="00B95621">
        <w:rPr>
          <w:rFonts w:ascii="Times New Roman" w:hAnsi="Times New Roman" w:cs="Times New Roman"/>
          <w:bCs/>
          <w:sz w:val="24"/>
          <w:szCs w:val="24"/>
        </w:rPr>
        <w:t>My</w:t>
      </w:r>
      <w:proofErr w:type="gramEnd"/>
      <w:r w:rsidRPr="00B95621">
        <w:rPr>
          <w:rFonts w:ascii="Times New Roman" w:hAnsi="Times New Roman" w:cs="Times New Roman"/>
          <w:bCs/>
          <w:sz w:val="24"/>
          <w:szCs w:val="24"/>
        </w:rPr>
        <w:t xml:space="preserve"> report devoted on dealing with location, origin, structure and powers and function of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first instance court. Moreover, focused on the tasks I was assigned like observation of the courts, handling of the cases, giving legal advice for the community, lesson or experiences I have got and the gaps between law and the practices. Also the contribution I had in the court and the conclusion and recommendation. </w:t>
      </w:r>
      <w:r w:rsidRPr="00B95621">
        <w:rPr>
          <w:rFonts w:ascii="Times New Roman" w:hAnsi="Times New Roman" w:cs="Times New Roman"/>
          <w:bCs/>
          <w:sz w:val="24"/>
          <w:szCs w:val="24"/>
        </w:rPr>
        <w:br w:type="page"/>
      </w:r>
      <w:r w:rsidRPr="00B95621">
        <w:rPr>
          <w:rFonts w:ascii="Times New Roman" w:hAnsi="Times New Roman" w:cs="Times New Roman"/>
          <w:bCs/>
          <w:sz w:val="24"/>
          <w:szCs w:val="24"/>
        </w:rPr>
        <w:lastRenderedPageBreak/>
        <w:t xml:space="preserve">1. Institutional Background of the court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1.1 location of the court </w:t>
      </w:r>
    </w:p>
    <w:p w:rsidR="00B95621" w:rsidRPr="00B95621" w:rsidRDefault="00B95621" w:rsidP="00B95621">
      <w:pPr>
        <w:spacing w:line="360" w:lineRule="auto"/>
        <w:rPr>
          <w:rFonts w:ascii="Times New Roman" w:hAnsi="Times New Roman" w:cs="Times New Roman"/>
          <w:bCs/>
          <w:sz w:val="24"/>
          <w:szCs w:val="24"/>
        </w:rPr>
      </w:pP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first instance court is found in </w:t>
      </w:r>
      <w:proofErr w:type="spellStart"/>
      <w:r w:rsidRPr="00B95621">
        <w:rPr>
          <w:rFonts w:ascii="Times New Roman" w:hAnsi="Times New Roman" w:cs="Times New Roman"/>
          <w:bCs/>
          <w:sz w:val="24"/>
          <w:szCs w:val="24"/>
        </w:rPr>
        <w:t>Oromia</w:t>
      </w:r>
      <w:proofErr w:type="spellEnd"/>
      <w:r w:rsidRPr="00B95621">
        <w:rPr>
          <w:rFonts w:ascii="Times New Roman" w:hAnsi="Times New Roman" w:cs="Times New Roman"/>
          <w:bCs/>
          <w:sz w:val="24"/>
          <w:szCs w:val="24"/>
        </w:rPr>
        <w:t xml:space="preserve"> national regional state, </w:t>
      </w:r>
      <w:proofErr w:type="spellStart"/>
      <w:proofErr w:type="gramStart"/>
      <w:r w:rsidRPr="00B95621">
        <w:rPr>
          <w:rFonts w:ascii="Times New Roman" w:hAnsi="Times New Roman" w:cs="Times New Roman"/>
          <w:bCs/>
          <w:sz w:val="24"/>
          <w:szCs w:val="24"/>
        </w:rPr>
        <w:t>Arsi</w:t>
      </w:r>
      <w:proofErr w:type="spellEnd"/>
      <w:r w:rsidRPr="00B95621">
        <w:rPr>
          <w:rFonts w:ascii="Times New Roman" w:hAnsi="Times New Roman" w:cs="Times New Roman"/>
          <w:bCs/>
          <w:sz w:val="24"/>
          <w:szCs w:val="24"/>
        </w:rPr>
        <w:t xml:space="preserve">  Zone</w:t>
      </w:r>
      <w:proofErr w:type="gramEnd"/>
      <w:r w:rsidRPr="00B95621">
        <w:rPr>
          <w:rFonts w:ascii="Times New Roman" w:hAnsi="Times New Roman" w:cs="Times New Roman"/>
          <w:bCs/>
          <w:sz w:val="24"/>
          <w:szCs w:val="24"/>
        </w:rPr>
        <w:t xml:space="preserve">, in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and located at 175 km from ADDIS ABABA. The court has jurisdiction to entertain the cases within the local jurisdiction of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on both civil and criminal disputed issues.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1.2 Origin and Establishment of the court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The Federal Democratic Republic of Ethiopia comprises the federal government and state members. Both the federal and the state shall have legislative, executive and judicial powers. Furthermore, article 78/3 of the same constitution established an independent judiciary of state supreme, High and first instance court. Accordingly,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first instance court was established according to </w:t>
      </w:r>
      <w:proofErr w:type="spellStart"/>
      <w:r w:rsidRPr="00B95621">
        <w:rPr>
          <w:rFonts w:ascii="Times New Roman" w:hAnsi="Times New Roman" w:cs="Times New Roman"/>
          <w:bCs/>
          <w:sz w:val="24"/>
          <w:szCs w:val="24"/>
        </w:rPr>
        <w:t>Oromia</w:t>
      </w:r>
      <w:proofErr w:type="spellEnd"/>
      <w:r w:rsidRPr="00B95621">
        <w:rPr>
          <w:rFonts w:ascii="Times New Roman" w:hAnsi="Times New Roman" w:cs="Times New Roman"/>
          <w:bCs/>
          <w:sz w:val="24"/>
          <w:szCs w:val="24"/>
        </w:rPr>
        <w:t xml:space="preserve"> courts establishment proclamation with the same mandate as the other parallel courts do to render efficient and accessible judicial service to the community at the local level.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1.3 Organizational structure of the court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The court has one criminal, civil </w:t>
      </w:r>
      <w:proofErr w:type="gramStart"/>
      <w:r w:rsidRPr="00B95621">
        <w:rPr>
          <w:rFonts w:ascii="Times New Roman" w:hAnsi="Times New Roman" w:cs="Times New Roman"/>
          <w:bCs/>
          <w:sz w:val="24"/>
          <w:szCs w:val="24"/>
        </w:rPr>
        <w:t>benches</w:t>
      </w:r>
      <w:proofErr w:type="gramEnd"/>
      <w:r w:rsidRPr="00B95621">
        <w:rPr>
          <w:rFonts w:ascii="Times New Roman" w:hAnsi="Times New Roman" w:cs="Times New Roman"/>
          <w:bCs/>
          <w:sz w:val="24"/>
          <w:szCs w:val="24"/>
        </w:rPr>
        <w:t xml:space="preserve"> of family, land, property, </w:t>
      </w:r>
      <w:proofErr w:type="spellStart"/>
      <w:r w:rsidRPr="00B95621">
        <w:rPr>
          <w:rFonts w:ascii="Times New Roman" w:hAnsi="Times New Roman" w:cs="Times New Roman"/>
          <w:bCs/>
          <w:sz w:val="24"/>
          <w:szCs w:val="24"/>
        </w:rPr>
        <w:t>labour</w:t>
      </w:r>
      <w:proofErr w:type="spellEnd"/>
      <w:r w:rsidRPr="00B95621">
        <w:rPr>
          <w:rFonts w:ascii="Times New Roman" w:hAnsi="Times New Roman" w:cs="Times New Roman"/>
          <w:bCs/>
          <w:sz w:val="24"/>
          <w:szCs w:val="24"/>
        </w:rPr>
        <w:t xml:space="preserve">, execution and Sharia court bench, human resource management and finance registrar office. The court has rendered its judicial service in collaboration with </w:t>
      </w:r>
      <w:proofErr w:type="spellStart"/>
      <w:r w:rsidRPr="00B95621">
        <w:rPr>
          <w:rFonts w:ascii="Times New Roman" w:hAnsi="Times New Roman" w:cs="Times New Roman"/>
          <w:bCs/>
          <w:sz w:val="24"/>
          <w:szCs w:val="24"/>
        </w:rPr>
        <w:t>Abbaa</w:t>
      </w:r>
      <w:proofErr w:type="spellEnd"/>
      <w:r w:rsidRPr="00B95621">
        <w:rPr>
          <w:rFonts w:ascii="Times New Roman" w:hAnsi="Times New Roman" w:cs="Times New Roman"/>
          <w:bCs/>
          <w:sz w:val="24"/>
          <w:szCs w:val="24"/>
        </w:rPr>
        <w:t xml:space="preserve"> </w:t>
      </w:r>
      <w:proofErr w:type="spellStart"/>
      <w:r w:rsidRPr="00B95621">
        <w:rPr>
          <w:rFonts w:ascii="Times New Roman" w:hAnsi="Times New Roman" w:cs="Times New Roman"/>
          <w:bCs/>
          <w:sz w:val="24"/>
          <w:szCs w:val="24"/>
        </w:rPr>
        <w:t>Gadaa’s</w:t>
      </w:r>
      <w:proofErr w:type="spellEnd"/>
      <w:r w:rsidRPr="00B95621">
        <w:rPr>
          <w:rFonts w:ascii="Times New Roman" w:hAnsi="Times New Roman" w:cs="Times New Roman"/>
          <w:bCs/>
          <w:sz w:val="24"/>
          <w:szCs w:val="24"/>
        </w:rPr>
        <w:t xml:space="preserve"> and </w:t>
      </w:r>
      <w:proofErr w:type="spellStart"/>
      <w:r w:rsidRPr="00B95621">
        <w:rPr>
          <w:rFonts w:ascii="Times New Roman" w:hAnsi="Times New Roman" w:cs="Times New Roman"/>
          <w:bCs/>
          <w:sz w:val="24"/>
          <w:szCs w:val="24"/>
        </w:rPr>
        <w:t>older’s</w:t>
      </w:r>
      <w:proofErr w:type="spellEnd"/>
      <w:r w:rsidRPr="00B95621">
        <w:rPr>
          <w:rFonts w:ascii="Times New Roman" w:hAnsi="Times New Roman" w:cs="Times New Roman"/>
          <w:bCs/>
          <w:sz w:val="24"/>
          <w:szCs w:val="24"/>
        </w:rPr>
        <w:t xml:space="preserve"> in resolving disputes peacefully and amicably in an efficient manner by ordering parties to entertain their case peacefully before going through the merit of the case by court procedure.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1.4 Powers and functions of the first instance court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People of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bring their cases to the first instance court of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and appeal to the </w:t>
      </w:r>
      <w:proofErr w:type="spellStart"/>
      <w:r w:rsidRPr="00B95621">
        <w:rPr>
          <w:rFonts w:ascii="Times New Roman" w:hAnsi="Times New Roman" w:cs="Times New Roman"/>
          <w:bCs/>
          <w:sz w:val="24"/>
          <w:szCs w:val="24"/>
        </w:rPr>
        <w:t>Arsi</w:t>
      </w:r>
      <w:proofErr w:type="spellEnd"/>
      <w:r w:rsidRPr="00B95621">
        <w:rPr>
          <w:rFonts w:ascii="Times New Roman" w:hAnsi="Times New Roman" w:cs="Times New Roman"/>
          <w:bCs/>
          <w:sz w:val="24"/>
          <w:szCs w:val="24"/>
        </w:rPr>
        <w:t xml:space="preserve"> High Court at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It entertains both civil and criminal matters within the </w:t>
      </w:r>
      <w:proofErr w:type="gramStart"/>
      <w:r w:rsidRPr="00B95621">
        <w:rPr>
          <w:rFonts w:ascii="Times New Roman" w:hAnsi="Times New Roman" w:cs="Times New Roman"/>
          <w:bCs/>
          <w:sz w:val="24"/>
          <w:szCs w:val="24"/>
        </w:rPr>
        <w:t>its</w:t>
      </w:r>
      <w:proofErr w:type="gramEnd"/>
      <w:r w:rsidRPr="00B95621">
        <w:rPr>
          <w:rFonts w:ascii="Times New Roman" w:hAnsi="Times New Roman" w:cs="Times New Roman"/>
          <w:bCs/>
          <w:sz w:val="24"/>
          <w:szCs w:val="24"/>
        </w:rPr>
        <w:t xml:space="preserve"> first hand jurisdiction. The court have material jurisdiction on civil case regarding immovable property with the amount not exceeding 50,000 birr and 30, 000 on movable property respectively. Has appellate jurisdiction on cases decided by social courts at </w:t>
      </w:r>
      <w:proofErr w:type="spellStart"/>
      <w:r w:rsidRPr="00B95621">
        <w:rPr>
          <w:rFonts w:ascii="Times New Roman" w:hAnsi="Times New Roman" w:cs="Times New Roman"/>
          <w:bCs/>
          <w:sz w:val="24"/>
          <w:szCs w:val="24"/>
        </w:rPr>
        <w:t>Kebele</w:t>
      </w:r>
      <w:proofErr w:type="spellEnd"/>
      <w:r w:rsidRPr="00B95621">
        <w:rPr>
          <w:rFonts w:ascii="Times New Roman" w:hAnsi="Times New Roman" w:cs="Times New Roman"/>
          <w:bCs/>
          <w:sz w:val="24"/>
          <w:szCs w:val="24"/>
        </w:rPr>
        <w:t xml:space="preserve"> level as per </w:t>
      </w:r>
      <w:proofErr w:type="spellStart"/>
      <w:r w:rsidRPr="00B95621">
        <w:rPr>
          <w:rFonts w:ascii="Times New Roman" w:hAnsi="Times New Roman" w:cs="Times New Roman"/>
          <w:bCs/>
          <w:sz w:val="24"/>
          <w:szCs w:val="24"/>
        </w:rPr>
        <w:t>aticle</w:t>
      </w:r>
      <w:proofErr w:type="spellEnd"/>
      <w:r w:rsidRPr="00B95621">
        <w:rPr>
          <w:rFonts w:ascii="Times New Roman" w:hAnsi="Times New Roman" w:cs="Times New Roman"/>
          <w:bCs/>
          <w:sz w:val="24"/>
          <w:szCs w:val="24"/>
        </w:rPr>
        <w:t xml:space="preserve"> 28/1 of proclamation 141/2008 to provide for the </w:t>
      </w:r>
      <w:proofErr w:type="spellStart"/>
      <w:r w:rsidRPr="00B95621">
        <w:rPr>
          <w:rFonts w:ascii="Times New Roman" w:hAnsi="Times New Roman" w:cs="Times New Roman"/>
          <w:bCs/>
          <w:sz w:val="24"/>
          <w:szCs w:val="24"/>
        </w:rPr>
        <w:t>re establishment</w:t>
      </w:r>
      <w:proofErr w:type="spellEnd"/>
      <w:r w:rsidRPr="00B95621">
        <w:rPr>
          <w:rFonts w:ascii="Times New Roman" w:hAnsi="Times New Roman" w:cs="Times New Roman"/>
          <w:bCs/>
          <w:sz w:val="24"/>
          <w:szCs w:val="24"/>
        </w:rPr>
        <w:t xml:space="preserve"> of </w:t>
      </w:r>
      <w:proofErr w:type="spellStart"/>
      <w:r w:rsidRPr="00B95621">
        <w:rPr>
          <w:rFonts w:ascii="Times New Roman" w:hAnsi="Times New Roman" w:cs="Times New Roman"/>
          <w:bCs/>
          <w:sz w:val="24"/>
          <w:szCs w:val="24"/>
        </w:rPr>
        <w:t>Oromia</w:t>
      </w:r>
      <w:proofErr w:type="spellEnd"/>
      <w:r w:rsidRPr="00B95621">
        <w:rPr>
          <w:rFonts w:ascii="Times New Roman" w:hAnsi="Times New Roman" w:cs="Times New Roman"/>
          <w:bCs/>
          <w:sz w:val="24"/>
          <w:szCs w:val="24"/>
        </w:rPr>
        <w:t xml:space="preserve"> Courts.</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                      Chapter 2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lastRenderedPageBreak/>
        <w:t xml:space="preserve">2. Appraisal of practical cases and tasks carried out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2.1 Observation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After I presented the letter that was sent from my University to the court, the officer of the court has accepted the letter and welcomed me. Following the warm welcome they assign me to </w:t>
      </w:r>
      <w:proofErr w:type="spellStart"/>
      <w:r w:rsidRPr="00B95621">
        <w:rPr>
          <w:rFonts w:ascii="Times New Roman" w:hAnsi="Times New Roman" w:cs="Times New Roman"/>
          <w:bCs/>
          <w:sz w:val="24"/>
          <w:szCs w:val="24"/>
        </w:rPr>
        <w:t>propert</w:t>
      </w:r>
      <w:proofErr w:type="spellEnd"/>
      <w:r w:rsidRPr="00B95621">
        <w:rPr>
          <w:rFonts w:ascii="Times New Roman" w:hAnsi="Times New Roman" w:cs="Times New Roman"/>
          <w:bCs/>
          <w:sz w:val="24"/>
          <w:szCs w:val="24"/>
        </w:rPr>
        <w:t xml:space="preserve">, </w:t>
      </w:r>
      <w:proofErr w:type="spellStart"/>
      <w:r w:rsidRPr="00B95621">
        <w:rPr>
          <w:rFonts w:ascii="Times New Roman" w:hAnsi="Times New Roman" w:cs="Times New Roman"/>
          <w:bCs/>
          <w:sz w:val="24"/>
          <w:szCs w:val="24"/>
        </w:rPr>
        <w:t>labour</w:t>
      </w:r>
      <w:proofErr w:type="spellEnd"/>
      <w:r w:rsidRPr="00B95621">
        <w:rPr>
          <w:rFonts w:ascii="Times New Roman" w:hAnsi="Times New Roman" w:cs="Times New Roman"/>
          <w:bCs/>
          <w:sz w:val="24"/>
          <w:szCs w:val="24"/>
        </w:rPr>
        <w:t xml:space="preserve"> and execution bench with other law practitioner </w:t>
      </w:r>
      <w:proofErr w:type="gramStart"/>
      <w:r w:rsidRPr="00B95621">
        <w:rPr>
          <w:rFonts w:ascii="Times New Roman" w:hAnsi="Times New Roman" w:cs="Times New Roman"/>
          <w:bCs/>
          <w:sz w:val="24"/>
          <w:szCs w:val="24"/>
        </w:rPr>
        <w:t>( the</w:t>
      </w:r>
      <w:proofErr w:type="gramEnd"/>
      <w:r w:rsidRPr="00B95621">
        <w:rPr>
          <w:rFonts w:ascii="Times New Roman" w:hAnsi="Times New Roman" w:cs="Times New Roman"/>
          <w:bCs/>
          <w:sz w:val="24"/>
          <w:szCs w:val="24"/>
        </w:rPr>
        <w:t xml:space="preserve"> 2012 graduator ) coming from the </w:t>
      </w:r>
      <w:proofErr w:type="spellStart"/>
      <w:r w:rsidRPr="00B95621">
        <w:rPr>
          <w:rFonts w:ascii="Times New Roman" w:hAnsi="Times New Roman" w:cs="Times New Roman"/>
          <w:bCs/>
          <w:sz w:val="24"/>
          <w:szCs w:val="24"/>
        </w:rPr>
        <w:t>Oromia</w:t>
      </w:r>
      <w:proofErr w:type="spellEnd"/>
      <w:r w:rsidRPr="00B95621">
        <w:rPr>
          <w:rFonts w:ascii="Times New Roman" w:hAnsi="Times New Roman" w:cs="Times New Roman"/>
          <w:bCs/>
          <w:sz w:val="24"/>
          <w:szCs w:val="24"/>
        </w:rPr>
        <w:t xml:space="preserve"> Regional State Legal and Research institute were engaged in the carrier and there are other law students from </w:t>
      </w:r>
      <w:proofErr w:type="spellStart"/>
      <w:r w:rsidRPr="00B95621">
        <w:rPr>
          <w:rFonts w:ascii="Times New Roman" w:hAnsi="Times New Roman" w:cs="Times New Roman"/>
          <w:bCs/>
          <w:sz w:val="24"/>
          <w:szCs w:val="24"/>
        </w:rPr>
        <w:t>Arsi</w:t>
      </w:r>
      <w:proofErr w:type="spellEnd"/>
      <w:r w:rsidRPr="00B95621">
        <w:rPr>
          <w:rFonts w:ascii="Times New Roman" w:hAnsi="Times New Roman" w:cs="Times New Roman"/>
          <w:bCs/>
          <w:sz w:val="24"/>
          <w:szCs w:val="24"/>
        </w:rPr>
        <w:t xml:space="preserve"> University law students fifth year assigned to the bench. Based on the program arranged, on the first day of sitting on the bench, the judge advised me only to observe what is going on in the court and how to handle the parties and cases from the beginning of the procedure to the end. Accordingly, by the first day I come up with how to verify the parties and deciding whether they have standing or not on the disputed issues at hand as per </w:t>
      </w:r>
      <w:proofErr w:type="spellStart"/>
      <w:r w:rsidRPr="00B95621">
        <w:rPr>
          <w:rFonts w:ascii="Times New Roman" w:hAnsi="Times New Roman" w:cs="Times New Roman"/>
          <w:bCs/>
          <w:sz w:val="24"/>
          <w:szCs w:val="24"/>
        </w:rPr>
        <w:t>aticle</w:t>
      </w:r>
      <w:proofErr w:type="spellEnd"/>
      <w:r w:rsidRPr="00B95621">
        <w:rPr>
          <w:rFonts w:ascii="Times New Roman" w:hAnsi="Times New Roman" w:cs="Times New Roman"/>
          <w:bCs/>
          <w:sz w:val="24"/>
          <w:szCs w:val="24"/>
        </w:rPr>
        <w:t xml:space="preserve"> 33 and 241 of civil procedure code. The Advisor judge told me that the reason for verification before going through the hearing procedure is that enabling us to check that court should deal with or not. This helps to reduce the court burden and parties.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2.2 Trial observation and its challenge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Trial observation was one of the tasks carried in line with the scrutiny of the closed files.  Accordingly, the normal trial proceeding observation was done without disturbing the program for the study of closed files. The observation involves hearing of suits, defenses, oral debate, witness examination and judgment declaration. It enabled the students to practice and deal with the practical ways of handling cases by the courts.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With respect to trial proceedings the court has its own weaknesses. Among these; firstly, there is no modern system in handling cases in relation to organization of files and entertaining cases. Moreover, in one bench there are three judges who entertain their own cases independently in parallel. This creates hardship to parties to understand and follow the judges and even the court room is full of voices that the actors in the court too confused to understand each other. Furthermore, the way the judges handle the trial or court decorum harasses different people that comes to the trial process. For instance, the witnesses, advocates and other people in the court room could be afraid due to the way of the judge’s order, asks question and speaks.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lastRenderedPageBreak/>
        <w:t xml:space="preserve">Secondly, I have observed lack of due diligence on the part of public prosecutors during the criminal proceeding trial. In most of the cases the public prosecutors adjourn the trial without a good cause. That means, due to their failure to search and examine the evidences in the given days, they request an additional remand which in turn could affect the right of most of the suspects. Thirdly, the recording system in the criminal proceeding has also its own problem. The problem is that in that in the recording system, it’s only answers of the witnesses recorded and the question from both sides and the court cannot be registered in the machine judge’s records in their hand writing. Recording by hand force the judge to adjourn the case for long time and affect speedy trial. When judges failed to record all things that should be recorded, it affects fair trial and decision. According to article 147/3 of the criminal procedure code, the questions and answers of the witnesses are written orderly in a clear and narrative ways.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2.3 Giving legal aid and counseling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In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first instance court there is free legal aid services that is designed to create legal awareness of the people and enables the people to access justice by removing of barriers of inability of affording court fee. It also have effect on the general services of the court that is for its speedy trial, the awareness of the people about summon, witness testimony, appeal right of the individual, on the right of the accused, arrested person and as each every individual have the right to bring his claim and have the right to bring his claim and have the right to obtain redress.</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2.4 Handling (Entertaining) of the case</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The judges give me living case to hear the parties the cases that has presented before it. The case was file no. 73045 on July 15 2021. The case was </w:t>
      </w:r>
      <w:proofErr w:type="gramStart"/>
      <w:r w:rsidRPr="00B95621">
        <w:rPr>
          <w:rFonts w:ascii="Times New Roman" w:hAnsi="Times New Roman" w:cs="Times New Roman"/>
          <w:bCs/>
          <w:sz w:val="24"/>
          <w:szCs w:val="24"/>
        </w:rPr>
        <w:t>land issues that was</w:t>
      </w:r>
      <w:proofErr w:type="gramEnd"/>
      <w:r w:rsidRPr="00B95621">
        <w:rPr>
          <w:rFonts w:ascii="Times New Roman" w:hAnsi="Times New Roman" w:cs="Times New Roman"/>
          <w:bCs/>
          <w:sz w:val="24"/>
          <w:szCs w:val="24"/>
        </w:rPr>
        <w:t xml:space="preserve"> decided in favor of the parties bringing the case for the second time. Plaintiff fails </w:t>
      </w:r>
      <w:proofErr w:type="gramStart"/>
      <w:r w:rsidRPr="00B95621">
        <w:rPr>
          <w:rFonts w:ascii="Times New Roman" w:hAnsi="Times New Roman" w:cs="Times New Roman"/>
          <w:bCs/>
          <w:sz w:val="24"/>
          <w:szCs w:val="24"/>
        </w:rPr>
        <w:t>to  put</w:t>
      </w:r>
      <w:proofErr w:type="gramEnd"/>
      <w:r w:rsidRPr="00B95621">
        <w:rPr>
          <w:rFonts w:ascii="Times New Roman" w:hAnsi="Times New Roman" w:cs="Times New Roman"/>
          <w:bCs/>
          <w:sz w:val="24"/>
          <w:szCs w:val="24"/>
        </w:rPr>
        <w:t xml:space="preserve"> the exact size of the land claimed in his pleading in which it was decided for him. Later, he came up with that his land is not only the one he was mentioned previously and understand that part of his land is not covered in the judgment because judge decides only on issues raised even though subject matter is the same. Then I present the cases to the judges for discussion and come up with the conclusion that article 216 of civil procedure code provides for prohibition of splitting of claims and joinder of cause of action. As such, the plaintiff should bring his claim once upon a time on the same cause of action. Accordingly, plaintiff case becomes res judicata as of article 5 of civil procedure code. </w:t>
      </w:r>
      <w:r w:rsidRPr="00B95621">
        <w:rPr>
          <w:rFonts w:ascii="Times New Roman" w:hAnsi="Times New Roman" w:cs="Times New Roman"/>
          <w:bCs/>
          <w:sz w:val="24"/>
          <w:szCs w:val="24"/>
        </w:rPr>
        <w:lastRenderedPageBreak/>
        <w:t xml:space="preserve">His case failed because it is inadmissible for the fact that it was entertained previously on the same issues and cause of action.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                                     Chapter 3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3. Experiences achieved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3.1 The tasks and lesson I have got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The purpose of externship program was to grasp an invaluable experience before engaging to the normal environment of work. It also helps the students to mix and analyze their knowledge gathered from the classrooms with the practical environment of the work in the courts. The most experience I acquire from the apparent is the way of handling and bulky cases in systematic and speedy way, creating good relationship with the judges and supporting staffs, the ways of reasoning, examining and interpreting facts and the law.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3.2 Gaps between the law and the practice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Judges at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court are intelligent but this doesn’t mean that they are perfect in applying the laws. I have seen certain difference between the interpretations of the law I have learnt in the class and the real practical application of the laws. For instance, according to article 284 of civil procedure code summary proceeding held for admitted debts. However, in practice the parties apply in this form and the judges continue entertaining the case for </w:t>
      </w:r>
      <w:proofErr w:type="gramStart"/>
      <w:r w:rsidRPr="00B95621">
        <w:rPr>
          <w:rFonts w:ascii="Times New Roman" w:hAnsi="Times New Roman" w:cs="Times New Roman"/>
          <w:bCs/>
          <w:sz w:val="24"/>
          <w:szCs w:val="24"/>
        </w:rPr>
        <w:t>non</w:t>
      </w:r>
      <w:proofErr w:type="gramEnd"/>
      <w:r w:rsidRPr="00B95621">
        <w:rPr>
          <w:rFonts w:ascii="Times New Roman" w:hAnsi="Times New Roman" w:cs="Times New Roman"/>
          <w:bCs/>
          <w:sz w:val="24"/>
          <w:szCs w:val="24"/>
        </w:rPr>
        <w:t xml:space="preserve"> or normal matters. Moreover, the judges considering summary proceeding as normal proceeding by allowing defendants to defend themselves whenever they apply for leave without considering whether the defendant has sufficient grounds or not. This defeats the </w:t>
      </w:r>
      <w:proofErr w:type="spellStart"/>
      <w:r w:rsidRPr="00B95621">
        <w:rPr>
          <w:rFonts w:ascii="Times New Roman" w:hAnsi="Times New Roman" w:cs="Times New Roman"/>
          <w:bCs/>
          <w:sz w:val="24"/>
          <w:szCs w:val="24"/>
        </w:rPr>
        <w:t>rational</w:t>
      </w:r>
      <w:proofErr w:type="spellEnd"/>
      <w:r w:rsidRPr="00B95621">
        <w:rPr>
          <w:rFonts w:ascii="Times New Roman" w:hAnsi="Times New Roman" w:cs="Times New Roman"/>
          <w:bCs/>
          <w:sz w:val="24"/>
          <w:szCs w:val="24"/>
        </w:rPr>
        <w:t xml:space="preserve"> behind this provision which is giving speedy trial. The other gap is the problematic application of article 241 of civil procedure code. As per this provision examination of the parties is the stage were the judges asks clarification about the statement of claim and defense brought before them in written form by the parties when they appear in person or by representation and identify the identity of the parties. But in practice the judges at this stage make literal litigation stage the parties are the one who raise questions and answers which is contrary to the law because judges should be the one to undertake this task.  In addition to the above gap, the court fail to respect constitutional right of the accused person contrary to article 20/5 which the right to leave defense lawyer for </w:t>
      </w:r>
      <w:r w:rsidRPr="00B95621">
        <w:rPr>
          <w:rFonts w:ascii="Times New Roman" w:hAnsi="Times New Roman" w:cs="Times New Roman"/>
          <w:bCs/>
          <w:sz w:val="24"/>
          <w:szCs w:val="24"/>
        </w:rPr>
        <w:lastRenderedPageBreak/>
        <w:t xml:space="preserve">accused persons who can’t afford it at the cost of the government but in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court accused person who can’t afford to hire a lawyer and don’t have defense lawyer at the cost of the government. Some of the accused don’t even know what to say and what they are being ordered by the court, this may result to injustice to the parties due to technicality.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Also there is disparity related to authority to issue summon is vested in either the judge or the registrar of the court according to article 94/3 CVPC, after summon is issued it is collected from a court and served on defendant by serving officer usually by the plaintiff and the serving officer who is not able to serve shall return to the court with the summon together with affidavit as to the fact’s which prevented him from serving the summon , then the court will order substitute service as to article 103 of CVPC, but practically after summon is issued and the plaintiff is not able to serve they just returned the summon without affidavit to the court and the court will made substitute services without requiring the truth with affidavit.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The other thing which is related with nonappearance is </w:t>
      </w:r>
      <w:proofErr w:type="spellStart"/>
      <w:r w:rsidRPr="00B95621">
        <w:rPr>
          <w:rFonts w:ascii="Times New Roman" w:hAnsi="Times New Roman" w:cs="Times New Roman"/>
          <w:bCs/>
          <w:sz w:val="24"/>
          <w:szCs w:val="24"/>
        </w:rPr>
        <w:t>exparte</w:t>
      </w:r>
      <w:proofErr w:type="spellEnd"/>
      <w:r w:rsidRPr="00B95621">
        <w:rPr>
          <w:rFonts w:ascii="Times New Roman" w:hAnsi="Times New Roman" w:cs="Times New Roman"/>
          <w:bCs/>
          <w:sz w:val="24"/>
          <w:szCs w:val="24"/>
        </w:rPr>
        <w:t xml:space="preserve"> proceeding in family bench that is, after summon was served for the defendant on petition of divorce by the initiation of one party. Some judge will oblige the defendant who fails to appear after he received summon by police force while the other will proceed to entertain the case and made divorce by ex parte but according to article 108 of RFC “ Without the prejudices to procedural provisions of these family  code the civil procedure shall apply for family dispute”, so we can refer from these provision that family codes including regional family codes had contain both substantive and procedural laws which includes; speaking to the spouses separately or jointly with a view of persuading them to renounce the petition for divorce, settling their dispute through arbitration, giving them cooling period up to three months giving appropriate order regarding their maintenance, custody of their before divorce is made to solve disputes between spouses for the best interest of the child.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So all these provisions are procedural which are stated in order to protect the institution of </w:t>
      </w:r>
      <w:proofErr w:type="gramStart"/>
      <w:r w:rsidRPr="00B95621">
        <w:rPr>
          <w:rFonts w:ascii="Times New Roman" w:hAnsi="Times New Roman" w:cs="Times New Roman"/>
          <w:bCs/>
          <w:sz w:val="24"/>
          <w:szCs w:val="24"/>
        </w:rPr>
        <w:t>family  as</w:t>
      </w:r>
      <w:proofErr w:type="gramEnd"/>
      <w:r w:rsidRPr="00B95621">
        <w:rPr>
          <w:rFonts w:ascii="Times New Roman" w:hAnsi="Times New Roman" w:cs="Times New Roman"/>
          <w:bCs/>
          <w:sz w:val="24"/>
          <w:szCs w:val="24"/>
        </w:rPr>
        <w:t xml:space="preserve"> well as interests of the child, so they are mandatory to follow from consequence it had on the children’s as well as the state because family is the smallest it of the state, if there is stable family there would good children and those good children will keep the state and the society stable . therefore, even though the family bench is civil bench which is governed by civil procedure law but as soon as possible procedure for divorce shall be entertained in the presence of spouses mainly once divorce is made there is no appeal on divorce and these will increase a </w:t>
      </w:r>
      <w:r w:rsidRPr="00B95621">
        <w:rPr>
          <w:rFonts w:ascii="Times New Roman" w:hAnsi="Times New Roman" w:cs="Times New Roman"/>
          <w:bCs/>
          <w:sz w:val="24"/>
          <w:szCs w:val="24"/>
        </w:rPr>
        <w:lastRenderedPageBreak/>
        <w:t xml:space="preserve">risk on the institution of family so generally making ex parte proceeding and divorce is against the spirit of family of law. The court shall speak to the spouses separately or jointly with a view of persuading them to renounce the petition for divorce and solve their dispute amicably where parties bring petition for divorce and if they will not renounce their intention, the court will give them a maximum period of three months as a cooling time to reconsider their decision as per article 82/1 and 3 of the RFC but what the practice is the judge are highly reluctant to speak and support them and most of the time the judge give a maximum of one weeks as a cooling time.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The obligation to pay court fees is mandatorily stated in the law as per article 215/2 but article 467/2 are exception to this general rule that those who is not possessed of sufficient means to pay all or part of the prescribed court fee are not obliged to pay and where the plaintiff succeeds the suit, the unpaid court fee should be paid or recoverable as per article 476 of civil procedure code but the practice in </w:t>
      </w:r>
      <w:proofErr w:type="spellStart"/>
      <w:r w:rsidRPr="00B95621">
        <w:rPr>
          <w:rFonts w:ascii="Times New Roman" w:hAnsi="Times New Roman" w:cs="Times New Roman"/>
          <w:bCs/>
          <w:sz w:val="24"/>
          <w:szCs w:val="24"/>
        </w:rPr>
        <w:t>Assela</w:t>
      </w:r>
      <w:proofErr w:type="spellEnd"/>
      <w:r w:rsidRPr="00B95621">
        <w:rPr>
          <w:rFonts w:ascii="Times New Roman" w:hAnsi="Times New Roman" w:cs="Times New Roman"/>
          <w:bCs/>
          <w:sz w:val="24"/>
          <w:szCs w:val="24"/>
        </w:rPr>
        <w:t xml:space="preserve"> Town first instance court has no mechanism of recovering and requesting unpaid court fee from the plaintiff after succeeding of the case.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3.3 Contribution to the host institution (My contribution)</w:t>
      </w:r>
    </w:p>
    <w:p w:rsidR="00B95621" w:rsidRPr="00B95621" w:rsidRDefault="00B95621" w:rsidP="00B95621">
      <w:pPr>
        <w:numPr>
          <w:ilvl w:val="0"/>
          <w:numId w:val="7"/>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Helping the judges, mostly </w:t>
      </w:r>
      <w:proofErr w:type="gramStart"/>
      <w:r w:rsidRPr="00B95621">
        <w:rPr>
          <w:rFonts w:ascii="Times New Roman" w:hAnsi="Times New Roman" w:cs="Times New Roman"/>
          <w:bCs/>
          <w:sz w:val="24"/>
          <w:szCs w:val="24"/>
        </w:rPr>
        <w:t>I  have</w:t>
      </w:r>
      <w:proofErr w:type="gramEnd"/>
      <w:r w:rsidRPr="00B95621">
        <w:rPr>
          <w:rFonts w:ascii="Times New Roman" w:hAnsi="Times New Roman" w:cs="Times New Roman"/>
          <w:bCs/>
          <w:sz w:val="24"/>
          <w:szCs w:val="24"/>
        </w:rPr>
        <w:t xml:space="preserve"> brief cases and I  have discerned the main issue of the cases to the judges. Here the judges can easily give decision.</w:t>
      </w: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numPr>
          <w:ilvl w:val="0"/>
          <w:numId w:val="7"/>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Giving some advice to parties particularly for women’s and elder persons about their claims and how they can ask their relief.</w:t>
      </w:r>
    </w:p>
    <w:p w:rsidR="00B95621" w:rsidRPr="00B95621" w:rsidRDefault="00B95621" w:rsidP="00B95621">
      <w:pPr>
        <w:numPr>
          <w:ilvl w:val="0"/>
          <w:numId w:val="7"/>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Giving some theoretical knowledge’s to the judges that I have learnt in the class. Generally I have also give some advises for the public around the area of the court and some other tasks.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             CHAPTER - 4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4. Conclusion and recommendation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4.1 Conclusion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lastRenderedPageBreak/>
        <w:t xml:space="preserve">As I tried to narrate my stay and activities during the extern in preceding section, I had good time with the judge in observing, analyzing and appreciating or criticizing the relationship between the laws in theories and the law in practice. Hence, I enabled to see the roles that legal professionals play in applying laws for the better administration of justice like; the substantive skills and ethical conducts expected from legal professionals and their usual commitment to satisfy the best interest of the public at large. In civil case, the statement of claim aren’t concise they are very argumentative and had substantive law cited on it and they are accepted by registrar and court, after summon is sent the plaintiff will </w:t>
      </w:r>
      <w:proofErr w:type="spellStart"/>
      <w:r w:rsidRPr="00B95621">
        <w:rPr>
          <w:rFonts w:ascii="Times New Roman" w:hAnsi="Times New Roman" w:cs="Times New Roman"/>
          <w:bCs/>
          <w:sz w:val="24"/>
          <w:szCs w:val="24"/>
        </w:rPr>
        <w:t>sometime’s</w:t>
      </w:r>
      <w:proofErr w:type="spellEnd"/>
      <w:r w:rsidRPr="00B95621">
        <w:rPr>
          <w:rFonts w:ascii="Times New Roman" w:hAnsi="Times New Roman" w:cs="Times New Roman"/>
          <w:bCs/>
          <w:sz w:val="24"/>
          <w:szCs w:val="24"/>
        </w:rPr>
        <w:t xml:space="preserve"> aren’t able to find the defendant and can’t serve both personal and constructive service then according to the law he shall bring back with affidavit in order to obtain substituted service but court are not observing these practically after the summon and the parties may fail to appear on the day for submission of statement of defense bit court’s may sometime uses the provision of CVPC used for </w:t>
      </w:r>
      <w:proofErr w:type="spellStart"/>
      <w:r w:rsidRPr="00B95621">
        <w:rPr>
          <w:rFonts w:ascii="Times New Roman" w:hAnsi="Times New Roman" w:cs="Times New Roman"/>
          <w:bCs/>
          <w:sz w:val="24"/>
          <w:szCs w:val="24"/>
        </w:rPr>
        <w:t>non appearance</w:t>
      </w:r>
      <w:proofErr w:type="spellEnd"/>
      <w:r w:rsidRPr="00B95621">
        <w:rPr>
          <w:rFonts w:ascii="Times New Roman" w:hAnsi="Times New Roman" w:cs="Times New Roman"/>
          <w:bCs/>
          <w:sz w:val="24"/>
          <w:szCs w:val="24"/>
        </w:rPr>
        <w:t xml:space="preserve"> on the day for hearing related with these are circumstance in which exported hearing and divorce is going to be done in family bench which is against the family protection given for the institution by the law. </w:t>
      </w:r>
    </w:p>
    <w:p w:rsidR="00B95621" w:rsidRPr="00B95621" w:rsidRDefault="00B95621" w:rsidP="00B95621">
      <w:p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4.2 Recommendation </w:t>
      </w:r>
    </w:p>
    <w:p w:rsidR="00B95621" w:rsidRPr="00B95621" w:rsidRDefault="00B95621" w:rsidP="00B95621">
      <w:pPr>
        <w:numPr>
          <w:ilvl w:val="0"/>
          <w:numId w:val="8"/>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The time arranged for extern should be corrected in a way that suit them to come up with courts procedure and enable them to grasp practices before being graduated from University as lawyers. Because, sometimes the fresh judges are not even better than lawyers who stand for the parties by representation in many aspects. As such the period extended for legal practice should be better to stay for long periods as students observe the court procedure for long time, they will become more aware of the system and helps the </w:t>
      </w:r>
      <w:proofErr w:type="spellStart"/>
      <w:r w:rsidRPr="00B95621">
        <w:rPr>
          <w:rFonts w:ascii="Times New Roman" w:hAnsi="Times New Roman" w:cs="Times New Roman"/>
          <w:bCs/>
          <w:sz w:val="24"/>
          <w:szCs w:val="24"/>
        </w:rPr>
        <w:t>adminstartion</w:t>
      </w:r>
      <w:proofErr w:type="spellEnd"/>
      <w:r w:rsidRPr="00B95621">
        <w:rPr>
          <w:rFonts w:ascii="Times New Roman" w:hAnsi="Times New Roman" w:cs="Times New Roman"/>
          <w:bCs/>
          <w:sz w:val="24"/>
          <w:szCs w:val="24"/>
        </w:rPr>
        <w:t xml:space="preserve"> of justice efficiently.</w:t>
      </w:r>
    </w:p>
    <w:p w:rsidR="00B95621" w:rsidRPr="00B95621" w:rsidRDefault="00B95621" w:rsidP="00B95621">
      <w:pPr>
        <w:numPr>
          <w:ilvl w:val="0"/>
          <w:numId w:val="8"/>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I recommend that the justice office prepare once in a while short trainings that can help the judges to familiarize themselves with newly made laws. It’s advisable if the judges increase their reading habit and increase their knowledge in every possible way they get. </w:t>
      </w:r>
    </w:p>
    <w:p w:rsidR="00B95621" w:rsidRPr="00B95621" w:rsidRDefault="00B95621" w:rsidP="00B95621">
      <w:pPr>
        <w:numPr>
          <w:ilvl w:val="0"/>
          <w:numId w:val="8"/>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 xml:space="preserve">As much as possible the court separately make benches in different rooms, because there is disturbance when the judges handle different case in a room simultaneously but different character like property, execution and </w:t>
      </w:r>
      <w:proofErr w:type="spellStart"/>
      <w:r w:rsidRPr="00B95621">
        <w:rPr>
          <w:rFonts w:ascii="Times New Roman" w:hAnsi="Times New Roman" w:cs="Times New Roman"/>
          <w:bCs/>
          <w:sz w:val="24"/>
          <w:szCs w:val="24"/>
        </w:rPr>
        <w:t>labour</w:t>
      </w:r>
      <w:proofErr w:type="spellEnd"/>
      <w:r w:rsidRPr="00B95621">
        <w:rPr>
          <w:rFonts w:ascii="Times New Roman" w:hAnsi="Times New Roman" w:cs="Times New Roman"/>
          <w:bCs/>
          <w:sz w:val="24"/>
          <w:szCs w:val="24"/>
        </w:rPr>
        <w:t xml:space="preserve">. </w:t>
      </w:r>
    </w:p>
    <w:p w:rsidR="00B95621" w:rsidRPr="00B95621" w:rsidRDefault="00B95621" w:rsidP="00B95621">
      <w:pPr>
        <w:numPr>
          <w:ilvl w:val="0"/>
          <w:numId w:val="8"/>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lastRenderedPageBreak/>
        <w:t>The environment of the court must be free from any sound disturbing the work of the court which is come the public observing the courts.</w:t>
      </w:r>
    </w:p>
    <w:p w:rsidR="00B95621" w:rsidRPr="00B95621" w:rsidRDefault="00B95621" w:rsidP="00B95621">
      <w:pPr>
        <w:numPr>
          <w:ilvl w:val="0"/>
          <w:numId w:val="8"/>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Regarding the recording system, I would like to recommend the court to write both the question and answer in the case at hand. Because sometimes may not be heard the witness testimony clearly.</w:t>
      </w:r>
    </w:p>
    <w:p w:rsidR="00B95621" w:rsidRPr="00B95621" w:rsidRDefault="00B95621" w:rsidP="00B95621">
      <w:pPr>
        <w:numPr>
          <w:ilvl w:val="0"/>
          <w:numId w:val="8"/>
        </w:numPr>
        <w:spacing w:line="360" w:lineRule="auto"/>
        <w:rPr>
          <w:rFonts w:ascii="Times New Roman" w:hAnsi="Times New Roman" w:cs="Times New Roman"/>
          <w:bCs/>
          <w:sz w:val="24"/>
          <w:szCs w:val="24"/>
        </w:rPr>
      </w:pPr>
      <w:r w:rsidRPr="00B95621">
        <w:rPr>
          <w:rFonts w:ascii="Times New Roman" w:hAnsi="Times New Roman" w:cs="Times New Roman"/>
          <w:bCs/>
          <w:sz w:val="24"/>
          <w:szCs w:val="24"/>
        </w:rPr>
        <w:t>The courts official especially judges should exchange opinions and advice each other through consultation. The court should give guidance for the lawyers working in the court on the substantive and procedural laws.</w:t>
      </w: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B95621" w:rsidRPr="00B95621" w:rsidRDefault="00B95621" w:rsidP="00B95621">
      <w:pPr>
        <w:spacing w:line="360" w:lineRule="auto"/>
        <w:rPr>
          <w:rFonts w:ascii="Times New Roman" w:hAnsi="Times New Roman" w:cs="Times New Roman"/>
          <w:bCs/>
          <w:sz w:val="24"/>
          <w:szCs w:val="24"/>
        </w:rPr>
      </w:pPr>
    </w:p>
    <w:p w:rsidR="009610E5" w:rsidRPr="00B95621" w:rsidRDefault="009610E5" w:rsidP="00B95621">
      <w:pPr>
        <w:spacing w:line="360" w:lineRule="auto"/>
        <w:rPr>
          <w:rFonts w:ascii="Times New Roman" w:hAnsi="Times New Roman" w:cs="Times New Roman"/>
          <w:sz w:val="24"/>
          <w:szCs w:val="24"/>
        </w:rPr>
      </w:pPr>
      <w:bookmarkStart w:id="0" w:name="_GoBack"/>
      <w:bookmarkEnd w:id="0"/>
    </w:p>
    <w:sectPr w:rsidR="009610E5" w:rsidRPr="00B9562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6562" w:rsidRDefault="00646562" w:rsidP="009610E5">
      <w:pPr>
        <w:spacing w:after="0" w:line="240" w:lineRule="auto"/>
      </w:pPr>
      <w:r>
        <w:separator/>
      </w:r>
    </w:p>
  </w:endnote>
  <w:endnote w:type="continuationSeparator" w:id="0">
    <w:p w:rsidR="00646562" w:rsidRDefault="00646562" w:rsidP="00961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3019272"/>
      <w:docPartObj>
        <w:docPartGallery w:val="Page Numbers (Bottom of Page)"/>
        <w:docPartUnique/>
      </w:docPartObj>
    </w:sdtPr>
    <w:sdtEndPr>
      <w:rPr>
        <w:noProof/>
      </w:rPr>
    </w:sdtEndPr>
    <w:sdtContent>
      <w:p w:rsidR="009B4C0E" w:rsidRDefault="009B4C0E">
        <w:pPr>
          <w:pStyle w:val="Footer"/>
          <w:jc w:val="center"/>
        </w:pPr>
        <w:r>
          <w:fldChar w:fldCharType="begin"/>
        </w:r>
        <w:r>
          <w:instrText xml:space="preserve"> PAGE   \* MERGEFORMAT </w:instrText>
        </w:r>
        <w:r>
          <w:fldChar w:fldCharType="separate"/>
        </w:r>
        <w:r w:rsidR="008B1830">
          <w:rPr>
            <w:noProof/>
          </w:rPr>
          <w:t>11</w:t>
        </w:r>
        <w:r>
          <w:rPr>
            <w:noProof/>
          </w:rPr>
          <w:fldChar w:fldCharType="end"/>
        </w:r>
      </w:p>
    </w:sdtContent>
  </w:sdt>
  <w:p w:rsidR="009B4C0E" w:rsidRDefault="009B4C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6562" w:rsidRDefault="00646562" w:rsidP="009610E5">
      <w:pPr>
        <w:spacing w:after="0" w:line="240" w:lineRule="auto"/>
      </w:pPr>
      <w:r>
        <w:separator/>
      </w:r>
    </w:p>
  </w:footnote>
  <w:footnote w:type="continuationSeparator" w:id="0">
    <w:p w:rsidR="00646562" w:rsidRDefault="00646562" w:rsidP="009610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20C22F1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0000002"/>
    <w:multiLevelType w:val="hybridMultilevel"/>
    <w:tmpl w:val="30243D4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nsid w:val="0B167757"/>
    <w:multiLevelType w:val="hybridMultilevel"/>
    <w:tmpl w:val="DACC41D6"/>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nsid w:val="24B273E4"/>
    <w:multiLevelType w:val="hybridMultilevel"/>
    <w:tmpl w:val="89DC59FE"/>
    <w:lvl w:ilvl="0" w:tplc="0409000D">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nsid w:val="2A7865DC"/>
    <w:multiLevelType w:val="hybridMultilevel"/>
    <w:tmpl w:val="5A3E93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06470B"/>
    <w:multiLevelType w:val="hybridMultilevel"/>
    <w:tmpl w:val="A3662AAA"/>
    <w:lvl w:ilvl="0" w:tplc="1C09000D">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nsid w:val="44194512"/>
    <w:multiLevelType w:val="hybridMultilevel"/>
    <w:tmpl w:val="EE34CC48"/>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616D64F8"/>
    <w:multiLevelType w:val="hybridMultilevel"/>
    <w:tmpl w:val="CF544C9A"/>
    <w:lvl w:ilvl="0" w:tplc="1C09000D">
      <w:start w:val="1"/>
      <w:numFmt w:val="bullet"/>
      <w:lvlText w:val=""/>
      <w:lvlJc w:val="left"/>
      <w:pPr>
        <w:ind w:left="720" w:hanging="360"/>
      </w:pPr>
      <w:rPr>
        <w:rFonts w:ascii="Wingdings" w:hAnsi="Wingdings" w:hint="default"/>
      </w:rPr>
    </w:lvl>
    <w:lvl w:ilvl="1" w:tplc="3E6ADC0E">
      <w:numFmt w:val="bullet"/>
      <w:lvlText w:val="-"/>
      <w:lvlJc w:val="left"/>
      <w:pPr>
        <w:ind w:left="1440" w:hanging="360"/>
      </w:pPr>
      <w:rPr>
        <w:rFonts w:ascii="Times New Roman" w:eastAsiaTheme="minorEastAsia" w:hAnsi="Times New Roman" w:cs="Times New Roman"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2"/>
  </w:num>
  <w:num w:numId="4">
    <w:abstractNumId w:val="4"/>
  </w:num>
  <w:num w:numId="5">
    <w:abstractNumId w:val="5"/>
  </w:num>
  <w:num w:numId="6">
    <w:abstractNumId w:val="6"/>
  </w:num>
  <w:num w:numId="7">
    <w:abstractNumId w:val="0"/>
    <w:lvlOverride w:ilvl="0"/>
    <w:lvlOverride w:ilvl="1"/>
    <w:lvlOverride w:ilvl="2"/>
    <w:lvlOverride w:ilvl="3"/>
    <w:lvlOverride w:ilvl="4"/>
    <w:lvlOverride w:ilvl="5"/>
    <w:lvlOverride w:ilvl="6"/>
    <w:lvlOverride w:ilvl="7"/>
    <w:lvlOverride w:ilvl="8"/>
  </w:num>
  <w:num w:numId="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53E"/>
    <w:rsid w:val="00022185"/>
    <w:rsid w:val="00025A0A"/>
    <w:rsid w:val="00054471"/>
    <w:rsid w:val="000A258C"/>
    <w:rsid w:val="000A424E"/>
    <w:rsid w:val="00162F46"/>
    <w:rsid w:val="0019345C"/>
    <w:rsid w:val="001A5946"/>
    <w:rsid w:val="001C1D0F"/>
    <w:rsid w:val="001E0345"/>
    <w:rsid w:val="001E3AD1"/>
    <w:rsid w:val="001F479D"/>
    <w:rsid w:val="00234212"/>
    <w:rsid w:val="00234F49"/>
    <w:rsid w:val="00262DB5"/>
    <w:rsid w:val="002A2989"/>
    <w:rsid w:val="002E5CE8"/>
    <w:rsid w:val="00344FBF"/>
    <w:rsid w:val="00346E69"/>
    <w:rsid w:val="003515FB"/>
    <w:rsid w:val="00356C7C"/>
    <w:rsid w:val="003A4CA1"/>
    <w:rsid w:val="003F563B"/>
    <w:rsid w:val="00457A79"/>
    <w:rsid w:val="004E19D9"/>
    <w:rsid w:val="00565CD8"/>
    <w:rsid w:val="00646562"/>
    <w:rsid w:val="0069554C"/>
    <w:rsid w:val="006D15E1"/>
    <w:rsid w:val="006F3DC4"/>
    <w:rsid w:val="00710C58"/>
    <w:rsid w:val="007B0AF2"/>
    <w:rsid w:val="007D41D4"/>
    <w:rsid w:val="007F6500"/>
    <w:rsid w:val="008358F1"/>
    <w:rsid w:val="008409D6"/>
    <w:rsid w:val="0089653E"/>
    <w:rsid w:val="008B1830"/>
    <w:rsid w:val="008B353F"/>
    <w:rsid w:val="00915F35"/>
    <w:rsid w:val="009610E5"/>
    <w:rsid w:val="009727DE"/>
    <w:rsid w:val="00991773"/>
    <w:rsid w:val="009B4C0E"/>
    <w:rsid w:val="009E3C74"/>
    <w:rsid w:val="00A614A8"/>
    <w:rsid w:val="00AE6FF1"/>
    <w:rsid w:val="00AF5CD1"/>
    <w:rsid w:val="00B83222"/>
    <w:rsid w:val="00B95621"/>
    <w:rsid w:val="00C47009"/>
    <w:rsid w:val="00C574D6"/>
    <w:rsid w:val="00C61E4D"/>
    <w:rsid w:val="00C71BB2"/>
    <w:rsid w:val="00CA3A82"/>
    <w:rsid w:val="00D21B09"/>
    <w:rsid w:val="00D511F6"/>
    <w:rsid w:val="00DC079C"/>
    <w:rsid w:val="00DC3716"/>
    <w:rsid w:val="00DD1BAB"/>
    <w:rsid w:val="00E124F2"/>
    <w:rsid w:val="00E134D8"/>
    <w:rsid w:val="00E938FD"/>
    <w:rsid w:val="00EB2119"/>
    <w:rsid w:val="00EB7832"/>
    <w:rsid w:val="00FD25AA"/>
    <w:rsid w:val="00FE0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15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15F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D15E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54471"/>
    <w:pPr>
      <w:spacing w:after="100"/>
    </w:pPr>
    <w:rPr>
      <w:rFonts w:eastAsiaTheme="minorEastAsia"/>
    </w:rPr>
  </w:style>
  <w:style w:type="paragraph" w:styleId="TOC2">
    <w:name w:val="toc 2"/>
    <w:basedOn w:val="Normal"/>
    <w:next w:val="Normal"/>
    <w:autoRedefine/>
    <w:uiPriority w:val="39"/>
    <w:unhideWhenUsed/>
    <w:rsid w:val="00054471"/>
    <w:pPr>
      <w:spacing w:after="100"/>
      <w:ind w:left="220"/>
    </w:pPr>
    <w:rPr>
      <w:rFonts w:eastAsiaTheme="minorEastAsia"/>
    </w:rPr>
  </w:style>
  <w:style w:type="paragraph" w:styleId="TOC3">
    <w:name w:val="toc 3"/>
    <w:basedOn w:val="Normal"/>
    <w:next w:val="Normal"/>
    <w:autoRedefine/>
    <w:uiPriority w:val="39"/>
    <w:unhideWhenUsed/>
    <w:rsid w:val="00054471"/>
    <w:pPr>
      <w:spacing w:after="100"/>
      <w:ind w:left="440"/>
    </w:pPr>
    <w:rPr>
      <w:rFonts w:eastAsiaTheme="minorEastAsia"/>
    </w:rPr>
  </w:style>
  <w:style w:type="character" w:styleId="Hyperlink">
    <w:name w:val="Hyperlink"/>
    <w:basedOn w:val="DefaultParagraphFont"/>
    <w:uiPriority w:val="99"/>
    <w:unhideWhenUsed/>
    <w:rsid w:val="00054471"/>
    <w:rPr>
      <w:color w:val="0000FF" w:themeColor="hyperlink"/>
      <w:u w:val="single"/>
    </w:rPr>
  </w:style>
  <w:style w:type="paragraph" w:styleId="FootnoteText">
    <w:name w:val="footnote text"/>
    <w:basedOn w:val="Normal"/>
    <w:link w:val="FootnoteTextChar"/>
    <w:uiPriority w:val="99"/>
    <w:semiHidden/>
    <w:unhideWhenUsed/>
    <w:rsid w:val="009610E5"/>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9610E5"/>
    <w:rPr>
      <w:rFonts w:eastAsiaTheme="minorEastAsia"/>
      <w:sz w:val="20"/>
      <w:szCs w:val="20"/>
    </w:rPr>
  </w:style>
  <w:style w:type="character" w:styleId="FootnoteReference">
    <w:name w:val="footnote reference"/>
    <w:basedOn w:val="DefaultParagraphFont"/>
    <w:uiPriority w:val="99"/>
    <w:semiHidden/>
    <w:unhideWhenUsed/>
    <w:rsid w:val="009610E5"/>
    <w:rPr>
      <w:vertAlign w:val="superscript"/>
    </w:rPr>
  </w:style>
  <w:style w:type="character" w:customStyle="1" w:styleId="Heading2Char">
    <w:name w:val="Heading 2 Char"/>
    <w:basedOn w:val="DefaultParagraphFont"/>
    <w:link w:val="Heading2"/>
    <w:uiPriority w:val="9"/>
    <w:rsid w:val="003515F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3515F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F6500"/>
    <w:pPr>
      <w:outlineLvl w:val="9"/>
    </w:pPr>
    <w:rPr>
      <w:lang w:eastAsia="ja-JP"/>
    </w:rPr>
  </w:style>
  <w:style w:type="paragraph" w:styleId="BalloonText">
    <w:name w:val="Balloon Text"/>
    <w:basedOn w:val="Normal"/>
    <w:link w:val="BalloonTextChar"/>
    <w:uiPriority w:val="99"/>
    <w:semiHidden/>
    <w:unhideWhenUsed/>
    <w:rsid w:val="007F65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500"/>
    <w:rPr>
      <w:rFonts w:ascii="Tahoma" w:hAnsi="Tahoma" w:cs="Tahoma"/>
      <w:sz w:val="16"/>
      <w:szCs w:val="16"/>
    </w:rPr>
  </w:style>
  <w:style w:type="paragraph" w:styleId="Header">
    <w:name w:val="header"/>
    <w:basedOn w:val="Normal"/>
    <w:link w:val="HeaderChar"/>
    <w:uiPriority w:val="99"/>
    <w:unhideWhenUsed/>
    <w:rsid w:val="009B4C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C0E"/>
  </w:style>
  <w:style w:type="paragraph" w:styleId="Footer">
    <w:name w:val="footer"/>
    <w:basedOn w:val="Normal"/>
    <w:link w:val="FooterChar"/>
    <w:uiPriority w:val="99"/>
    <w:unhideWhenUsed/>
    <w:rsid w:val="009B4C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C0E"/>
  </w:style>
  <w:style w:type="character" w:customStyle="1" w:styleId="Heading3Char">
    <w:name w:val="Heading 3 Char"/>
    <w:basedOn w:val="DefaultParagraphFont"/>
    <w:link w:val="Heading3"/>
    <w:uiPriority w:val="9"/>
    <w:rsid w:val="006D15E1"/>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15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15F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D15E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54471"/>
    <w:pPr>
      <w:spacing w:after="100"/>
    </w:pPr>
    <w:rPr>
      <w:rFonts w:eastAsiaTheme="minorEastAsia"/>
    </w:rPr>
  </w:style>
  <w:style w:type="paragraph" w:styleId="TOC2">
    <w:name w:val="toc 2"/>
    <w:basedOn w:val="Normal"/>
    <w:next w:val="Normal"/>
    <w:autoRedefine/>
    <w:uiPriority w:val="39"/>
    <w:unhideWhenUsed/>
    <w:rsid w:val="00054471"/>
    <w:pPr>
      <w:spacing w:after="100"/>
      <w:ind w:left="220"/>
    </w:pPr>
    <w:rPr>
      <w:rFonts w:eastAsiaTheme="minorEastAsia"/>
    </w:rPr>
  </w:style>
  <w:style w:type="paragraph" w:styleId="TOC3">
    <w:name w:val="toc 3"/>
    <w:basedOn w:val="Normal"/>
    <w:next w:val="Normal"/>
    <w:autoRedefine/>
    <w:uiPriority w:val="39"/>
    <w:unhideWhenUsed/>
    <w:rsid w:val="00054471"/>
    <w:pPr>
      <w:spacing w:after="100"/>
      <w:ind w:left="440"/>
    </w:pPr>
    <w:rPr>
      <w:rFonts w:eastAsiaTheme="minorEastAsia"/>
    </w:rPr>
  </w:style>
  <w:style w:type="character" w:styleId="Hyperlink">
    <w:name w:val="Hyperlink"/>
    <w:basedOn w:val="DefaultParagraphFont"/>
    <w:uiPriority w:val="99"/>
    <w:unhideWhenUsed/>
    <w:rsid w:val="00054471"/>
    <w:rPr>
      <w:color w:val="0000FF" w:themeColor="hyperlink"/>
      <w:u w:val="single"/>
    </w:rPr>
  </w:style>
  <w:style w:type="paragraph" w:styleId="FootnoteText">
    <w:name w:val="footnote text"/>
    <w:basedOn w:val="Normal"/>
    <w:link w:val="FootnoteTextChar"/>
    <w:uiPriority w:val="99"/>
    <w:semiHidden/>
    <w:unhideWhenUsed/>
    <w:rsid w:val="009610E5"/>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9610E5"/>
    <w:rPr>
      <w:rFonts w:eastAsiaTheme="minorEastAsia"/>
      <w:sz w:val="20"/>
      <w:szCs w:val="20"/>
    </w:rPr>
  </w:style>
  <w:style w:type="character" w:styleId="FootnoteReference">
    <w:name w:val="footnote reference"/>
    <w:basedOn w:val="DefaultParagraphFont"/>
    <w:uiPriority w:val="99"/>
    <w:semiHidden/>
    <w:unhideWhenUsed/>
    <w:rsid w:val="009610E5"/>
    <w:rPr>
      <w:vertAlign w:val="superscript"/>
    </w:rPr>
  </w:style>
  <w:style w:type="character" w:customStyle="1" w:styleId="Heading2Char">
    <w:name w:val="Heading 2 Char"/>
    <w:basedOn w:val="DefaultParagraphFont"/>
    <w:link w:val="Heading2"/>
    <w:uiPriority w:val="9"/>
    <w:rsid w:val="003515F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3515F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F6500"/>
    <w:pPr>
      <w:outlineLvl w:val="9"/>
    </w:pPr>
    <w:rPr>
      <w:lang w:eastAsia="ja-JP"/>
    </w:rPr>
  </w:style>
  <w:style w:type="paragraph" w:styleId="BalloonText">
    <w:name w:val="Balloon Text"/>
    <w:basedOn w:val="Normal"/>
    <w:link w:val="BalloonTextChar"/>
    <w:uiPriority w:val="99"/>
    <w:semiHidden/>
    <w:unhideWhenUsed/>
    <w:rsid w:val="007F65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500"/>
    <w:rPr>
      <w:rFonts w:ascii="Tahoma" w:hAnsi="Tahoma" w:cs="Tahoma"/>
      <w:sz w:val="16"/>
      <w:szCs w:val="16"/>
    </w:rPr>
  </w:style>
  <w:style w:type="paragraph" w:styleId="Header">
    <w:name w:val="header"/>
    <w:basedOn w:val="Normal"/>
    <w:link w:val="HeaderChar"/>
    <w:uiPriority w:val="99"/>
    <w:unhideWhenUsed/>
    <w:rsid w:val="009B4C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C0E"/>
  </w:style>
  <w:style w:type="paragraph" w:styleId="Footer">
    <w:name w:val="footer"/>
    <w:basedOn w:val="Normal"/>
    <w:link w:val="FooterChar"/>
    <w:uiPriority w:val="99"/>
    <w:unhideWhenUsed/>
    <w:rsid w:val="009B4C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C0E"/>
  </w:style>
  <w:style w:type="character" w:customStyle="1" w:styleId="Heading3Char">
    <w:name w:val="Heading 3 Char"/>
    <w:basedOn w:val="DefaultParagraphFont"/>
    <w:link w:val="Heading3"/>
    <w:uiPriority w:val="9"/>
    <w:rsid w:val="006D15E1"/>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22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A33B5-118B-44E8-9D58-6627D9AA9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2875</Words>
  <Characters>16393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2021-08-30T13:46:00Z</dcterms:created>
  <dcterms:modified xsi:type="dcterms:W3CDTF">2021-08-30T13:46:00Z</dcterms:modified>
</cp:coreProperties>
</file>