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9C783" w14:textId="77777777" w:rsidR="00C2692F" w:rsidRDefault="00C2692F">
      <w:pPr>
        <w:pStyle w:val="Text"/>
        <w:ind w:firstLine="0"/>
        <w:rPr>
          <w:sz w:val="2"/>
          <w:szCs w:val="18"/>
        </w:rPr>
      </w:pPr>
      <w:r>
        <w:rPr>
          <w:sz w:val="2"/>
          <w:szCs w:val="18"/>
        </w:rPr>
        <w:footnoteReference w:customMarkFollows="1" w:id="1"/>
        <w:sym w:font="Symbol" w:char="F020"/>
      </w:r>
    </w:p>
    <w:p w14:paraId="50B7CB60" w14:textId="612922A3" w:rsidR="00C2692F" w:rsidRDefault="00301F96" w:rsidP="00C2692F">
      <w:pPr>
        <w:pStyle w:val="Title"/>
        <w:framePr w:wrap="notBeside"/>
      </w:pPr>
      <w:r>
        <w:t xml:space="preserve">Changing </w:t>
      </w:r>
      <w:r w:rsidR="00FA4A37">
        <w:t>Internal Sodium</w:t>
      </w:r>
      <w:r>
        <w:t xml:space="preserve"> Concentrations Effect on Action Potential </w:t>
      </w:r>
      <w:r w:rsidR="00FA4A37">
        <w:t>Morphology</w:t>
      </w:r>
      <w:r>
        <w:t xml:space="preserve"> using HH model in Neuron</w:t>
      </w:r>
    </w:p>
    <w:p w14:paraId="3601F319" w14:textId="77777777" w:rsidR="00C2692F" w:rsidRDefault="00B36609" w:rsidP="00C2692F">
      <w:pPr>
        <w:pStyle w:val="Authors"/>
        <w:framePr w:wrap="notBeside" w:x="1614"/>
      </w:pPr>
      <w:r>
        <w:t>Amelia L. Becker and Elizabeth S. Lee</w:t>
      </w:r>
    </w:p>
    <w:p w14:paraId="03D7DC07" w14:textId="73C47808" w:rsidR="00C2692F" w:rsidRPr="007472EF" w:rsidRDefault="00C2692F" w:rsidP="00865F61">
      <w:pPr>
        <w:pStyle w:val="Abstract"/>
        <w:spacing w:before="0"/>
        <w:ind w:firstLine="270"/>
        <w:rPr>
          <w:sz w:val="22"/>
          <w:szCs w:val="22"/>
        </w:rPr>
      </w:pPr>
      <w:r w:rsidRPr="007472EF">
        <w:rPr>
          <w:i/>
          <w:iCs/>
          <w:sz w:val="22"/>
          <w:szCs w:val="22"/>
        </w:rPr>
        <w:t>Abstract</w:t>
      </w:r>
      <w:r w:rsidRPr="007472EF">
        <w:rPr>
          <w:sz w:val="22"/>
          <w:szCs w:val="22"/>
        </w:rPr>
        <w:t xml:space="preserve">— </w:t>
      </w:r>
      <w:r w:rsidR="00FA4A37">
        <w:rPr>
          <w:sz w:val="22"/>
          <w:szCs w:val="22"/>
        </w:rPr>
        <w:t>Changing the internal sodium concentration directly affects the Nernst Potential for Sodium across the cell membrane. In an electrically small cell, decreases in the</w:t>
      </w:r>
      <w:r w:rsidR="004C567C">
        <w:rPr>
          <w:sz w:val="22"/>
          <w:szCs w:val="22"/>
        </w:rPr>
        <w:t xml:space="preserve"> internal sodium concentration </w:t>
      </w:r>
      <w:r w:rsidR="00FA4A37">
        <w:rPr>
          <w:sz w:val="22"/>
          <w:szCs w:val="22"/>
        </w:rPr>
        <w:t xml:space="preserve">raise the peak </w:t>
      </w:r>
      <w:proofErr w:type="spellStart"/>
      <w:r w:rsidR="00FA4A37">
        <w:rPr>
          <w:sz w:val="22"/>
          <w:szCs w:val="22"/>
        </w:rPr>
        <w:t>Vm</w:t>
      </w:r>
      <w:proofErr w:type="spellEnd"/>
      <w:r w:rsidR="00FA4A37">
        <w:rPr>
          <w:sz w:val="22"/>
          <w:szCs w:val="22"/>
        </w:rPr>
        <w:t xml:space="preserve"> for action potentials and decrease the time to peak.</w:t>
      </w:r>
    </w:p>
    <w:p w14:paraId="043AFEAE" w14:textId="77777777" w:rsidR="00301F96" w:rsidRPr="007472EF" w:rsidRDefault="00C2692F" w:rsidP="00301F96">
      <w:pPr>
        <w:pStyle w:val="Heading1"/>
        <w:spacing w:before="120" w:after="120"/>
      </w:pPr>
      <w:r w:rsidRPr="007472EF">
        <w:t>INTRODUCTION</w:t>
      </w:r>
    </w:p>
    <w:p w14:paraId="6066FF63" w14:textId="0E2CE54D" w:rsidR="004E000D" w:rsidRPr="007472EF" w:rsidRDefault="00301F96" w:rsidP="00865F61">
      <w:pPr>
        <w:ind w:firstLine="270"/>
      </w:pPr>
      <w:r w:rsidRPr="007472EF">
        <w:t>The Hodgkin Huxley model is a set of equations that describes the behavior of action potentials in neurons. Physiologically, this translates to the set of conditions under which ion channels are likely to open or close, and the dynamics of the gate states. Abstracting the ion channels into a parallel RC circuit with capacitance associated with the membrane itself, variable conductance that is dependent on time and membrane potential, and the Nernst equilibrium potentials of primarily sodium and potassium ions. The standard sodium intracellular and extracellular concentrations are 12mEq/L and 140mEq/L, respectively</w:t>
      </w:r>
      <w:r w:rsidR="004E000D" w:rsidRPr="007472EF">
        <w:rPr>
          <w:vertAlign w:val="superscript"/>
        </w:rPr>
        <w:t>1</w:t>
      </w:r>
      <w:r w:rsidRPr="007472EF">
        <w:t>.</w:t>
      </w:r>
    </w:p>
    <w:p w14:paraId="1BB132E2" w14:textId="77777777" w:rsidR="004E000D" w:rsidRPr="007472EF" w:rsidRDefault="004E000D" w:rsidP="004E000D">
      <w:pPr>
        <w:ind w:firstLine="202"/>
      </w:pPr>
    </w:p>
    <w:p w14:paraId="7B5055D1" w14:textId="03CF788E" w:rsidR="00865F61" w:rsidRPr="007472EF" w:rsidRDefault="004E000D" w:rsidP="00865F61">
      <w:pPr>
        <w:ind w:firstLine="270"/>
      </w:pPr>
      <w:r w:rsidRPr="007472EF">
        <w:t xml:space="preserve">The required voltage to stimulate an action potential produced by the Hodgkin-Huxley model will be decreased as the ratio of sodium concentration outside the cell to inside the cell increases. </w:t>
      </w:r>
      <w:r w:rsidR="00301F96" w:rsidRPr="007472EF">
        <w:t>By modifying the intra and extracellular concentrations of sodium or potassium ions, we can change the Nernst equilibrium potentials and thus the resting membra</w:t>
      </w:r>
      <w:r w:rsidR="00FC4E05" w:rsidRPr="007472EF">
        <w:t xml:space="preserve">ne potential of the cell. This </w:t>
      </w:r>
      <w:r w:rsidR="00301F96" w:rsidRPr="007472EF">
        <w:t>affect</w:t>
      </w:r>
      <w:r w:rsidR="00FC4E05" w:rsidRPr="007472EF">
        <w:t>s</w:t>
      </w:r>
      <w:r w:rsidR="00301F96" w:rsidRPr="007472EF">
        <w:t xml:space="preserve"> the kinetics of ion channels opening and closing, thus affecting both the time constants associated with the action potential and the probabilities at which the m, n, and h gates open and close, since they are influenced by the membrane potential. We expect that increasing the intracellular sodium concentration with respect to the extracellular sodium concentration will increase the stimulation voltage necessary to create an action potential, since membrane voltage will decrease as the sodium e</w:t>
      </w:r>
      <w:r w:rsidR="00AA6A4F" w:rsidRPr="007472EF">
        <w:t>quilibrium potential decreases.</w:t>
      </w:r>
    </w:p>
    <w:p w14:paraId="34FBE582" w14:textId="77777777" w:rsidR="00AA6A4F" w:rsidRPr="007472EF" w:rsidRDefault="00AA6A4F" w:rsidP="00865F61">
      <w:pPr>
        <w:ind w:firstLine="270"/>
      </w:pPr>
    </w:p>
    <w:p w14:paraId="6559E0A4" w14:textId="74A7C723" w:rsidR="00301F96" w:rsidRPr="007472EF" w:rsidRDefault="00865F61" w:rsidP="00865F61">
      <w:pPr>
        <w:ind w:firstLine="270"/>
      </w:pPr>
      <w:r w:rsidRPr="007472EF">
        <w:t>Further, changing the relative concentrations of ions will change the Nernst potential</w:t>
      </w:r>
      <w:r w:rsidR="009D25F2" w:rsidRPr="007472EF">
        <w:t>.</w:t>
      </w:r>
      <w:r w:rsidRPr="007472EF">
        <w:rPr>
          <w:vertAlign w:val="superscript"/>
        </w:rPr>
        <w:t>2</w:t>
      </w:r>
      <w:r w:rsidR="009D25F2" w:rsidRPr="007472EF">
        <w:rPr>
          <w:vertAlign w:val="superscript"/>
        </w:rPr>
        <w:t xml:space="preserve"> </w:t>
      </w:r>
      <w:r w:rsidR="009D25F2" w:rsidRPr="007472EF">
        <w:t>When the sodium concentrations are higher, the morphology of the action potential. It will increase the activation rate of the activation gates to shorten the refractory period.</w:t>
      </w:r>
    </w:p>
    <w:p w14:paraId="0458B0AB" w14:textId="116C9517" w:rsidR="00C2692F" w:rsidRPr="007472EF" w:rsidRDefault="003B4CE2" w:rsidP="00C2692F">
      <w:pPr>
        <w:pStyle w:val="Heading1"/>
        <w:spacing w:before="120" w:after="120"/>
      </w:pPr>
      <w:r w:rsidRPr="007472EF">
        <w:t>Methods</w:t>
      </w:r>
    </w:p>
    <w:p w14:paraId="5CDB0EAC" w14:textId="3349EA46" w:rsidR="00FC4E05" w:rsidRDefault="00FC4E05" w:rsidP="000B194A">
      <w:pPr>
        <w:ind w:firstLine="270"/>
        <w:rPr>
          <w:color w:val="000000"/>
        </w:rPr>
      </w:pPr>
      <w:r w:rsidRPr="007472EF">
        <w:rPr>
          <w:color w:val="000000"/>
        </w:rPr>
        <w:t>We</w:t>
      </w:r>
      <w:r w:rsidR="004E000D" w:rsidRPr="007472EF">
        <w:rPr>
          <w:color w:val="000000"/>
        </w:rPr>
        <w:t xml:space="preserve"> perform</w:t>
      </w:r>
      <w:r w:rsidRPr="007472EF">
        <w:rPr>
          <w:color w:val="000000"/>
        </w:rPr>
        <w:t>ed</w:t>
      </w:r>
      <w:r w:rsidR="004E000D" w:rsidRPr="007472EF">
        <w:rPr>
          <w:color w:val="000000"/>
        </w:rPr>
        <w:t xml:space="preserve"> simulations using NEURON to vary the intracellular sodium concentration of an electrically small cell. </w:t>
      </w:r>
      <w:r w:rsidRPr="007472EF">
        <w:rPr>
          <w:color w:val="000000"/>
        </w:rPr>
        <w:t>We used a modified version of Hernandez’s axon testing hoc document to test our cell</w:t>
      </w:r>
      <w:r w:rsidRPr="007472EF">
        <w:rPr>
          <w:color w:val="000000"/>
          <w:vertAlign w:val="superscript"/>
        </w:rPr>
        <w:t>3</w:t>
      </w:r>
      <w:r w:rsidRPr="007472EF">
        <w:rPr>
          <w:color w:val="000000"/>
        </w:rPr>
        <w:t xml:space="preserve">. </w:t>
      </w:r>
      <w:r w:rsidR="004E000D" w:rsidRPr="007472EF">
        <w:rPr>
          <w:color w:val="000000"/>
        </w:rPr>
        <w:t>The intracellular s</w:t>
      </w:r>
      <w:r w:rsidRPr="007472EF">
        <w:rPr>
          <w:color w:val="000000"/>
        </w:rPr>
        <w:t xml:space="preserve">odium was measured between 0mEq/L and </w:t>
      </w:r>
      <w:r w:rsidR="00F56A8A">
        <w:rPr>
          <w:color w:val="000000"/>
        </w:rPr>
        <w:t>280</w:t>
      </w:r>
      <w:r w:rsidR="004E000D" w:rsidRPr="007472EF">
        <w:rPr>
          <w:color w:val="000000"/>
        </w:rPr>
        <w:t xml:space="preserve">mEq/L </w:t>
      </w:r>
      <w:r w:rsidRPr="007472EF">
        <w:rPr>
          <w:color w:val="000000"/>
        </w:rPr>
        <w:t>and the</w:t>
      </w:r>
      <w:r w:rsidR="004E000D" w:rsidRPr="007472EF">
        <w:rPr>
          <w:color w:val="000000"/>
        </w:rPr>
        <w:t xml:space="preserve"> extracellular concentration </w:t>
      </w:r>
      <w:r w:rsidR="0015652C">
        <w:rPr>
          <w:color w:val="000000"/>
        </w:rPr>
        <w:t>was held constant at 1</w:t>
      </w:r>
      <w:r w:rsidR="007472EF">
        <w:rPr>
          <w:color w:val="000000"/>
        </w:rPr>
        <w:t>40mEq/L.</w:t>
      </w:r>
    </w:p>
    <w:p w14:paraId="03906991" w14:textId="77777777" w:rsidR="00AA0C05" w:rsidRDefault="00AA0C05" w:rsidP="000B194A">
      <w:pPr>
        <w:ind w:firstLine="270"/>
        <w:rPr>
          <w:color w:val="000000"/>
        </w:rPr>
      </w:pPr>
    </w:p>
    <w:p w14:paraId="41959F84" w14:textId="77777777" w:rsidR="007472EF" w:rsidRPr="007472EF" w:rsidRDefault="00FC4E05" w:rsidP="00AA0C05">
      <w:pPr>
        <w:ind w:firstLine="202"/>
        <w:rPr>
          <w:rFonts w:ascii="Times" w:hAnsi="Times"/>
        </w:rPr>
      </w:pPr>
      <w:r w:rsidRPr="007472EF">
        <w:rPr>
          <w:color w:val="000000"/>
        </w:rPr>
        <w:t>The cell</w:t>
      </w:r>
      <w:r w:rsidR="007472EF">
        <w:rPr>
          <w:color w:val="000000"/>
        </w:rPr>
        <w:t xml:space="preserve"> used was an isolated soma displaying HH characteristics. It measured 25um in length, and 25um in diameter. The cytoplasmic resistivity (Ra) was 35.4 </w:t>
      </w:r>
      <w:r w:rsidR="007472EF" w:rsidRPr="007472EF">
        <w:rPr>
          <w:rFonts w:ascii="Times" w:hAnsi="Times"/>
        </w:rPr>
        <w:t>[Ω cm]</w:t>
      </w:r>
    </w:p>
    <w:p w14:paraId="64D251CF" w14:textId="76645EA9" w:rsidR="00AA0C05" w:rsidRDefault="007472EF" w:rsidP="00AA0C05">
      <w:pPr>
        <w:rPr>
          <w:rFonts w:ascii="Times" w:hAnsi="Times"/>
        </w:rPr>
      </w:pPr>
      <w:proofErr w:type="gramStart"/>
      <w:r>
        <w:rPr>
          <w:color w:val="000000"/>
        </w:rPr>
        <w:t>and</w:t>
      </w:r>
      <w:proofErr w:type="gramEnd"/>
      <w:r>
        <w:rPr>
          <w:color w:val="000000"/>
        </w:rPr>
        <w:t xml:space="preserve"> the specific capacitance (Cm) was 1 </w:t>
      </w:r>
      <w:r w:rsidRPr="007472EF">
        <w:rPr>
          <w:rFonts w:ascii="Times" w:hAnsi="Times"/>
        </w:rPr>
        <w:t>[µF/cm</w:t>
      </w:r>
      <w:r w:rsidRPr="007472EF">
        <w:rPr>
          <w:rFonts w:ascii="Times" w:hAnsi="Times"/>
          <w:vertAlign w:val="superscript"/>
        </w:rPr>
        <w:t>2</w:t>
      </w:r>
      <w:r w:rsidRPr="007472EF">
        <w:rPr>
          <w:rFonts w:ascii="Times" w:hAnsi="Times"/>
        </w:rPr>
        <w:t>]</w:t>
      </w:r>
      <w:r w:rsidR="0015652C">
        <w:rPr>
          <w:rFonts w:ascii="Times" w:hAnsi="Times"/>
        </w:rPr>
        <w:t>. Throughout the testing, the other active parameters (</w:t>
      </w:r>
      <w:proofErr w:type="spellStart"/>
      <w:r w:rsidR="0015652C">
        <w:rPr>
          <w:rFonts w:ascii="Times" w:hAnsi="Times"/>
        </w:rPr>
        <w:t>GNa</w:t>
      </w:r>
      <w:proofErr w:type="spellEnd"/>
      <w:r w:rsidR="0015652C">
        <w:rPr>
          <w:rFonts w:ascii="Times" w:hAnsi="Times"/>
        </w:rPr>
        <w:t xml:space="preserve">, </w:t>
      </w:r>
      <w:proofErr w:type="spellStart"/>
      <w:r w:rsidR="0015652C">
        <w:rPr>
          <w:rFonts w:ascii="Times" w:hAnsi="Times"/>
        </w:rPr>
        <w:t>Gk</w:t>
      </w:r>
      <w:proofErr w:type="spellEnd"/>
      <w:r w:rsidR="0015652C">
        <w:rPr>
          <w:rFonts w:ascii="Times" w:hAnsi="Times"/>
        </w:rPr>
        <w:t>, [</w:t>
      </w:r>
      <w:proofErr w:type="gramStart"/>
      <w:r w:rsidR="0015652C">
        <w:rPr>
          <w:rFonts w:ascii="Times" w:hAnsi="Times"/>
        </w:rPr>
        <w:t>K]</w:t>
      </w:r>
      <w:proofErr w:type="spellStart"/>
      <w:r w:rsidR="0015652C">
        <w:rPr>
          <w:rFonts w:ascii="Times" w:hAnsi="Times"/>
        </w:rPr>
        <w:t>ext</w:t>
      </w:r>
      <w:proofErr w:type="spellEnd"/>
      <w:proofErr w:type="gramEnd"/>
      <w:r w:rsidR="0015652C">
        <w:rPr>
          <w:rFonts w:ascii="Times" w:hAnsi="Times"/>
        </w:rPr>
        <w:t>, [K]</w:t>
      </w:r>
      <w:proofErr w:type="spellStart"/>
      <w:r w:rsidR="0015652C">
        <w:rPr>
          <w:rFonts w:ascii="Times" w:hAnsi="Times"/>
        </w:rPr>
        <w:t>int</w:t>
      </w:r>
      <w:proofErr w:type="spellEnd"/>
      <w:r w:rsidR="0015652C">
        <w:rPr>
          <w:rFonts w:ascii="Times" w:hAnsi="Times"/>
        </w:rPr>
        <w:t>) were held constant at .12</w:t>
      </w:r>
      <w:r w:rsidR="00AA0C05" w:rsidRPr="00AA0C05">
        <w:t xml:space="preserve"> </w:t>
      </w:r>
      <w:proofErr w:type="spellStart"/>
      <w:r w:rsidR="00AA0C05">
        <w:rPr>
          <w:rFonts w:ascii="Times" w:hAnsi="Times"/>
        </w:rPr>
        <w:t>mS</w:t>
      </w:r>
      <w:proofErr w:type="spellEnd"/>
      <w:r w:rsidR="00AA0C05">
        <w:rPr>
          <w:rFonts w:ascii="Times" w:hAnsi="Times"/>
        </w:rPr>
        <w:t>/cm</w:t>
      </w:r>
      <w:r w:rsidR="00AA0C05">
        <w:rPr>
          <w:rFonts w:ascii="Times" w:hAnsi="Times"/>
          <w:vertAlign w:val="superscript"/>
        </w:rPr>
        <w:t>2</w:t>
      </w:r>
      <w:r w:rsidR="0015652C">
        <w:rPr>
          <w:rFonts w:ascii="Times" w:hAnsi="Times"/>
        </w:rPr>
        <w:t>, .036</w:t>
      </w:r>
      <w:r w:rsidR="00AA0C05" w:rsidRPr="00AA0C05">
        <w:rPr>
          <w:rFonts w:ascii="Times" w:hAnsi="Times"/>
        </w:rPr>
        <w:t xml:space="preserve"> </w:t>
      </w:r>
      <w:proofErr w:type="spellStart"/>
      <w:r w:rsidR="00AA0C05">
        <w:rPr>
          <w:rFonts w:ascii="Times" w:hAnsi="Times"/>
        </w:rPr>
        <w:t>mS</w:t>
      </w:r>
      <w:proofErr w:type="spellEnd"/>
      <w:r w:rsidR="00AA0C05">
        <w:rPr>
          <w:rFonts w:ascii="Times" w:hAnsi="Times"/>
        </w:rPr>
        <w:t>/cm</w:t>
      </w:r>
      <w:r w:rsidR="00AA0C05">
        <w:rPr>
          <w:rFonts w:ascii="Times" w:hAnsi="Times"/>
          <w:vertAlign w:val="superscript"/>
        </w:rPr>
        <w:t>2</w:t>
      </w:r>
      <w:r w:rsidR="0015652C">
        <w:rPr>
          <w:rFonts w:ascii="Times" w:hAnsi="Times"/>
        </w:rPr>
        <w:t>, 2.5mEq/L, and 54.4mEq/L respectively.</w:t>
      </w:r>
      <w:r w:rsidR="00AA0C05">
        <w:rPr>
          <w:rFonts w:ascii="Times" w:hAnsi="Times"/>
        </w:rPr>
        <w:t xml:space="preserve"> The stimulus we used was a current impulse. We used a 0.1ms in duration 5nA in amplitude pulse.</w:t>
      </w:r>
    </w:p>
    <w:p w14:paraId="3B7BB929" w14:textId="77777777" w:rsidR="002D5356" w:rsidRPr="007472EF" w:rsidRDefault="002D5356" w:rsidP="00AA0C05">
      <w:pPr>
        <w:rPr>
          <w:rFonts w:ascii="Times" w:hAnsi="Times"/>
        </w:rPr>
      </w:pPr>
    </w:p>
    <w:p w14:paraId="78A87D2E" w14:textId="20F31FF3" w:rsidR="007472EF" w:rsidRPr="007472EF" w:rsidRDefault="002D5356" w:rsidP="000B194A">
      <w:pPr>
        <w:ind w:firstLine="270"/>
        <w:rPr>
          <w:color w:val="000000"/>
        </w:rPr>
      </w:pPr>
      <w:r>
        <w:rPr>
          <w:color w:val="000000"/>
        </w:rPr>
        <w:t>We looked at gating variables m, n, and h. These affected the membrane voltage of our electrically small cell. This data was measured over 5ms, which captured the entire waveform.</w:t>
      </w:r>
      <w:r w:rsidR="005D4505" w:rsidRPr="005D4505">
        <w:t xml:space="preserve"> </w:t>
      </w:r>
      <w:r w:rsidR="005D4505">
        <w:t xml:space="preserve">The data was processed in </w:t>
      </w:r>
      <w:proofErr w:type="spellStart"/>
      <w:r w:rsidR="005D4505">
        <w:t>Matlab</w:t>
      </w:r>
      <w:proofErr w:type="spellEnd"/>
      <w:r w:rsidR="005D4505">
        <w:t>.</w:t>
      </w:r>
    </w:p>
    <w:p w14:paraId="6C6E5D8F" w14:textId="5AB894CE" w:rsidR="00C2692F" w:rsidRPr="007472EF" w:rsidRDefault="003B4CE2" w:rsidP="00C2692F">
      <w:pPr>
        <w:pStyle w:val="Heading1"/>
        <w:spacing w:before="120" w:after="120"/>
      </w:pPr>
      <w:r w:rsidRPr="007472EF">
        <w:t>Results</w:t>
      </w:r>
    </w:p>
    <w:p w14:paraId="647104B6" w14:textId="77777777" w:rsidR="00BF1B29" w:rsidRDefault="00E127EF" w:rsidP="00F56A8A">
      <w:pPr>
        <w:pStyle w:val="BodyText"/>
        <w:jc w:val="left"/>
      </w:pPr>
      <w:r>
        <w:t>Data was gathered for [</w:t>
      </w:r>
      <w:proofErr w:type="gramStart"/>
      <w:r>
        <w:t>Na</w:t>
      </w:r>
      <w:r w:rsidR="00F56A8A">
        <w:t>]</w:t>
      </w:r>
      <w:proofErr w:type="spellStart"/>
      <w:r w:rsidR="00F56A8A">
        <w:t>int</w:t>
      </w:r>
      <w:proofErr w:type="spellEnd"/>
      <w:proofErr w:type="gramEnd"/>
      <w:r w:rsidR="00F56A8A">
        <w:t xml:space="preserve"> ranging from 0mEq/L to 280</w:t>
      </w:r>
      <w:r w:rsidR="00BF1B29">
        <w:t>mEq/L.</w:t>
      </w:r>
    </w:p>
    <w:p w14:paraId="36230EC5" w14:textId="77777777" w:rsidR="00BF1B29" w:rsidRDefault="00BF1B29" w:rsidP="00F56A8A">
      <w:pPr>
        <w:pStyle w:val="BodyText"/>
        <w:jc w:val="left"/>
      </w:pPr>
    </w:p>
    <w:p w14:paraId="610830EE" w14:textId="5ECE947B" w:rsidR="00C2692F" w:rsidRDefault="00F56A8A" w:rsidP="00F56A8A">
      <w:pPr>
        <w:pStyle w:val="BodyText"/>
        <w:jc w:val="left"/>
      </w:pPr>
      <w:r>
        <w:t>*****</w:t>
      </w:r>
      <w:r w:rsidR="00E127EF">
        <w:t>The full width of the action potential, time to peak from full width half max</w:t>
      </w:r>
      <w:bookmarkStart w:id="0" w:name="_GoBack"/>
      <w:bookmarkEnd w:id="0"/>
      <w:r w:rsidR="00E127EF">
        <w:t xml:space="preserve">, and the </w:t>
      </w:r>
      <w:r w:rsidR="005D4505">
        <w:t>slope between the base and peak of the potential were measured.</w:t>
      </w:r>
    </w:p>
    <w:p w14:paraId="0360D084" w14:textId="6FBC7617" w:rsidR="005D4505" w:rsidRDefault="005D4505" w:rsidP="00F56A8A">
      <w:pPr>
        <w:pStyle w:val="BodyText"/>
        <w:jc w:val="left"/>
      </w:pPr>
      <w:r>
        <w:t>[</w:t>
      </w:r>
      <w:proofErr w:type="gramStart"/>
      <w:r>
        <w:t>graphs</w:t>
      </w:r>
      <w:proofErr w:type="gramEnd"/>
      <w:r>
        <w:t>]</w:t>
      </w:r>
    </w:p>
    <w:p w14:paraId="47FA5304" w14:textId="77777777" w:rsidR="00F56A8A" w:rsidRDefault="005D4505" w:rsidP="00F56A8A">
      <w:pPr>
        <w:pStyle w:val="BodyText"/>
        <w:jc w:val="left"/>
      </w:pPr>
      <w:r>
        <w:t>[</w:t>
      </w:r>
      <w:proofErr w:type="gramStart"/>
      <w:r>
        <w:t>data</w:t>
      </w:r>
      <w:proofErr w:type="gramEnd"/>
      <w:r>
        <w:t xml:space="preserve"> table]</w:t>
      </w:r>
    </w:p>
    <w:tbl>
      <w:tblPr>
        <w:tblStyle w:val="TableGrid"/>
        <w:tblW w:w="4320" w:type="dxa"/>
        <w:tblInd w:w="288" w:type="dxa"/>
        <w:tblLook w:val="04A0" w:firstRow="1" w:lastRow="0" w:firstColumn="1" w:lastColumn="0" w:noHBand="0" w:noVBand="1"/>
      </w:tblPr>
      <w:tblGrid>
        <w:gridCol w:w="1530"/>
        <w:gridCol w:w="1350"/>
        <w:gridCol w:w="1440"/>
      </w:tblGrid>
      <w:tr w:rsidR="00FA4A37" w14:paraId="67D29714" w14:textId="77777777" w:rsidTr="00BF1B29">
        <w:tc>
          <w:tcPr>
            <w:tcW w:w="1530" w:type="dxa"/>
          </w:tcPr>
          <w:p w14:paraId="129DC3CD" w14:textId="183A7762" w:rsidR="00FA4A37" w:rsidRDefault="00FA4A37" w:rsidP="00F56A8A">
            <w:pPr>
              <w:pStyle w:val="BodyText"/>
              <w:ind w:firstLine="0"/>
              <w:jc w:val="left"/>
            </w:pPr>
            <w:r>
              <w:t>[</w:t>
            </w:r>
            <w:proofErr w:type="gramStart"/>
            <w:r>
              <w:t>Na]</w:t>
            </w:r>
            <w:proofErr w:type="spellStart"/>
            <w:r>
              <w:t>int</w:t>
            </w:r>
            <w:proofErr w:type="spellEnd"/>
            <w:proofErr w:type="gramEnd"/>
            <w:r>
              <w:t xml:space="preserve"> (</w:t>
            </w:r>
            <w:proofErr w:type="spellStart"/>
            <w:r>
              <w:t>mEq</w:t>
            </w:r>
            <w:proofErr w:type="spellEnd"/>
            <w:r>
              <w:t>/L)</w:t>
            </w:r>
          </w:p>
        </w:tc>
        <w:tc>
          <w:tcPr>
            <w:tcW w:w="1350" w:type="dxa"/>
          </w:tcPr>
          <w:p w14:paraId="45B9F25E" w14:textId="1A3A5393" w:rsidR="00FA4A37" w:rsidRDefault="00FA4A37" w:rsidP="00F56A8A">
            <w:pPr>
              <w:pStyle w:val="BodyText"/>
              <w:ind w:firstLine="0"/>
              <w:jc w:val="left"/>
            </w:pPr>
            <w:proofErr w:type="spellStart"/>
            <w:r>
              <w:t>V</w:t>
            </w:r>
            <w:r>
              <w:rPr>
                <w:vertAlign w:val="subscript"/>
              </w:rPr>
              <w:t>Na</w:t>
            </w:r>
            <w:proofErr w:type="spellEnd"/>
            <w:r>
              <w:t xml:space="preserve"> (mV)</w:t>
            </w:r>
          </w:p>
        </w:tc>
        <w:tc>
          <w:tcPr>
            <w:tcW w:w="1440" w:type="dxa"/>
          </w:tcPr>
          <w:p w14:paraId="5377CC47" w14:textId="04ED21E8" w:rsidR="00FA4A37" w:rsidRDefault="00FA4A37" w:rsidP="00F56A8A">
            <w:pPr>
              <w:pStyle w:val="BodyText"/>
              <w:ind w:firstLine="0"/>
              <w:jc w:val="left"/>
            </w:pPr>
            <w:proofErr w:type="spellStart"/>
            <w:r>
              <w:t>V</w:t>
            </w:r>
            <w:r w:rsidRPr="00BF1B29">
              <w:rPr>
                <w:vertAlign w:val="subscript"/>
              </w:rPr>
              <w:t>m</w:t>
            </w:r>
            <w:proofErr w:type="spellEnd"/>
            <w:r>
              <w:t xml:space="preserve"> peak (mV)</w:t>
            </w:r>
          </w:p>
        </w:tc>
      </w:tr>
      <w:tr w:rsidR="00FA4A37" w14:paraId="16539C3A" w14:textId="77777777" w:rsidTr="00BF1B29">
        <w:tc>
          <w:tcPr>
            <w:tcW w:w="1530" w:type="dxa"/>
          </w:tcPr>
          <w:p w14:paraId="14FAC15F" w14:textId="621AD5E5" w:rsidR="00FA4A37" w:rsidRDefault="00FA4A37" w:rsidP="00F56A8A">
            <w:pPr>
              <w:pStyle w:val="BodyText"/>
              <w:ind w:firstLine="0"/>
              <w:jc w:val="left"/>
            </w:pPr>
            <w:r>
              <w:t>1e-12</w:t>
            </w:r>
          </w:p>
        </w:tc>
        <w:tc>
          <w:tcPr>
            <w:tcW w:w="1350" w:type="dxa"/>
          </w:tcPr>
          <w:p w14:paraId="0932842C" w14:textId="5A5A30B3" w:rsidR="00FA4A37" w:rsidRPr="00B852F5" w:rsidRDefault="00FA4A37" w:rsidP="00F56A8A">
            <w:pPr>
              <w:pStyle w:val="BodyText"/>
              <w:ind w:firstLine="0"/>
              <w:jc w:val="left"/>
            </w:pPr>
            <w:r w:rsidRPr="00B852F5">
              <w:t>784.34</w:t>
            </w:r>
          </w:p>
        </w:tc>
        <w:tc>
          <w:tcPr>
            <w:tcW w:w="1440" w:type="dxa"/>
          </w:tcPr>
          <w:p w14:paraId="215EE590" w14:textId="0993E12F" w:rsidR="00FA4A37" w:rsidRPr="00B852F5" w:rsidRDefault="00FA4A37" w:rsidP="00F56A8A">
            <w:pPr>
              <w:pStyle w:val="BodyText"/>
              <w:ind w:firstLine="0"/>
              <w:jc w:val="left"/>
            </w:pPr>
          </w:p>
        </w:tc>
      </w:tr>
      <w:tr w:rsidR="00FA4A37" w14:paraId="5A8750E0" w14:textId="77777777" w:rsidTr="00BF1B29">
        <w:tc>
          <w:tcPr>
            <w:tcW w:w="1530" w:type="dxa"/>
          </w:tcPr>
          <w:p w14:paraId="209D0AA1" w14:textId="1D2E253A" w:rsidR="00FA4A37" w:rsidRDefault="00FA4A37" w:rsidP="00F56A8A">
            <w:pPr>
              <w:pStyle w:val="BodyText"/>
              <w:ind w:firstLine="0"/>
              <w:jc w:val="left"/>
            </w:pPr>
            <w:r>
              <w:t>2</w:t>
            </w:r>
          </w:p>
        </w:tc>
        <w:tc>
          <w:tcPr>
            <w:tcW w:w="1350" w:type="dxa"/>
          </w:tcPr>
          <w:p w14:paraId="4C833902" w14:textId="510B20C3" w:rsidR="00FA4A37" w:rsidRPr="00B852F5" w:rsidRDefault="00FA4A37" w:rsidP="00F56A8A">
            <w:pPr>
              <w:pStyle w:val="BodyText"/>
              <w:ind w:firstLine="0"/>
              <w:jc w:val="left"/>
            </w:pPr>
            <w:r w:rsidRPr="00B852F5">
              <w:t>102.3</w:t>
            </w:r>
          </w:p>
        </w:tc>
        <w:tc>
          <w:tcPr>
            <w:tcW w:w="1440" w:type="dxa"/>
          </w:tcPr>
          <w:p w14:paraId="2F4D9A6C" w14:textId="72053305" w:rsidR="00FA4A37" w:rsidRPr="00B852F5" w:rsidRDefault="00FA4A37" w:rsidP="00F56A8A">
            <w:pPr>
              <w:pStyle w:val="BodyText"/>
              <w:ind w:firstLine="0"/>
              <w:jc w:val="left"/>
            </w:pPr>
          </w:p>
        </w:tc>
      </w:tr>
      <w:tr w:rsidR="00FA4A37" w14:paraId="7967B071" w14:textId="77777777" w:rsidTr="00BF1B29">
        <w:tc>
          <w:tcPr>
            <w:tcW w:w="1530" w:type="dxa"/>
          </w:tcPr>
          <w:p w14:paraId="1436839C" w14:textId="0E56E330" w:rsidR="00FA4A37" w:rsidRDefault="00FA4A37" w:rsidP="00F56A8A">
            <w:pPr>
              <w:pStyle w:val="BodyText"/>
              <w:ind w:firstLine="0"/>
              <w:jc w:val="left"/>
            </w:pPr>
            <w:r>
              <w:t>10</w:t>
            </w:r>
          </w:p>
        </w:tc>
        <w:tc>
          <w:tcPr>
            <w:tcW w:w="1350" w:type="dxa"/>
          </w:tcPr>
          <w:p w14:paraId="5CA1A73F" w14:textId="32F4BB99" w:rsidR="00FA4A37" w:rsidRPr="00B852F5" w:rsidRDefault="00FA4A37" w:rsidP="00F56A8A">
            <w:pPr>
              <w:pStyle w:val="BodyText"/>
              <w:ind w:firstLine="0"/>
              <w:jc w:val="left"/>
            </w:pPr>
            <w:r w:rsidRPr="00B852F5">
              <w:t>63.548</w:t>
            </w:r>
          </w:p>
        </w:tc>
        <w:tc>
          <w:tcPr>
            <w:tcW w:w="1440" w:type="dxa"/>
          </w:tcPr>
          <w:p w14:paraId="145BEA13" w14:textId="612ED4AC" w:rsidR="00FA4A37" w:rsidRPr="00B852F5" w:rsidRDefault="00FA4A37" w:rsidP="00F56A8A">
            <w:pPr>
              <w:pStyle w:val="BodyText"/>
              <w:ind w:firstLine="0"/>
              <w:jc w:val="left"/>
            </w:pPr>
          </w:p>
        </w:tc>
      </w:tr>
      <w:tr w:rsidR="00FA4A37" w14:paraId="4C9AB25A" w14:textId="77777777" w:rsidTr="00BF1B29">
        <w:tc>
          <w:tcPr>
            <w:tcW w:w="1530" w:type="dxa"/>
          </w:tcPr>
          <w:p w14:paraId="19E8D1EB" w14:textId="365655FF" w:rsidR="00FA4A37" w:rsidRDefault="00FA4A37" w:rsidP="00F56A8A">
            <w:pPr>
              <w:pStyle w:val="BodyText"/>
              <w:ind w:firstLine="0"/>
              <w:jc w:val="left"/>
            </w:pPr>
            <w:r>
              <w:t>20</w:t>
            </w:r>
          </w:p>
        </w:tc>
        <w:tc>
          <w:tcPr>
            <w:tcW w:w="1350" w:type="dxa"/>
          </w:tcPr>
          <w:p w14:paraId="6CB6FAC6" w14:textId="71CD9F7E" w:rsidR="00FA4A37" w:rsidRPr="00762463" w:rsidRDefault="00FA4A37" w:rsidP="00F56A8A">
            <w:pPr>
              <w:pStyle w:val="BodyText"/>
              <w:ind w:firstLine="0"/>
              <w:jc w:val="left"/>
            </w:pPr>
            <w:r w:rsidRPr="00762463">
              <w:t>46.857</w:t>
            </w:r>
          </w:p>
        </w:tc>
        <w:tc>
          <w:tcPr>
            <w:tcW w:w="1440" w:type="dxa"/>
          </w:tcPr>
          <w:p w14:paraId="2E057EEF" w14:textId="4099F0C8" w:rsidR="00FA4A37" w:rsidRPr="00762463" w:rsidRDefault="00FA4A37" w:rsidP="00F56A8A">
            <w:pPr>
              <w:pStyle w:val="BodyText"/>
              <w:ind w:firstLine="0"/>
              <w:jc w:val="left"/>
            </w:pPr>
          </w:p>
        </w:tc>
      </w:tr>
      <w:tr w:rsidR="00FA4A37" w14:paraId="1B61610C" w14:textId="77777777" w:rsidTr="00BF1B29">
        <w:tc>
          <w:tcPr>
            <w:tcW w:w="1530" w:type="dxa"/>
          </w:tcPr>
          <w:p w14:paraId="65B90CBF" w14:textId="292DDBE6" w:rsidR="00FA4A37" w:rsidRDefault="00FA4A37" w:rsidP="00F56A8A">
            <w:pPr>
              <w:pStyle w:val="BodyText"/>
              <w:ind w:firstLine="0"/>
              <w:jc w:val="left"/>
            </w:pPr>
            <w:r>
              <w:t>30</w:t>
            </w:r>
          </w:p>
        </w:tc>
        <w:tc>
          <w:tcPr>
            <w:tcW w:w="1350" w:type="dxa"/>
          </w:tcPr>
          <w:p w14:paraId="47C9AAED" w14:textId="786C867A" w:rsidR="00FA4A37" w:rsidRPr="00762463" w:rsidRDefault="00FA4A37" w:rsidP="00F56A8A">
            <w:pPr>
              <w:pStyle w:val="BodyText"/>
              <w:ind w:firstLine="0"/>
              <w:jc w:val="left"/>
            </w:pPr>
            <w:r w:rsidRPr="00762463">
              <w:t>37.094</w:t>
            </w:r>
          </w:p>
        </w:tc>
        <w:tc>
          <w:tcPr>
            <w:tcW w:w="1440" w:type="dxa"/>
          </w:tcPr>
          <w:p w14:paraId="67B957AD" w14:textId="42BF8121" w:rsidR="00FA4A37" w:rsidRPr="00762463" w:rsidRDefault="00FA4A37" w:rsidP="00F56A8A">
            <w:pPr>
              <w:pStyle w:val="BodyText"/>
              <w:ind w:firstLine="0"/>
              <w:jc w:val="left"/>
            </w:pPr>
          </w:p>
        </w:tc>
      </w:tr>
      <w:tr w:rsidR="00FA4A37" w14:paraId="317CD40C" w14:textId="77777777" w:rsidTr="00BF1B29">
        <w:tc>
          <w:tcPr>
            <w:tcW w:w="1530" w:type="dxa"/>
          </w:tcPr>
          <w:p w14:paraId="01D4BBA4" w14:textId="5F59CC3D" w:rsidR="00FA4A37" w:rsidRDefault="00FA4A37" w:rsidP="00F56A8A">
            <w:pPr>
              <w:pStyle w:val="BodyText"/>
              <w:ind w:firstLine="0"/>
              <w:jc w:val="left"/>
            </w:pPr>
            <w:r>
              <w:t>140</w:t>
            </w:r>
          </w:p>
        </w:tc>
        <w:tc>
          <w:tcPr>
            <w:tcW w:w="1350" w:type="dxa"/>
          </w:tcPr>
          <w:p w14:paraId="3EAE3444" w14:textId="766FF120" w:rsidR="00FA4A37" w:rsidRDefault="00FA4A37" w:rsidP="00F56A8A">
            <w:pPr>
              <w:pStyle w:val="BodyText"/>
              <w:ind w:firstLine="0"/>
              <w:jc w:val="left"/>
            </w:pPr>
            <w:r>
              <w:t>0</w:t>
            </w:r>
          </w:p>
        </w:tc>
        <w:tc>
          <w:tcPr>
            <w:tcW w:w="1440" w:type="dxa"/>
          </w:tcPr>
          <w:p w14:paraId="6D6654CC" w14:textId="1EAF1B12" w:rsidR="00FA4A37" w:rsidRDefault="00FA4A37" w:rsidP="00F56A8A">
            <w:pPr>
              <w:pStyle w:val="BodyText"/>
              <w:ind w:firstLine="0"/>
              <w:jc w:val="left"/>
            </w:pPr>
          </w:p>
        </w:tc>
      </w:tr>
      <w:tr w:rsidR="00FA4A37" w14:paraId="0B249D73" w14:textId="77777777" w:rsidTr="00BF1B29">
        <w:tc>
          <w:tcPr>
            <w:tcW w:w="1530" w:type="dxa"/>
          </w:tcPr>
          <w:p w14:paraId="1CDFA136" w14:textId="12FD1728" w:rsidR="00FA4A37" w:rsidRDefault="00FA4A37" w:rsidP="00F56A8A">
            <w:pPr>
              <w:pStyle w:val="BodyText"/>
              <w:ind w:firstLine="0"/>
              <w:jc w:val="left"/>
            </w:pPr>
            <w:r>
              <w:t>280</w:t>
            </w:r>
          </w:p>
        </w:tc>
        <w:tc>
          <w:tcPr>
            <w:tcW w:w="1350" w:type="dxa"/>
          </w:tcPr>
          <w:p w14:paraId="7CFBFE1B" w14:textId="3F824DBD" w:rsidR="00FA4A37" w:rsidRPr="00762463" w:rsidRDefault="00FA4A37" w:rsidP="00F56A8A">
            <w:pPr>
              <w:pStyle w:val="BodyText"/>
              <w:ind w:firstLine="0"/>
              <w:jc w:val="left"/>
            </w:pPr>
            <w:r w:rsidRPr="00762463">
              <w:t>-16.691</w:t>
            </w:r>
          </w:p>
        </w:tc>
        <w:tc>
          <w:tcPr>
            <w:tcW w:w="1440" w:type="dxa"/>
          </w:tcPr>
          <w:p w14:paraId="0EC9AEAD" w14:textId="3C17ED6B" w:rsidR="00FA4A37" w:rsidRPr="00762463" w:rsidRDefault="00FA4A37" w:rsidP="00F56A8A">
            <w:pPr>
              <w:pStyle w:val="BodyText"/>
              <w:ind w:firstLine="0"/>
              <w:jc w:val="left"/>
            </w:pPr>
          </w:p>
        </w:tc>
      </w:tr>
    </w:tbl>
    <w:p w14:paraId="3596A81F" w14:textId="1005C244" w:rsidR="005D4505" w:rsidRDefault="005D4505" w:rsidP="00F56A8A">
      <w:pPr>
        <w:pStyle w:val="BodyText"/>
        <w:jc w:val="left"/>
      </w:pPr>
    </w:p>
    <w:p w14:paraId="4CE1F773" w14:textId="468EED2F" w:rsidR="00FC4E05" w:rsidRPr="007472EF" w:rsidRDefault="005D4505" w:rsidP="00F56A8A">
      <w:pPr>
        <w:pStyle w:val="BodyText"/>
        <w:jc w:val="left"/>
      </w:pPr>
      <w:r>
        <w:t>It was found with____ that ____.</w:t>
      </w:r>
    </w:p>
    <w:p w14:paraId="317678EA" w14:textId="5B7EA571" w:rsidR="003B4CE2" w:rsidRPr="007472EF" w:rsidRDefault="003B4CE2" w:rsidP="003B4CE2">
      <w:pPr>
        <w:pStyle w:val="Heading1"/>
        <w:spacing w:before="120" w:after="120"/>
      </w:pPr>
      <w:r w:rsidRPr="007472EF">
        <w:lastRenderedPageBreak/>
        <w:t>Discussion</w:t>
      </w:r>
    </w:p>
    <w:p w14:paraId="1884E961" w14:textId="749C3F5B" w:rsidR="003B4CE2" w:rsidRDefault="00081797" w:rsidP="00865F61">
      <w:pPr>
        <w:ind w:firstLine="270"/>
      </w:pPr>
      <w:r>
        <w:t xml:space="preserve">We got consistent trends for the peak of </w:t>
      </w:r>
      <w:proofErr w:type="gramStart"/>
      <w:r>
        <w:t>the …….until</w:t>
      </w:r>
      <w:proofErr w:type="gramEnd"/>
      <w:r>
        <w:t xml:space="preserve"> we got to “0”Vm</w:t>
      </w:r>
    </w:p>
    <w:p w14:paraId="2725EA5A" w14:textId="77777777" w:rsidR="00081797" w:rsidRDefault="00081797" w:rsidP="00865F61">
      <w:pPr>
        <w:ind w:firstLine="270"/>
      </w:pPr>
    </w:p>
    <w:p w14:paraId="29377CE6" w14:textId="77777777" w:rsidR="00081797" w:rsidRDefault="00081797" w:rsidP="00865F61">
      <w:pPr>
        <w:ind w:firstLine="270"/>
      </w:pPr>
    </w:p>
    <w:p w14:paraId="50BF3A54" w14:textId="09EEEED4" w:rsidR="00081797" w:rsidRPr="007472EF" w:rsidRDefault="00081797" w:rsidP="00865F61">
      <w:pPr>
        <w:ind w:firstLine="270"/>
      </w:pPr>
      <w:r>
        <w:t>Looked at capacitive current</w:t>
      </w:r>
    </w:p>
    <w:p w14:paraId="284C197A" w14:textId="29098552" w:rsidR="003B4CE2" w:rsidRPr="007472EF" w:rsidRDefault="003B4CE2" w:rsidP="003B4CE2">
      <w:pPr>
        <w:pStyle w:val="Heading1"/>
      </w:pPr>
      <w:r w:rsidRPr="007472EF">
        <w:t>Conclusion</w:t>
      </w:r>
    </w:p>
    <w:p w14:paraId="65DB039B" w14:textId="46CB184B" w:rsidR="00F36B25" w:rsidRPr="007472EF" w:rsidRDefault="00081797" w:rsidP="004C567C">
      <w:pPr>
        <w:pStyle w:val="Text"/>
        <w:ind w:firstLine="270"/>
        <w:jc w:val="left"/>
      </w:pPr>
      <w:r>
        <w:t>Changing the intracellular concentration of sodium directly affected the sodium Nernst</w:t>
      </w:r>
      <w:r w:rsidR="00F36B25" w:rsidRPr="007472EF">
        <w:t xml:space="preserve"> </w:t>
      </w:r>
      <w:r>
        <w:t>potential.</w:t>
      </w:r>
      <w:r w:rsidR="004C567C">
        <w:t xml:space="preserve"> When this was greater than 0, the potential had a typical looking action potential. When the sodium Nernst potential was less than 0m the capacitive current dominated. </w:t>
      </w:r>
      <w:r w:rsidR="00F36B25" w:rsidRPr="007472EF">
        <w:t xml:space="preserve">In further work we would like to investigate the </w:t>
      </w:r>
      <w:r w:rsidR="004C567C">
        <w:t xml:space="preserve">effects of capacitance and </w:t>
      </w:r>
      <w:r w:rsidR="00F36B25" w:rsidRPr="007472EF">
        <w:t>resistivity due to sodium</w:t>
      </w:r>
      <w:r>
        <w:t xml:space="preserve"> concentrations</w:t>
      </w:r>
      <w:r w:rsidR="00F36B25" w:rsidRPr="007472EF">
        <w:t xml:space="preserve"> as well. </w:t>
      </w:r>
    </w:p>
    <w:p w14:paraId="09F6FBDC" w14:textId="77777777" w:rsidR="003B4CE2" w:rsidRPr="007472EF" w:rsidRDefault="003B4CE2" w:rsidP="003B4CE2">
      <w:pPr>
        <w:pStyle w:val="ReferenceHead"/>
      </w:pPr>
      <w:r w:rsidRPr="007472EF">
        <w:t>Acknowledgment</w:t>
      </w:r>
    </w:p>
    <w:p w14:paraId="6328DED1" w14:textId="645CC6DB" w:rsidR="003B4CE2" w:rsidRPr="007472EF" w:rsidRDefault="003B4CE2" w:rsidP="00F56A8A">
      <w:pPr>
        <w:pStyle w:val="Text"/>
        <w:spacing w:after="120" w:line="228" w:lineRule="auto"/>
        <w:ind w:firstLine="288"/>
        <w:jc w:val="left"/>
      </w:pPr>
      <w:r w:rsidRPr="007472EF">
        <w:t xml:space="preserve">Becker and Lee thank Professor Thomas </w:t>
      </w:r>
      <w:proofErr w:type="spellStart"/>
      <w:r w:rsidRPr="007472EF">
        <w:t>Heldt</w:t>
      </w:r>
      <w:proofErr w:type="spellEnd"/>
      <w:r w:rsidRPr="007472EF">
        <w:t xml:space="preserve"> and our teaching assistant Aaron </w:t>
      </w:r>
      <w:proofErr w:type="spellStart"/>
      <w:r w:rsidRPr="007472EF">
        <w:t>Smargon</w:t>
      </w:r>
      <w:proofErr w:type="spellEnd"/>
      <w:r w:rsidRPr="007472EF">
        <w:t xml:space="preserve"> for </w:t>
      </w:r>
      <w:r w:rsidR="007472EF" w:rsidRPr="007472EF">
        <w:t xml:space="preserve">teaching us this material and the </w:t>
      </w:r>
      <w:r w:rsidRPr="007472EF">
        <w:t>review of our proposal and methods.</w:t>
      </w:r>
    </w:p>
    <w:p w14:paraId="31F8E519" w14:textId="77777777" w:rsidR="003B4CE2" w:rsidRPr="007472EF" w:rsidRDefault="003B4CE2" w:rsidP="003B4CE2">
      <w:pPr>
        <w:pStyle w:val="ReferenceHead"/>
      </w:pPr>
      <w:r w:rsidRPr="007472EF">
        <w:t>References</w:t>
      </w:r>
    </w:p>
    <w:p w14:paraId="624F4163" w14:textId="40B4F90B" w:rsidR="00301F96" w:rsidRPr="007472EF" w:rsidRDefault="00301F96" w:rsidP="00301F96">
      <w:pPr>
        <w:numPr>
          <w:ilvl w:val="0"/>
          <w:numId w:val="19"/>
        </w:numPr>
      </w:pPr>
      <w:r w:rsidRPr="007472EF">
        <w:t>Water and Sodium Balance - Endocrine and Metabolic Disorders. Retrieved November 13, 2017, from http://www.merckmanuals.com/professional/endocrine-and-metabolic-disorders/fluid-metabolism/water-and-sodium-balance.</w:t>
      </w:r>
    </w:p>
    <w:p w14:paraId="1EB333BF" w14:textId="77777777" w:rsidR="00865F61" w:rsidRPr="007472EF" w:rsidRDefault="00865F61" w:rsidP="00865F61">
      <w:pPr>
        <w:numPr>
          <w:ilvl w:val="0"/>
          <w:numId w:val="19"/>
        </w:numPr>
      </w:pPr>
      <w:r w:rsidRPr="007472EF">
        <w:t>T.F. Weiss, Cellular Biophysics Volume 2: Electrical Properties, MIT Press: Cambridge, MA, 1996.</w:t>
      </w:r>
    </w:p>
    <w:p w14:paraId="09F10252" w14:textId="77777777" w:rsidR="00CE2570" w:rsidRPr="007472EF" w:rsidRDefault="00CE2570" w:rsidP="00CE2570">
      <w:pPr>
        <w:pStyle w:val="ListParagraph"/>
        <w:numPr>
          <w:ilvl w:val="0"/>
          <w:numId w:val="19"/>
        </w:numPr>
        <w:autoSpaceDE/>
        <w:autoSpaceDN/>
      </w:pPr>
      <w:r w:rsidRPr="007472EF">
        <w:rPr>
          <w:color w:val="303030"/>
          <w:shd w:val="clear" w:color="auto" w:fill="FFFFFF"/>
        </w:rPr>
        <w:t xml:space="preserve">Hernández, O. E., &amp; </w:t>
      </w:r>
      <w:proofErr w:type="spellStart"/>
      <w:r w:rsidRPr="007472EF">
        <w:rPr>
          <w:color w:val="303030"/>
          <w:shd w:val="clear" w:color="auto" w:fill="FFFFFF"/>
        </w:rPr>
        <w:t>Zurek</w:t>
      </w:r>
      <w:proofErr w:type="spellEnd"/>
      <w:r w:rsidRPr="007472EF">
        <w:rPr>
          <w:color w:val="303030"/>
          <w:shd w:val="clear" w:color="auto" w:fill="FFFFFF"/>
        </w:rPr>
        <w:t xml:space="preserve">, E. E. (2013). Teaching and </w:t>
      </w:r>
      <w:proofErr w:type="gramStart"/>
      <w:r w:rsidRPr="007472EF">
        <w:rPr>
          <w:color w:val="303030"/>
          <w:shd w:val="clear" w:color="auto" w:fill="FFFFFF"/>
        </w:rPr>
        <w:t>learning</w:t>
      </w:r>
      <w:proofErr w:type="gramEnd"/>
      <w:r w:rsidRPr="007472EF">
        <w:rPr>
          <w:color w:val="303030"/>
          <w:shd w:val="clear" w:color="auto" w:fill="FFFFFF"/>
        </w:rPr>
        <w:t xml:space="preserve"> the Hodgkin-Huxley model based on software developed in NEURON’s programming language </w:t>
      </w:r>
      <w:r w:rsidRPr="007472EF">
        <w:rPr>
          <w:i/>
          <w:iCs/>
          <w:color w:val="303030"/>
          <w:shd w:val="clear" w:color="auto" w:fill="FFFFFF"/>
        </w:rPr>
        <w:t>hoc</w:t>
      </w:r>
      <w:r w:rsidRPr="007472EF">
        <w:rPr>
          <w:color w:val="303030"/>
          <w:shd w:val="clear" w:color="auto" w:fill="FFFFFF"/>
        </w:rPr>
        <w:t>. </w:t>
      </w:r>
      <w:r w:rsidRPr="007472EF">
        <w:rPr>
          <w:i/>
          <w:iCs/>
          <w:color w:val="303030"/>
          <w:shd w:val="clear" w:color="auto" w:fill="FFFFFF"/>
        </w:rPr>
        <w:t>BMC Medical Education</w:t>
      </w:r>
      <w:r w:rsidRPr="007472EF">
        <w:rPr>
          <w:color w:val="303030"/>
          <w:shd w:val="clear" w:color="auto" w:fill="FFFFFF"/>
        </w:rPr>
        <w:t>, </w:t>
      </w:r>
      <w:r w:rsidRPr="007472EF">
        <w:rPr>
          <w:i/>
          <w:iCs/>
          <w:color w:val="303030"/>
          <w:shd w:val="clear" w:color="auto" w:fill="FFFFFF"/>
        </w:rPr>
        <w:t>13</w:t>
      </w:r>
      <w:r w:rsidRPr="007472EF">
        <w:rPr>
          <w:color w:val="303030"/>
          <w:shd w:val="clear" w:color="auto" w:fill="FFFFFF"/>
        </w:rPr>
        <w:t>, 70. http://doi.org/10.1186/1472-6920-13-70</w:t>
      </w:r>
    </w:p>
    <w:p w14:paraId="51A4D7A0" w14:textId="77777777" w:rsidR="00865F61" w:rsidRPr="007472EF" w:rsidRDefault="00865F61"/>
    <w:sectPr w:rsidR="00865F61" w:rsidRPr="007472EF" w:rsidSect="0015028E">
      <w:headerReference w:type="default" r:id="rId9"/>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A61BE" w14:textId="77777777" w:rsidR="00081797" w:rsidRDefault="00081797">
      <w:r>
        <w:separator/>
      </w:r>
    </w:p>
  </w:endnote>
  <w:endnote w:type="continuationSeparator" w:id="0">
    <w:p w14:paraId="046E4877" w14:textId="77777777" w:rsidR="00081797" w:rsidRDefault="00081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DB704C" w14:textId="77777777" w:rsidR="00081797" w:rsidRDefault="00081797"/>
  </w:footnote>
  <w:footnote w:type="continuationSeparator" w:id="0">
    <w:p w14:paraId="65E71E1D" w14:textId="77777777" w:rsidR="00081797" w:rsidRDefault="00081797">
      <w:r>
        <w:continuationSeparator/>
      </w:r>
    </w:p>
  </w:footnote>
  <w:footnote w:id="1">
    <w:p w14:paraId="3002CCE9" w14:textId="77777777" w:rsidR="00081797" w:rsidRDefault="00081797" w:rsidP="00301F96">
      <w:pPr>
        <w:pStyle w:val="FootnoteText"/>
        <w:ind w:firstLine="0"/>
      </w:pPr>
      <w:r>
        <w:t xml:space="preserve">A. L. Becker (e-mail: abecker@mit.edu). </w:t>
      </w:r>
    </w:p>
    <w:p w14:paraId="483E3FB3" w14:textId="767BCC2D" w:rsidR="00081797" w:rsidRDefault="00081797" w:rsidP="00301F96">
      <w:pPr>
        <w:pStyle w:val="FootnoteText"/>
        <w:ind w:firstLine="0"/>
      </w:pPr>
      <w:r>
        <w:t>E. S. Lee (e-mail: esl1@mit.edu).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CD81E" w14:textId="77777777" w:rsidR="00081797" w:rsidRDefault="00081797">
    <w:pPr>
      <w:framePr w:wrap="auto" w:vAnchor="text" w:hAnchor="margin" w:xAlign="right" w:y="1"/>
    </w:pPr>
  </w:p>
  <w:p w14:paraId="4DFBB41D" w14:textId="77777777" w:rsidR="00081797" w:rsidRDefault="00081797" w:rsidP="00C2692F">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3FB"/>
    <w:rsid w:val="00081797"/>
    <w:rsid w:val="000B194A"/>
    <w:rsid w:val="0015028E"/>
    <w:rsid w:val="0015652C"/>
    <w:rsid w:val="001603FB"/>
    <w:rsid w:val="001A13E6"/>
    <w:rsid w:val="002D5356"/>
    <w:rsid w:val="00301F96"/>
    <w:rsid w:val="003B4CE2"/>
    <w:rsid w:val="004C567C"/>
    <w:rsid w:val="004E000D"/>
    <w:rsid w:val="005D4505"/>
    <w:rsid w:val="007472EF"/>
    <w:rsid w:val="00762463"/>
    <w:rsid w:val="007C713D"/>
    <w:rsid w:val="007F61BC"/>
    <w:rsid w:val="00865F61"/>
    <w:rsid w:val="008F08DE"/>
    <w:rsid w:val="009D197E"/>
    <w:rsid w:val="009D25F2"/>
    <w:rsid w:val="00AA0C05"/>
    <w:rsid w:val="00AA6A4F"/>
    <w:rsid w:val="00B36609"/>
    <w:rsid w:val="00B852F5"/>
    <w:rsid w:val="00BF1B29"/>
    <w:rsid w:val="00C2692F"/>
    <w:rsid w:val="00CE2570"/>
    <w:rsid w:val="00D01553"/>
    <w:rsid w:val="00E127EF"/>
    <w:rsid w:val="00F36B25"/>
    <w:rsid w:val="00F56A8A"/>
    <w:rsid w:val="00FA4A37"/>
    <w:rsid w:val="00FC4E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5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NormalWeb">
    <w:name w:val="Normal (Web)"/>
    <w:basedOn w:val="Normal"/>
    <w:uiPriority w:val="99"/>
    <w:unhideWhenUsed/>
    <w:rsid w:val="00301F96"/>
    <w:pPr>
      <w:autoSpaceDE/>
      <w:autoSpaceDN/>
      <w:spacing w:before="100" w:beforeAutospacing="1" w:after="100" w:afterAutospacing="1"/>
    </w:pPr>
    <w:rPr>
      <w:rFonts w:ascii="Times" w:hAnsi="Times"/>
    </w:rPr>
  </w:style>
  <w:style w:type="paragraph" w:styleId="ListParagraph">
    <w:name w:val="List Paragraph"/>
    <w:basedOn w:val="Normal"/>
    <w:qFormat/>
    <w:rsid w:val="00CE2570"/>
    <w:pPr>
      <w:ind w:left="720"/>
      <w:contextualSpacing/>
    </w:pPr>
  </w:style>
  <w:style w:type="table" w:styleId="TableGrid">
    <w:name w:val="Table Grid"/>
    <w:basedOn w:val="TableNormal"/>
    <w:rsid w:val="00F56A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NormalWeb">
    <w:name w:val="Normal (Web)"/>
    <w:basedOn w:val="Normal"/>
    <w:uiPriority w:val="99"/>
    <w:unhideWhenUsed/>
    <w:rsid w:val="00301F96"/>
    <w:pPr>
      <w:autoSpaceDE/>
      <w:autoSpaceDN/>
      <w:spacing w:before="100" w:beforeAutospacing="1" w:after="100" w:afterAutospacing="1"/>
    </w:pPr>
    <w:rPr>
      <w:rFonts w:ascii="Times" w:hAnsi="Times"/>
    </w:rPr>
  </w:style>
  <w:style w:type="paragraph" w:styleId="ListParagraph">
    <w:name w:val="List Paragraph"/>
    <w:basedOn w:val="Normal"/>
    <w:qFormat/>
    <w:rsid w:val="00CE2570"/>
    <w:pPr>
      <w:ind w:left="720"/>
      <w:contextualSpacing/>
    </w:pPr>
  </w:style>
  <w:style w:type="table" w:styleId="TableGrid">
    <w:name w:val="Table Grid"/>
    <w:basedOn w:val="TableNormal"/>
    <w:rsid w:val="00F56A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22706">
      <w:bodyDiv w:val="1"/>
      <w:marLeft w:val="0"/>
      <w:marRight w:val="0"/>
      <w:marTop w:val="0"/>
      <w:marBottom w:val="0"/>
      <w:divBdr>
        <w:top w:val="none" w:sz="0" w:space="0" w:color="auto"/>
        <w:left w:val="none" w:sz="0" w:space="0" w:color="auto"/>
        <w:bottom w:val="none" w:sz="0" w:space="0" w:color="auto"/>
        <w:right w:val="none" w:sz="0" w:space="0" w:color="auto"/>
      </w:divBdr>
    </w:div>
    <w:div w:id="338703538">
      <w:bodyDiv w:val="1"/>
      <w:marLeft w:val="0"/>
      <w:marRight w:val="0"/>
      <w:marTop w:val="0"/>
      <w:marBottom w:val="0"/>
      <w:divBdr>
        <w:top w:val="none" w:sz="0" w:space="0" w:color="auto"/>
        <w:left w:val="none" w:sz="0" w:space="0" w:color="auto"/>
        <w:bottom w:val="none" w:sz="0" w:space="0" w:color="auto"/>
        <w:right w:val="none" w:sz="0" w:space="0" w:color="auto"/>
      </w:divBdr>
    </w:div>
    <w:div w:id="1117872057">
      <w:bodyDiv w:val="1"/>
      <w:marLeft w:val="0"/>
      <w:marRight w:val="0"/>
      <w:marTop w:val="0"/>
      <w:marBottom w:val="0"/>
      <w:divBdr>
        <w:top w:val="none" w:sz="0" w:space="0" w:color="auto"/>
        <w:left w:val="none" w:sz="0" w:space="0" w:color="auto"/>
        <w:bottom w:val="none" w:sz="0" w:space="0" w:color="auto"/>
        <w:right w:val="none" w:sz="0" w:space="0" w:color="auto"/>
      </w:divBdr>
    </w:div>
    <w:div w:id="1710495536">
      <w:bodyDiv w:val="1"/>
      <w:marLeft w:val="0"/>
      <w:marRight w:val="0"/>
      <w:marTop w:val="0"/>
      <w:marBottom w:val="0"/>
      <w:divBdr>
        <w:top w:val="none" w:sz="0" w:space="0" w:color="auto"/>
        <w:left w:val="none" w:sz="0" w:space="0" w:color="auto"/>
        <w:bottom w:val="none" w:sz="0" w:space="0" w:color="auto"/>
        <w:right w:val="none" w:sz="0" w:space="0" w:color="auto"/>
      </w:divBdr>
    </w:div>
    <w:div w:id="1848980563">
      <w:bodyDiv w:val="1"/>
      <w:marLeft w:val="0"/>
      <w:marRight w:val="0"/>
      <w:marTop w:val="0"/>
      <w:marBottom w:val="0"/>
      <w:divBdr>
        <w:top w:val="none" w:sz="0" w:space="0" w:color="auto"/>
        <w:left w:val="none" w:sz="0" w:space="0" w:color="auto"/>
        <w:bottom w:val="none" w:sz="0" w:space="0" w:color="auto"/>
        <w:right w:val="none" w:sz="0" w:space="0" w:color="auto"/>
      </w:divBdr>
    </w:div>
    <w:div w:id="2057581982">
      <w:bodyDiv w:val="1"/>
      <w:marLeft w:val="0"/>
      <w:marRight w:val="0"/>
      <w:marTop w:val="0"/>
      <w:marBottom w:val="0"/>
      <w:divBdr>
        <w:top w:val="none" w:sz="0" w:space="0" w:color="auto"/>
        <w:left w:val="none" w:sz="0" w:space="0" w:color="auto"/>
        <w:bottom w:val="none" w:sz="0" w:space="0" w:color="auto"/>
        <w:right w:val="none" w:sz="0" w:space="0" w:color="auto"/>
      </w:divBdr>
    </w:div>
    <w:div w:id="214160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becker: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E5C90-AF9A-4D4C-BDA1-5D24E4F71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98</TotalTime>
  <Pages>2</Pages>
  <Words>735</Words>
  <Characters>4191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Amelia Becker</dc:creator>
  <cp:keywords/>
  <cp:lastModifiedBy>Amelia Becker</cp:lastModifiedBy>
  <cp:revision>9</cp:revision>
  <cp:lastPrinted>2012-01-31T04:17:00Z</cp:lastPrinted>
  <dcterms:created xsi:type="dcterms:W3CDTF">2017-12-13T22:24:00Z</dcterms:created>
  <dcterms:modified xsi:type="dcterms:W3CDTF">2017-12-14T04:41:00Z</dcterms:modified>
</cp:coreProperties>
</file>