
<file path=[Content_Types].xml><?xml version="1.0" encoding="utf-8"?>
<Types xmlns="http://schemas.openxmlformats.org/package/2006/content-types">
  <Override PartName="/_rels/.rels" ContentType="application/vnd.openxmlformats-package.relationships+xml"/>
  <Override PartName="/word/settings.xml" ContentType="application/vnd.openxmlformats-officedocument.wordprocessingml.settings+xml"/>
  <Override PartName="/word/_rels/document.xml.rels" ContentType="application/vnd.openxmlformats-package.relationships+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Normal"/>
        <w:pBdr>
          <w:top w:val="nil"/>
          <w:left w:val="nil"/>
          <w:bottom w:val="single" w:sz="4" w:space="1" w:color="00000A"/>
          <w:right w:val="nil"/>
        </w:pBdr>
        <w:jc w:val="center"/>
        <w:rPr>
          <w:b/>
          <w:sz w:val="32"/>
          <w:szCs w:val="32"/>
        </w:rPr>
      </w:pPr>
      <w:r>
        <w:rPr>
          <w:b/>
          <w:sz w:val="32"/>
          <w:szCs w:val="32"/>
        </w:rPr>
        <w:t>Study Configuration Template</w:t>
      </w:r>
    </w:p>
    <w:p>
      <w:pPr>
        <w:pStyle w:val="Normal"/>
        <w:rPr>
          <w:rFonts w:cs="Arial"/>
          <w:b/>
          <w:color w:val="0000FF"/>
          <w:sz w:val="22"/>
          <w:szCs w:val="22"/>
          <w:u w:val="single"/>
        </w:rPr>
      </w:pPr>
      <w:r>
        <w:rPr>
          <w:rFonts w:cs="Arial"/>
          <w:szCs w:val="20"/>
        </w:rPr>
        <w:t xml:space="preserve">See example: </w:t>
      </w:r>
      <w:r>
        <w:rPr>
          <w:rFonts w:cs="Arial"/>
          <w:b/>
          <w:color w:val="0000FF"/>
          <w:sz w:val="22"/>
          <w:szCs w:val="22"/>
          <w:u w:val="single"/>
        </w:rPr>
        <w:t>http://www.ncbi.nlm.nih.gov/projects/gap/cgi-bin/study.cgi?study_id=phs000001.v1.p1</w:t>
      </w:r>
    </w:p>
    <w:p>
      <w:pPr>
        <w:pStyle w:val="Normal"/>
        <w:rPr/>
      </w:pPr>
      <w:r>
        <w:rPr/>
      </w:r>
    </w:p>
    <w:tbl>
      <w:tblPr>
        <w:jc w:val="left"/>
        <w:tblInd w:w="-30" w:type="dxa"/>
        <w:tblBorders>
          <w:top w:val="single" w:sz="4" w:space="0" w:color="00000A"/>
          <w:left w:val="single" w:sz="4" w:space="0" w:color="00000A"/>
          <w:bottom w:val="single" w:sz="4" w:space="0" w:color="00000A"/>
          <w:insideH w:val="single" w:sz="4" w:space="0" w:color="00000A"/>
          <w:right w:val="single" w:sz="4" w:space="0" w:color="00000A"/>
          <w:insideV w:val="single" w:sz="4" w:space="0" w:color="00000A"/>
        </w:tblBorders>
        <w:tblCellMar>
          <w:top w:w="0" w:type="dxa"/>
          <w:left w:w="78" w:type="dxa"/>
          <w:bottom w:w="0" w:type="dxa"/>
          <w:right w:w="108" w:type="dxa"/>
        </w:tblCellMar>
      </w:tblPr>
      <w:tblGrid>
        <w:gridCol w:w="9558"/>
      </w:tblGrid>
      <w:tr>
        <w:trPr>
          <w:trHeight w:val="279" w:hRule="atLeast"/>
          <w:cantSplit w:val="false"/>
        </w:trPr>
        <w:tc>
          <w:tcPr>
            <w:tcW w:w="955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DE9D9" w:val="clear"/>
            <w:tcMar>
              <w:left w:w="78" w:type="dxa"/>
            </w:tcMar>
          </w:tcPr>
          <w:p>
            <w:pPr>
              <w:pStyle w:val="Normal"/>
              <w:rPr>
                <w:b/>
              </w:rPr>
            </w:pPr>
            <w:r>
              <w:rPr>
                <w:b/>
              </w:rPr>
              <w:t xml:space="preserve">Entrez Study Name (character limit is 75 with spaces): a </w:t>
            </w:r>
            <w:r>
              <w:rPr>
                <w:b/>
                <w:u w:val="single"/>
              </w:rPr>
              <w:t>short</w:t>
            </w:r>
            <w:r>
              <w:rPr>
                <w:b/>
              </w:rPr>
              <w:t xml:space="preserve"> study name that will appear in Entrez. The short Study Name should be the same between study versions.</w:t>
            </w:r>
          </w:p>
          <w:p>
            <w:pPr>
              <w:pStyle w:val="Normal"/>
              <w:rPr>
                <w:b/>
                <w:color w:val="0000FF"/>
                <w:sz w:val="22"/>
                <w:szCs w:val="22"/>
              </w:rPr>
            </w:pPr>
            <w:hyperlink r:id="rId2">
              <w:r>
                <w:rPr>
                  <w:rStyle w:val="InternetLink"/>
                  <w:b/>
                  <w:sz w:val="22"/>
                  <w:szCs w:val="22"/>
                </w:rPr>
                <w:t>http://www.ncbi.nlm.nih.gov/sites/entrez?db=gap</w:t>
              </w:r>
            </w:hyperlink>
            <w:r>
              <w:rPr>
                <w:b/>
                <w:color w:val="0000FF"/>
                <w:sz w:val="22"/>
                <w:szCs w:val="22"/>
              </w:rPr>
              <w:t>.</w:t>
            </w:r>
          </w:p>
          <w:p>
            <w:pPr>
              <w:pStyle w:val="Normal"/>
              <w:rPr>
                <w:b/>
                <w:color w:val="0000FF"/>
              </w:rPr>
            </w:pPr>
            <w:r>
              <w:rPr>
                <w:b/>
                <w:color w:val="0000FF"/>
              </w:rPr>
              <w:t>Example: NEI Age-Related Eye Disease Study (AREDS)</w:t>
            </w:r>
          </w:p>
        </w:tc>
      </w:tr>
      <w:tr>
        <w:trPr>
          <w:trHeight w:val="429" w:hRule="atLeast"/>
          <w:cantSplit w:val="false"/>
        </w:trPr>
        <w:tc>
          <w:tcPr>
            <w:tcW w:w="955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tcPr>
          <w:p>
            <w:pPr>
              <w:pStyle w:val="Normal"/>
              <w:rPr/>
            </w:pPr>
            <w:r>
              <w:rPr/>
              <w:t>Harvard Personal Genome Project (Harvard PGP)</w:t>
            </w:r>
          </w:p>
        </w:tc>
      </w:tr>
    </w:tbl>
    <w:p>
      <w:pPr>
        <w:pStyle w:val="Normal"/>
        <w:rPr/>
      </w:pPr>
      <w:r>
        <w:rPr/>
      </w:r>
    </w:p>
    <w:tbl>
      <w:tblPr>
        <w:jc w:val="left"/>
        <w:tblInd w:w="-30" w:type="dxa"/>
        <w:tblBorders>
          <w:top w:val="single" w:sz="4" w:space="0" w:color="00000A"/>
          <w:left w:val="single" w:sz="4" w:space="0" w:color="00000A"/>
          <w:bottom w:val="single" w:sz="4" w:space="0" w:color="00000A"/>
          <w:insideH w:val="single" w:sz="4" w:space="0" w:color="00000A"/>
          <w:right w:val="single" w:sz="4" w:space="0" w:color="00000A"/>
          <w:insideV w:val="single" w:sz="4" w:space="0" w:color="00000A"/>
        </w:tblBorders>
        <w:tblCellMar>
          <w:top w:w="0" w:type="dxa"/>
          <w:left w:w="78" w:type="dxa"/>
          <w:bottom w:w="0" w:type="dxa"/>
          <w:right w:w="108" w:type="dxa"/>
        </w:tblCellMar>
      </w:tblPr>
      <w:tblGrid>
        <w:gridCol w:w="9558"/>
      </w:tblGrid>
      <w:tr>
        <w:trPr>
          <w:trHeight w:val="255" w:hRule="atLeast"/>
          <w:cantSplit w:val="false"/>
        </w:trPr>
        <w:tc>
          <w:tcPr>
            <w:tcW w:w="955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DE9D9" w:val="clear"/>
            <w:tcMar>
              <w:left w:w="78" w:type="dxa"/>
            </w:tcMar>
          </w:tcPr>
          <w:p>
            <w:pPr>
              <w:pStyle w:val="Normal"/>
              <w:rPr>
                <w:b/>
              </w:rPr>
            </w:pPr>
            <w:r>
              <w:rPr>
                <w:b/>
              </w:rPr>
              <w:t>Study Report Name (no character limit): a comprehensive study webpage name that will appear on the upper left hand corner of the study webpage. This name length can be longer than the Entrez Study Name. This name can change between different study versions, since each study version will have a different webpage.</w:t>
            </w:r>
          </w:p>
          <w:p>
            <w:pPr>
              <w:pStyle w:val="Normal"/>
              <w:rPr>
                <w:rStyle w:val="InternetLink"/>
                <w:b/>
                <w:sz w:val="22"/>
                <w:szCs w:val="22"/>
              </w:rPr>
            </w:pPr>
            <w:hyperlink r:id="rId3">
              <w:r>
                <w:rPr>
                  <w:rStyle w:val="InternetLink"/>
                  <w:b/>
                  <w:sz w:val="22"/>
                  <w:szCs w:val="22"/>
                </w:rPr>
                <w:t>http://www.ncbi.nlm.nih.gov/projects/gap/cgi-bin/study.cgi?study_id=phs000001.v1.p1</w:t>
              </w:r>
            </w:hyperlink>
          </w:p>
          <w:p>
            <w:pPr>
              <w:pStyle w:val="Normal"/>
              <w:rPr>
                <w:b/>
                <w:color w:val="0000FF"/>
              </w:rPr>
            </w:pPr>
            <w:r>
              <w:rPr>
                <w:b/>
                <w:color w:val="0000FF"/>
              </w:rPr>
              <w:t>Example: National Eye Institute (NEI) Age-Related Eye Disease Study (AREDS)</w:t>
            </w:r>
          </w:p>
        </w:tc>
      </w:tr>
      <w:tr>
        <w:trPr>
          <w:trHeight w:val="392" w:hRule="atLeast"/>
          <w:cantSplit w:val="false"/>
        </w:trPr>
        <w:tc>
          <w:tcPr>
            <w:tcW w:w="955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tcPr>
          <w:p>
            <w:pPr>
              <w:pStyle w:val="Normal"/>
              <w:rPr/>
            </w:pPr>
            <w:r>
              <w:rPr/>
              <w:t>Harvard Personal Genome Project (Harvard PGP)</w:t>
            </w:r>
          </w:p>
        </w:tc>
      </w:tr>
    </w:tbl>
    <w:p>
      <w:pPr>
        <w:pStyle w:val="Normal"/>
        <w:rPr>
          <w:b/>
        </w:rPr>
      </w:pPr>
      <w:r>
        <w:rPr>
          <w:b/>
        </w:rPr>
      </w:r>
    </w:p>
    <w:tbl>
      <w:tblPr>
        <w:jc w:val="left"/>
        <w:tblInd w:w="-30" w:type="dxa"/>
        <w:tblBorders>
          <w:top w:val="single" w:sz="4" w:space="0" w:color="00000A"/>
          <w:left w:val="single" w:sz="4" w:space="0" w:color="00000A"/>
          <w:bottom w:val="single" w:sz="4" w:space="0" w:color="00000A"/>
          <w:insideH w:val="single" w:sz="4" w:space="0" w:color="00000A"/>
          <w:right w:val="single" w:sz="4" w:space="0" w:color="00000A"/>
          <w:insideV w:val="single" w:sz="4" w:space="0" w:color="00000A"/>
        </w:tblBorders>
        <w:tblCellMar>
          <w:top w:w="0" w:type="dxa"/>
          <w:left w:w="78" w:type="dxa"/>
          <w:bottom w:w="0" w:type="dxa"/>
          <w:right w:w="108" w:type="dxa"/>
        </w:tblCellMar>
      </w:tblPr>
      <w:tblGrid>
        <w:gridCol w:w="9558"/>
      </w:tblGrid>
      <w:tr>
        <w:trPr>
          <w:trHeight w:val="255" w:hRule="atLeast"/>
          <w:cantSplit w:val="false"/>
        </w:trPr>
        <w:tc>
          <w:tcPr>
            <w:tcW w:w="955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DE9D9" w:val="clear"/>
            <w:tcMar>
              <w:left w:w="78" w:type="dxa"/>
            </w:tcMar>
          </w:tcPr>
          <w:p>
            <w:pPr>
              <w:pStyle w:val="Normal"/>
              <w:rPr>
                <w:b/>
              </w:rPr>
            </w:pPr>
            <w:r>
              <w:rPr>
                <w:b/>
              </w:rPr>
              <w:t>Study Type: the study type(s) (Longitudinal, Case-Control, Case Set, Control Set, Parent-Offspring Trios, Cohort, etc).</w:t>
            </w:r>
          </w:p>
        </w:tc>
      </w:tr>
      <w:tr>
        <w:trPr>
          <w:trHeight w:val="255" w:hRule="atLeast"/>
          <w:cantSplit w:val="false"/>
        </w:trPr>
        <w:tc>
          <w:tcPr>
            <w:tcW w:w="955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tcPr>
          <w:p>
            <w:pPr>
              <w:pStyle w:val="Normal"/>
              <w:rPr>
                <w:b/>
              </w:rPr>
            </w:pPr>
            <w:r>
              <w:rPr>
                <w:b/>
              </w:rPr>
              <w:t>Cohort</w:t>
            </w:r>
          </w:p>
        </w:tc>
      </w:tr>
    </w:tbl>
    <w:p>
      <w:pPr>
        <w:pStyle w:val="Normal"/>
        <w:rPr>
          <w:b/>
        </w:rPr>
      </w:pPr>
      <w:r>
        <w:rPr>
          <w:b/>
        </w:rPr>
      </w:r>
    </w:p>
    <w:tbl>
      <w:tblPr>
        <w:jc w:val="left"/>
        <w:tblInd w:w="77" w:type="dxa"/>
        <w:tblBorders>
          <w:top w:val="single" w:sz="4" w:space="0" w:color="00000A"/>
          <w:left w:val="single" w:sz="4" w:space="0" w:color="00000A"/>
          <w:bottom w:val="single" w:sz="4" w:space="0" w:color="00000A"/>
          <w:insideH w:val="single" w:sz="4" w:space="0" w:color="00000A"/>
          <w:right w:val="single" w:sz="4" w:space="0" w:color="00000A"/>
          <w:insideV w:val="single" w:sz="4" w:space="0" w:color="00000A"/>
        </w:tblBorders>
        <w:tblCellMar>
          <w:top w:w="0" w:type="dxa"/>
          <w:left w:w="73" w:type="dxa"/>
          <w:bottom w:w="0" w:type="dxa"/>
          <w:right w:w="108" w:type="dxa"/>
        </w:tblCellMar>
      </w:tblPr>
      <w:tblGrid>
        <w:gridCol w:w="1404"/>
        <w:gridCol w:w="2294"/>
        <w:gridCol w:w="1708"/>
        <w:gridCol w:w="1170"/>
        <w:gridCol w:w="2982"/>
      </w:tblGrid>
      <w:tr>
        <w:trPr>
          <w:trHeight w:val="478" w:hRule="atLeast"/>
          <w:cantSplit w:val="false"/>
        </w:trPr>
        <w:tc>
          <w:tcPr>
            <w:tcW w:w="9558" w:type="dxa"/>
            <w:gridSpan w:val="5"/>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DE9D9" w:val="clear"/>
            <w:tcMar>
              <w:left w:w="73" w:type="dxa"/>
            </w:tcMar>
          </w:tcPr>
          <w:p>
            <w:pPr>
              <w:pStyle w:val="Normal"/>
              <w:rPr>
                <w:b/>
              </w:rPr>
            </w:pPr>
            <w:r>
              <w:rPr>
                <w:b/>
              </w:rPr>
              <w:t xml:space="preserve">Molecular Data: the type, name and version of genotype platform, sequencing platform, arrays and molecular phenotype tools used in this study. </w:t>
            </w:r>
          </w:p>
          <w:p>
            <w:pPr>
              <w:pStyle w:val="Normal"/>
              <w:rPr>
                <w:b/>
              </w:rPr>
            </w:pPr>
            <w:r>
              <w:rPr>
                <w:b/>
              </w:rPr>
              <w:t>Column1     Type</w:t>
            </w:r>
          </w:p>
          <w:p>
            <w:pPr>
              <w:pStyle w:val="Normal"/>
              <w:rPr>
                <w:b/>
              </w:rPr>
            </w:pPr>
            <w:r>
              <w:rPr>
                <w:b/>
              </w:rPr>
              <w:t>Column2     Name and Version (include Version number where applicable)</w:t>
            </w:r>
          </w:p>
          <w:p>
            <w:pPr>
              <w:pStyle w:val="Normal"/>
              <w:rPr>
                <w:b/>
              </w:rPr>
            </w:pPr>
            <w:r>
              <w:rPr>
                <w:b/>
              </w:rPr>
              <w:t>Column3     Vendor</w:t>
            </w:r>
          </w:p>
          <w:p>
            <w:pPr>
              <w:pStyle w:val="Normal"/>
              <w:rPr>
                <w:b/>
              </w:rPr>
            </w:pPr>
            <w:r>
              <w:rPr>
                <w:b/>
              </w:rPr>
              <w:t>Column4     dbSNP Batch ID (if applicable)</w:t>
            </w:r>
          </w:p>
          <w:p>
            <w:pPr>
              <w:pStyle w:val="Normal"/>
              <w:rPr>
                <w:b/>
              </w:rPr>
            </w:pPr>
            <w:r>
              <w:rPr>
                <w:b/>
              </w:rPr>
              <w:t>Column5     Comments</w:t>
            </w:r>
          </w:p>
        </w:tc>
      </w:tr>
      <w:tr>
        <w:trPr>
          <w:trHeight w:val="463" w:hRule="atLeast"/>
          <w:cantSplit w:val="false"/>
        </w:trPr>
        <w:tc>
          <w:tcPr>
            <w:tcW w:w="1404"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D9D9D9" w:val="clear"/>
            <w:tcMar>
              <w:left w:w="73" w:type="dxa"/>
            </w:tcMar>
          </w:tcPr>
          <w:p>
            <w:pPr>
              <w:pStyle w:val="Normal"/>
              <w:rPr>
                <w:b/>
              </w:rPr>
            </w:pPr>
            <w:r>
              <w:rPr>
                <w:b/>
              </w:rPr>
              <w:t>Type</w:t>
            </w:r>
          </w:p>
        </w:tc>
        <w:tc>
          <w:tcPr>
            <w:tcW w:w="2294"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D9D9D9" w:val="clear"/>
            <w:tcMar>
              <w:left w:w="73" w:type="dxa"/>
            </w:tcMar>
          </w:tcPr>
          <w:p>
            <w:pPr>
              <w:pStyle w:val="Normal"/>
              <w:rPr>
                <w:b/>
              </w:rPr>
            </w:pPr>
            <w:r>
              <w:rPr>
                <w:b/>
              </w:rPr>
              <w:t>Name and Version</w:t>
            </w:r>
          </w:p>
        </w:tc>
        <w:tc>
          <w:tcPr>
            <w:tcW w:w="170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D9D9D9" w:val="clear"/>
            <w:tcMar>
              <w:left w:w="73" w:type="dxa"/>
            </w:tcMar>
          </w:tcPr>
          <w:p>
            <w:pPr>
              <w:pStyle w:val="Normal"/>
              <w:rPr>
                <w:b/>
              </w:rPr>
            </w:pPr>
            <w:r>
              <w:rPr>
                <w:b/>
              </w:rPr>
              <w:t>Vendor</w:t>
            </w:r>
          </w:p>
        </w:tc>
        <w:tc>
          <w:tcPr>
            <w:tcW w:w="1170"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D9D9D9" w:val="clear"/>
            <w:tcMar>
              <w:left w:w="73" w:type="dxa"/>
            </w:tcMar>
          </w:tcPr>
          <w:p>
            <w:pPr>
              <w:pStyle w:val="Normal"/>
              <w:rPr>
                <w:b/>
              </w:rPr>
            </w:pPr>
            <w:r>
              <w:rPr>
                <w:b/>
              </w:rPr>
              <w:t>dbSNP Batch ID</w:t>
            </w:r>
          </w:p>
        </w:tc>
        <w:tc>
          <w:tcPr>
            <w:tcW w:w="2982"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D9D9D9" w:val="clear"/>
            <w:tcMar>
              <w:left w:w="73" w:type="dxa"/>
            </w:tcMar>
          </w:tcPr>
          <w:p>
            <w:pPr>
              <w:pStyle w:val="Normal"/>
              <w:rPr>
                <w:b/>
              </w:rPr>
            </w:pPr>
            <w:r>
              <w:rPr>
                <w:b/>
              </w:rPr>
              <w:t>Comments</w:t>
            </w:r>
          </w:p>
        </w:tc>
      </w:tr>
      <w:tr>
        <w:trPr>
          <w:trHeight w:val="463" w:hRule="atLeast"/>
          <w:cantSplit w:val="false"/>
        </w:trPr>
        <w:tc>
          <w:tcPr>
            <w:tcW w:w="1404"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3" w:type="dxa"/>
            </w:tcMar>
            <w:vAlign w:val="center"/>
          </w:tcPr>
          <w:p>
            <w:pPr>
              <w:pStyle w:val="Normal"/>
              <w:rPr/>
            </w:pPr>
            <w:r>
              <w:rPr/>
              <w:t>SNP</w:t>
            </w:r>
          </w:p>
        </w:tc>
        <w:tc>
          <w:tcPr>
            <w:tcW w:w="2294"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DE9D9" w:val="clear"/>
            <w:tcMar>
              <w:left w:w="73" w:type="dxa"/>
            </w:tcMar>
            <w:vAlign w:val="center"/>
          </w:tcPr>
          <w:p>
            <w:pPr>
              <w:pStyle w:val="Normal"/>
              <w:rPr/>
            </w:pPr>
            <w:r>
              <w:rPr/>
              <w:t>Various</w:t>
            </w:r>
          </w:p>
        </w:tc>
        <w:tc>
          <w:tcPr>
            <w:tcW w:w="170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3" w:type="dxa"/>
            </w:tcMar>
            <w:vAlign w:val="center"/>
          </w:tcPr>
          <w:p>
            <w:pPr>
              <w:pStyle w:val="Normal"/>
              <w:rPr/>
            </w:pPr>
            <w:r>
              <w:rPr/>
              <w:t>23andMe</w:t>
            </w:r>
          </w:p>
        </w:tc>
        <w:tc>
          <w:tcPr>
            <w:tcW w:w="1170"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3" w:type="dxa"/>
            </w:tcMar>
            <w:vAlign w:val="center"/>
          </w:tcPr>
          <w:p>
            <w:pPr>
              <w:pStyle w:val="Normal"/>
              <w:jc w:val="center"/>
              <w:rPr/>
            </w:pPr>
            <w:r>
              <w:rPr/>
              <w:t>N/A</w:t>
            </w:r>
          </w:p>
        </w:tc>
        <w:tc>
          <w:tcPr>
            <w:tcW w:w="2982"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3" w:type="dxa"/>
            </w:tcMar>
            <w:vAlign w:val="center"/>
          </w:tcPr>
          <w:p>
            <w:pPr>
              <w:pStyle w:val="Normal"/>
              <w:rPr/>
            </w:pPr>
            <w:r>
              <w:rPr/>
              <w:t>User downloaded from 23andMe.com and submitted to the PGP.  Each file has the date downloaded in the header.</w:t>
            </w:r>
          </w:p>
        </w:tc>
      </w:tr>
      <w:tr>
        <w:trPr>
          <w:trHeight w:val="463" w:hRule="atLeast"/>
          <w:cantSplit w:val="false"/>
        </w:trPr>
        <w:tc>
          <w:tcPr>
            <w:tcW w:w="1404"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3" w:type="dxa"/>
            </w:tcMar>
            <w:vAlign w:val="center"/>
          </w:tcPr>
          <w:p>
            <w:pPr>
              <w:pStyle w:val="Normal"/>
              <w:rPr/>
            </w:pPr>
            <w:r>
              <w:rPr/>
              <w:t>Whole Genome Sequencing</w:t>
            </w:r>
          </w:p>
        </w:tc>
        <w:tc>
          <w:tcPr>
            <w:tcW w:w="2294"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DE9D9" w:val="clear"/>
            <w:tcMar>
              <w:left w:w="73" w:type="dxa"/>
            </w:tcMar>
            <w:vAlign w:val="center"/>
          </w:tcPr>
          <w:p>
            <w:pPr>
              <w:pStyle w:val="Normal"/>
              <w:rPr/>
            </w:pPr>
            <w:r>
              <w:rPr/>
              <w:t>Version 2.5.0</w:t>
            </w:r>
          </w:p>
        </w:tc>
        <w:tc>
          <w:tcPr>
            <w:tcW w:w="170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3" w:type="dxa"/>
            </w:tcMar>
            <w:vAlign w:val="center"/>
          </w:tcPr>
          <w:p>
            <w:pPr>
              <w:pStyle w:val="Normal"/>
              <w:rPr/>
            </w:pPr>
            <w:r>
              <w:rPr/>
              <w:t>Complete Genomics Incorporated</w:t>
            </w:r>
          </w:p>
        </w:tc>
        <w:tc>
          <w:tcPr>
            <w:tcW w:w="1170"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3" w:type="dxa"/>
            </w:tcMar>
            <w:vAlign w:val="center"/>
          </w:tcPr>
          <w:p>
            <w:pPr>
              <w:pStyle w:val="Normal"/>
              <w:jc w:val="center"/>
              <w:rPr/>
            </w:pPr>
            <w:r>
              <w:rPr/>
              <w:t>N/A</w:t>
            </w:r>
          </w:p>
        </w:tc>
        <w:tc>
          <w:tcPr>
            <w:tcW w:w="2982"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3" w:type="dxa"/>
            </w:tcMar>
            <w:vAlign w:val="center"/>
          </w:tcPr>
          <w:p>
            <w:pPr>
              <w:pStyle w:val="Normal"/>
              <w:rPr/>
            </w:pPr>
            <w:r>
              <w:rPr/>
            </w:r>
          </w:p>
        </w:tc>
      </w:tr>
    </w:tbl>
    <w:p>
      <w:pPr>
        <w:pStyle w:val="Normal"/>
        <w:rPr>
          <w:b/>
        </w:rPr>
      </w:pPr>
      <w:r>
        <w:rPr>
          <w:b/>
        </w:rPr>
      </w:r>
    </w:p>
    <w:tbl>
      <w:tblPr>
        <w:jc w:val="left"/>
        <w:tblInd w:w="-30" w:type="dxa"/>
        <w:tblBorders>
          <w:top w:val="single" w:sz="4" w:space="0" w:color="00000A"/>
          <w:left w:val="single" w:sz="4" w:space="0" w:color="00000A"/>
          <w:bottom w:val="single" w:sz="4" w:space="0" w:color="00000A"/>
          <w:insideH w:val="single" w:sz="4" w:space="0" w:color="00000A"/>
          <w:right w:val="single" w:sz="4" w:space="0" w:color="00000A"/>
          <w:insideV w:val="single" w:sz="4" w:space="0" w:color="00000A"/>
        </w:tblBorders>
        <w:tblCellMar>
          <w:top w:w="0" w:type="dxa"/>
          <w:left w:w="78" w:type="dxa"/>
          <w:bottom w:w="0" w:type="dxa"/>
          <w:right w:w="108" w:type="dxa"/>
        </w:tblCellMar>
      </w:tblPr>
      <w:tblGrid>
        <w:gridCol w:w="9558"/>
      </w:tblGrid>
      <w:tr>
        <w:trPr>
          <w:trHeight w:val="255" w:hRule="atLeast"/>
          <w:cantSplit w:val="false"/>
        </w:trPr>
        <w:tc>
          <w:tcPr>
            <w:tcW w:w="955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DE9D9" w:val="clear"/>
            <w:tcMar>
              <w:left w:w="78" w:type="dxa"/>
            </w:tcMar>
          </w:tcPr>
          <w:p>
            <w:pPr>
              <w:pStyle w:val="Normal"/>
              <w:rPr>
                <w:b/>
              </w:rPr>
            </w:pPr>
            <w:r>
              <w:rPr>
                <w:b/>
              </w:rPr>
              <w:t>Study URL: the study URL(s) if applicable.</w:t>
            </w:r>
          </w:p>
        </w:tc>
      </w:tr>
      <w:tr>
        <w:trPr>
          <w:trHeight w:val="392" w:hRule="atLeast"/>
          <w:cantSplit w:val="false"/>
        </w:trPr>
        <w:tc>
          <w:tcPr>
            <w:tcW w:w="955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tcPr>
          <w:p>
            <w:pPr>
              <w:pStyle w:val="Normal"/>
              <w:rPr/>
            </w:pPr>
            <w:r>
              <w:fldChar w:fldCharType="begin">
                <w:ffData>
                  <w:name w:val="__Fieldmark__3416_936430282"/>
                  <w:enabled/>
                  <w:calcOnExit w:val="0"/>
                </w:ffData>
              </w:fldChar>
            </w:r>
            <w:r>
              <w:instrText> FORMTEXT </w:instrText>
            </w:r>
            <w:r>
              <w:fldChar w:fldCharType="separate"/>
            </w:r>
            <w:bookmarkStart w:id="0" w:name="__Fieldmark__3416_936430282"/>
            <w:bookmarkStart w:id="1" w:name="__Fieldmark__2052_936430282"/>
            <w:bookmarkStart w:id="2" w:name="__Fieldmark__107_708909395"/>
            <w:bookmarkStart w:id="3" w:name="__Fieldmark__106_2101262417"/>
            <w:bookmarkStart w:id="4" w:name="Text9"/>
            <w:bookmarkStart w:id="5" w:name="__Fieldmark__101_871460628"/>
            <w:bookmarkStart w:id="6" w:name="__Fieldmark__1377_936430282"/>
            <w:bookmarkStart w:id="7" w:name="__Fieldmark__3416_936430282"/>
            <w:bookmarkEnd w:id="1"/>
            <w:bookmarkEnd w:id="2"/>
            <w:bookmarkEnd w:id="3"/>
            <w:bookmarkEnd w:id="4"/>
            <w:bookmarkEnd w:id="5"/>
            <w:bookmarkEnd w:id="6"/>
            <w:bookmarkEnd w:id="7"/>
            <w:r>
              <w:rPr/>
            </w:r>
            <w:bookmarkStart w:id="8" w:name="Text911"/>
            <w:r>
              <w:rPr/>
              <w:t>     http://www.personalgenomes.org/</w:t>
            </w:r>
            <w:bookmarkStart w:id="9" w:name="__Fieldmark__2052_9364302821"/>
            <w:bookmarkStart w:id="10" w:name="__Fieldmark__107_7089093951"/>
            <w:bookmarkStart w:id="11" w:name="__Fieldmark__106_21012624171"/>
            <w:bookmarkStart w:id="12" w:name="Text91"/>
            <w:bookmarkStart w:id="13" w:name="__Fieldmark__101_8714606281"/>
            <w:bookmarkStart w:id="14" w:name="__Fieldmark__1377_9364302821"/>
            <w:bookmarkStart w:id="15" w:name="__Fieldmark__3416_936430282"/>
            <w:bookmarkEnd w:id="8"/>
            <w:bookmarkEnd w:id="9"/>
            <w:bookmarkEnd w:id="10"/>
            <w:bookmarkEnd w:id="11"/>
            <w:bookmarkEnd w:id="12"/>
            <w:bookmarkEnd w:id="13"/>
            <w:bookmarkEnd w:id="14"/>
            <w:bookmarkEnd w:id="15"/>
            <w:r>
              <w:rPr/>
            </w:r>
            <w:r>
              <w:fldChar w:fldCharType="end"/>
            </w:r>
          </w:p>
        </w:tc>
      </w:tr>
    </w:tbl>
    <w:p>
      <w:pPr>
        <w:pStyle w:val="Normal"/>
        <w:rPr>
          <w:b/>
        </w:rPr>
      </w:pPr>
      <w:r>
        <w:rPr>
          <w:b/>
        </w:rPr>
      </w:r>
    </w:p>
    <w:tbl>
      <w:tblPr>
        <w:jc w:val="left"/>
        <w:tblInd w:w="-30" w:type="dxa"/>
        <w:tblBorders>
          <w:top w:val="single" w:sz="4" w:space="0" w:color="00000A"/>
          <w:left w:val="single" w:sz="4" w:space="0" w:color="00000A"/>
          <w:bottom w:val="single" w:sz="4" w:space="0" w:color="00000A"/>
          <w:insideH w:val="single" w:sz="4" w:space="0" w:color="00000A"/>
          <w:right w:val="single" w:sz="4" w:space="0" w:color="00000A"/>
          <w:insideV w:val="single" w:sz="4" w:space="0" w:color="00000A"/>
        </w:tblBorders>
        <w:tblCellMar>
          <w:top w:w="0" w:type="dxa"/>
          <w:left w:w="78" w:type="dxa"/>
          <w:bottom w:w="0" w:type="dxa"/>
          <w:right w:w="108" w:type="dxa"/>
        </w:tblCellMar>
      </w:tblPr>
      <w:tblGrid>
        <w:gridCol w:w="9558"/>
      </w:tblGrid>
      <w:tr>
        <w:trPr>
          <w:trHeight w:val="255" w:hRule="atLeast"/>
          <w:cantSplit w:val="false"/>
        </w:trPr>
        <w:tc>
          <w:tcPr>
            <w:tcW w:w="955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DE9D9" w:val="clear"/>
            <w:tcMar>
              <w:left w:w="78" w:type="dxa"/>
            </w:tcMar>
          </w:tcPr>
          <w:p>
            <w:pPr>
              <w:pStyle w:val="Normal"/>
              <w:rPr>
                <w:b/>
              </w:rPr>
            </w:pPr>
            <w:r>
              <w:rPr>
                <w:b/>
              </w:rPr>
              <w:t>Study Logo: the URL(s) to link the logo(s) (required if logo(s) are submitted).</w:t>
            </w:r>
          </w:p>
        </w:tc>
      </w:tr>
      <w:tr>
        <w:trPr>
          <w:trHeight w:val="392" w:hRule="atLeast"/>
          <w:cantSplit w:val="false"/>
        </w:trPr>
        <w:tc>
          <w:tcPr>
            <w:tcW w:w="955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tcPr>
          <w:p>
            <w:pPr>
              <w:pStyle w:val="Normal"/>
              <w:rPr/>
            </w:pPr>
            <w:r>
              <w:rPr/>
              <w:t>http://www.personalgenomes.org/static/img/pgp-logo-only-color-transp.png</w:t>
            </w:r>
          </w:p>
        </w:tc>
      </w:tr>
    </w:tbl>
    <w:p>
      <w:pPr>
        <w:pStyle w:val="Normal"/>
        <w:rPr>
          <w:b/>
        </w:rPr>
      </w:pPr>
      <w:r>
        <w:rPr>
          <w:b/>
        </w:rPr>
      </w:r>
    </w:p>
    <w:tbl>
      <w:tblPr>
        <w:jc w:val="left"/>
        <w:tblInd w:w="-30" w:type="dxa"/>
        <w:tblBorders>
          <w:top w:val="single" w:sz="4" w:space="0" w:color="00000A"/>
          <w:left w:val="single" w:sz="4" w:space="0" w:color="00000A"/>
          <w:bottom w:val="single" w:sz="4" w:space="0" w:color="00000A"/>
          <w:insideH w:val="single" w:sz="4" w:space="0" w:color="00000A"/>
          <w:right w:val="single" w:sz="4" w:space="0" w:color="00000A"/>
          <w:insideV w:val="single" w:sz="4" w:space="0" w:color="00000A"/>
        </w:tblBorders>
        <w:tblCellMar>
          <w:top w:w="0" w:type="dxa"/>
          <w:left w:w="78" w:type="dxa"/>
          <w:bottom w:w="0" w:type="dxa"/>
          <w:right w:w="108" w:type="dxa"/>
        </w:tblCellMar>
      </w:tblPr>
      <w:tblGrid>
        <w:gridCol w:w="9558"/>
      </w:tblGrid>
      <w:tr>
        <w:trPr>
          <w:trHeight w:val="467" w:hRule="atLeast"/>
          <w:cantSplit w:val="false"/>
        </w:trPr>
        <w:tc>
          <w:tcPr>
            <w:tcW w:w="955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DE9D9" w:val="clear"/>
            <w:tcMar>
              <w:left w:w="78" w:type="dxa"/>
            </w:tcMar>
          </w:tcPr>
          <w:p>
            <w:pPr>
              <w:pStyle w:val="Normal"/>
              <w:rPr>
                <w:b/>
              </w:rPr>
            </w:pPr>
            <w:r>
              <w:rPr>
                <w:b/>
              </w:rPr>
              <w:t>Description</w:t>
            </w:r>
            <w:r>
              <w:rPr/>
              <w:t xml:space="preserve">: </w:t>
            </w:r>
            <w:r>
              <w:rPr>
                <w:b/>
              </w:rPr>
              <w:t>an original summary description of the study.  If the description is taken verbatim from a published or soon to be published article, please submit copyright permission from the Journal. Summaries with copyrighted material must include the following within the description: “Reprinted from [Article Citation], with permission from [Publisher].”</w:t>
            </w:r>
          </w:p>
        </w:tc>
      </w:tr>
      <w:tr>
        <w:trPr>
          <w:trHeight w:val="2978" w:hRule="atLeast"/>
          <w:cantSplit w:val="false"/>
        </w:trPr>
        <w:tc>
          <w:tcPr>
            <w:tcW w:w="955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tcPr>
          <w:p>
            <w:pPr>
              <w:pStyle w:val="Normal"/>
              <w:rPr/>
            </w:pPr>
            <w:r>
              <w:rPr/>
              <w:t xml:space="preserve">The </w:t>
            </w:r>
            <w:r>
              <w:rPr>
                <w:b/>
              </w:rPr>
              <w:t>Personal Genome Project</w:t>
            </w:r>
            <w:r>
              <w:rPr/>
              <w:t xml:space="preserve"> (PGP) is a long term, large cohort study which aims to sequence and publicize the complete genomes and medical records of 100,000 volunteers, in order to enable research into personal genomics and personalized medicine.</w:t>
            </w:r>
          </w:p>
          <w:p>
            <w:pPr>
              <w:pStyle w:val="Normal"/>
              <w:rPr/>
            </w:pPr>
            <w:r>
              <w:rPr/>
            </w:r>
          </w:p>
          <w:p>
            <w:pPr>
              <w:pStyle w:val="Normal"/>
              <w:rPr/>
            </w:pPr>
            <w:r>
              <w:rPr/>
              <w:t xml:space="preserve">Reprinted from </w:t>
            </w:r>
            <w:hyperlink r:id="rId4">
              <w:r>
                <w:rPr>
                  <w:rStyle w:val="InternetLink"/>
                </w:rPr>
                <w:t>http://en.wikipedia.org/wiki/Personal_Genome_Projec</w:t>
              </w:r>
            </w:hyperlink>
            <w:hyperlink r:id="rId5">
              <w:r>
                <w:rPr>
                  <w:rStyle w:val="InternetLink"/>
                </w:rPr>
                <w:t>t</w:t>
              </w:r>
            </w:hyperlink>
            <w:r>
              <w:rPr/>
              <w:t xml:space="preserve">, text is available under the </w:t>
            </w:r>
            <w:hyperlink r:id="rId6">
              <w:r>
                <w:rPr>
                  <w:rStyle w:val="InternetLink"/>
                </w:rPr>
                <w:t>Creative Commons Attribution-ShareAlike License</w:t>
              </w:r>
            </w:hyperlink>
            <w:r>
              <w:rPr/>
              <w:t>.</w:t>
            </w:r>
          </w:p>
        </w:tc>
      </w:tr>
    </w:tbl>
    <w:p>
      <w:pPr>
        <w:pStyle w:val="Normal"/>
        <w:rPr/>
      </w:pPr>
      <w:r>
        <w:rPr/>
      </w:r>
    </w:p>
    <w:p>
      <w:pPr>
        <w:pStyle w:val="Normal"/>
        <w:rPr/>
      </w:pPr>
      <w:r>
        <w:rPr/>
      </w:r>
    </w:p>
    <w:tbl>
      <w:tblPr>
        <w:jc w:val="left"/>
        <w:tblInd w:w="-30" w:type="dxa"/>
        <w:tblBorders>
          <w:top w:val="single" w:sz="4" w:space="0" w:color="00000A"/>
          <w:left w:val="single" w:sz="4" w:space="0" w:color="00000A"/>
          <w:bottom w:val="single" w:sz="4" w:space="0" w:color="00000A"/>
          <w:insideH w:val="single" w:sz="4" w:space="0" w:color="00000A"/>
          <w:right w:val="single" w:sz="4" w:space="0" w:color="00000A"/>
          <w:insideV w:val="single" w:sz="4" w:space="0" w:color="00000A"/>
        </w:tblBorders>
        <w:tblCellMar>
          <w:top w:w="0" w:type="dxa"/>
          <w:left w:w="78" w:type="dxa"/>
          <w:bottom w:w="0" w:type="dxa"/>
          <w:right w:w="108" w:type="dxa"/>
        </w:tblCellMar>
      </w:tblPr>
      <w:tblGrid>
        <w:gridCol w:w="9558"/>
      </w:tblGrid>
      <w:tr>
        <w:trPr>
          <w:trHeight w:val="626" w:hRule="atLeast"/>
          <w:cantSplit w:val="false"/>
        </w:trPr>
        <w:tc>
          <w:tcPr>
            <w:tcW w:w="955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DE9D9" w:val="clear"/>
            <w:tcMar>
              <w:left w:w="78" w:type="dxa"/>
            </w:tcMar>
          </w:tcPr>
          <w:p>
            <w:pPr>
              <w:pStyle w:val="Normal"/>
              <w:rPr>
                <w:b/>
              </w:rPr>
            </w:pPr>
            <w:r>
              <w:rPr>
                <w:b/>
              </w:rPr>
              <w:t>Inclusion/Exclusion Criteria: the inclusion and exclusion criteria for cases, controls, trios, and study participants as applicable.</w:t>
            </w:r>
          </w:p>
        </w:tc>
      </w:tr>
      <w:tr>
        <w:trPr>
          <w:trHeight w:val="4682" w:hRule="atLeast"/>
          <w:cantSplit w:val="false"/>
        </w:trPr>
        <w:tc>
          <w:tcPr>
            <w:tcW w:w="955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tcPr>
          <w:p>
            <w:pPr>
              <w:pStyle w:val="Normal"/>
              <w:rPr/>
            </w:pPr>
            <w:r>
              <w:rPr/>
              <w:t>Participants fulfill the following requirements:</w:t>
            </w:r>
          </w:p>
          <w:p>
            <w:pPr>
              <w:pStyle w:val="Normal"/>
              <w:rPr/>
            </w:pPr>
            <w:r>
              <w:rPr/>
            </w:r>
          </w:p>
          <w:p>
            <w:pPr>
              <w:pStyle w:val="TextBody"/>
              <w:rPr/>
            </w:pPr>
            <w:r>
              <w:rPr/>
              <w:t xml:space="preserve">- Willing to share genetic, health and trait data in a public and non-anonymous manner. </w:t>
            </w:r>
          </w:p>
          <w:p>
            <w:pPr>
              <w:pStyle w:val="TextBody"/>
              <w:rPr/>
            </w:pPr>
            <w:r>
              <w:rPr/>
              <w:t xml:space="preserve">- United States citizen or permanent resident. </w:t>
            </w:r>
          </w:p>
          <w:p>
            <w:pPr>
              <w:pStyle w:val="TextBody"/>
              <w:rPr/>
            </w:pPr>
            <w:r>
              <w:rPr/>
              <w:t>- At least 21 years of age.</w:t>
            </w:r>
          </w:p>
          <w:p>
            <w:pPr>
              <w:pStyle w:val="TextBody"/>
              <w:rPr/>
            </w:pPr>
            <w:r>
              <w:rPr/>
              <w:t>- Capable of giving autonomous consent. We do not permit enrollment through legal guardianship, for example.</w:t>
            </w:r>
          </w:p>
          <w:p>
            <w:pPr>
              <w:pStyle w:val="TextBody"/>
              <w:rPr/>
            </w:pPr>
            <w:r>
              <w:rPr/>
              <w:t>- Current employees and students of the principal investigator (George Church) are not eligible.</w:t>
            </w:r>
          </w:p>
          <w:p>
            <w:pPr>
              <w:pStyle w:val="TextBody"/>
              <w:rPr/>
            </w:pPr>
            <w:r>
              <w:rPr/>
              <w:t xml:space="preserve">- Identical (monozygotic) twins are welcome, but both twins must complete the enrollment process to be eligible. </w:t>
            </w:r>
          </w:p>
          <w:p>
            <w:pPr>
              <w:pStyle w:val="Normal"/>
              <w:rPr/>
            </w:pPr>
            <w:r>
              <w:rPr/>
            </w:r>
          </w:p>
        </w:tc>
      </w:tr>
    </w:tbl>
    <w:p>
      <w:pPr>
        <w:pStyle w:val="Normal"/>
        <w:rPr/>
      </w:pPr>
      <w:r>
        <w:rPr/>
      </w:r>
    </w:p>
    <w:tbl>
      <w:tblPr>
        <w:jc w:val="left"/>
        <w:tblInd w:w="-30" w:type="dxa"/>
        <w:tblBorders>
          <w:top w:val="single" w:sz="4" w:space="0" w:color="00000A"/>
          <w:left w:val="single" w:sz="4" w:space="0" w:color="00000A"/>
          <w:bottom w:val="single" w:sz="4" w:space="0" w:color="00000A"/>
          <w:insideH w:val="single" w:sz="4" w:space="0" w:color="00000A"/>
          <w:right w:val="single" w:sz="4" w:space="0" w:color="00000A"/>
          <w:insideV w:val="single" w:sz="4" w:space="0" w:color="00000A"/>
        </w:tblBorders>
        <w:tblCellMar>
          <w:top w:w="0" w:type="dxa"/>
          <w:left w:w="78" w:type="dxa"/>
          <w:bottom w:w="0" w:type="dxa"/>
          <w:right w:w="108" w:type="dxa"/>
        </w:tblCellMar>
      </w:tblPr>
      <w:tblGrid>
        <w:gridCol w:w="9558"/>
      </w:tblGrid>
      <w:tr>
        <w:trPr>
          <w:trHeight w:val="255" w:hRule="atLeast"/>
          <w:cantSplit w:val="false"/>
        </w:trPr>
        <w:tc>
          <w:tcPr>
            <w:tcW w:w="955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DE9D9" w:val="clear"/>
            <w:tcMar>
              <w:left w:w="78" w:type="dxa"/>
            </w:tcMar>
          </w:tcPr>
          <w:p>
            <w:pPr>
              <w:pStyle w:val="Normal"/>
              <w:rPr>
                <w:b/>
              </w:rPr>
            </w:pPr>
            <w:r>
              <w:rPr>
                <w:b/>
              </w:rPr>
              <w:t>History: the study history as applicable.</w:t>
            </w:r>
          </w:p>
        </w:tc>
      </w:tr>
      <w:tr>
        <w:trPr>
          <w:trHeight w:val="2870" w:hRule="atLeast"/>
          <w:cantSplit w:val="false"/>
        </w:trPr>
        <w:tc>
          <w:tcPr>
            <w:tcW w:w="955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tcPr>
          <w:p>
            <w:pPr>
              <w:pStyle w:val="Normal"/>
              <w:rPr/>
            </w:pPr>
            <w:r>
              <w:rPr/>
            </w:r>
          </w:p>
        </w:tc>
      </w:tr>
    </w:tbl>
    <w:p>
      <w:pPr>
        <w:pStyle w:val="Normal"/>
        <w:rPr/>
      </w:pPr>
      <w:r>
        <w:rPr/>
      </w:r>
    </w:p>
    <w:tbl>
      <w:tblPr>
        <w:jc w:val="left"/>
        <w:tblInd w:w="-30" w:type="dxa"/>
        <w:tblBorders>
          <w:top w:val="single" w:sz="4" w:space="0" w:color="00000A"/>
          <w:left w:val="single" w:sz="4" w:space="0" w:color="00000A"/>
          <w:bottom w:val="single" w:sz="4" w:space="0" w:color="00000A"/>
          <w:insideH w:val="single" w:sz="4" w:space="0" w:color="00000A"/>
          <w:right w:val="single" w:sz="4" w:space="0" w:color="00000A"/>
          <w:insideV w:val="single" w:sz="4" w:space="0" w:color="00000A"/>
        </w:tblBorders>
        <w:tblCellMar>
          <w:top w:w="0" w:type="dxa"/>
          <w:left w:w="78" w:type="dxa"/>
          <w:bottom w:w="0" w:type="dxa"/>
          <w:right w:w="108" w:type="dxa"/>
        </w:tblCellMar>
      </w:tblPr>
      <w:tblGrid>
        <w:gridCol w:w="9558"/>
      </w:tblGrid>
      <w:tr>
        <w:trPr>
          <w:trHeight w:val="255" w:hRule="atLeast"/>
          <w:cantSplit w:val="false"/>
        </w:trPr>
        <w:tc>
          <w:tcPr>
            <w:tcW w:w="955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DE9D9" w:val="clear"/>
            <w:tcMar>
              <w:left w:w="78" w:type="dxa"/>
            </w:tcMar>
          </w:tcPr>
          <w:p>
            <w:pPr>
              <w:pStyle w:val="Normal"/>
              <w:rPr>
                <w:b/>
              </w:rPr>
            </w:pPr>
            <w:r>
              <w:rPr>
                <w:b/>
              </w:rPr>
              <w:t xml:space="preserve">Phenotype term(s)/Disease name(s): any number of phenotype term(s) and/or disease name(s) associated with this study. The phenotype term and disease name must be a MeSH term. To check, type query in the search box at </w:t>
            </w:r>
            <w:hyperlink r:id="rId7">
              <w:r>
                <w:rPr>
                  <w:rStyle w:val="InternetLink"/>
                  <w:b/>
                </w:rPr>
                <w:t>http://www.ncbi.nlm.nih.gov/mesh/</w:t>
              </w:r>
            </w:hyperlink>
            <w:r>
              <w:rPr>
                <w:b/>
              </w:rPr>
              <w:t xml:space="preserve">. Disease names will be ordered as submitted below. Please mark one MeSH term as the primary phenotype term with a star (*). </w:t>
            </w:r>
          </w:p>
        </w:tc>
      </w:tr>
      <w:tr>
        <w:trPr>
          <w:trHeight w:val="392" w:hRule="atLeast"/>
          <w:cantSplit w:val="false"/>
        </w:trPr>
        <w:tc>
          <w:tcPr>
            <w:tcW w:w="955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tcPr>
          <w:p>
            <w:pPr>
              <w:pStyle w:val="Normal"/>
              <w:rPr/>
            </w:pPr>
            <w:r>
              <w:rPr/>
              <w:t xml:space="preserve">1. </w:t>
            </w:r>
          </w:p>
          <w:p>
            <w:pPr>
              <w:pStyle w:val="Normal"/>
              <w:rPr/>
            </w:pPr>
            <w:r>
              <w:rPr/>
              <w:t xml:space="preserve">2. </w:t>
            </w:r>
          </w:p>
          <w:p>
            <w:pPr>
              <w:pStyle w:val="Normal"/>
              <w:rPr/>
            </w:pPr>
            <w:r>
              <w:rPr/>
              <w:t xml:space="preserve">3. </w:t>
            </w:r>
          </w:p>
        </w:tc>
      </w:tr>
    </w:tbl>
    <w:p>
      <w:pPr>
        <w:pStyle w:val="Normal"/>
        <w:rPr/>
      </w:pPr>
      <w:bookmarkStart w:id="16" w:name="_GoBack"/>
      <w:bookmarkStart w:id="17" w:name="_GoBack"/>
      <w:bookmarkEnd w:id="17"/>
      <w:r>
        <w:rPr/>
      </w:r>
    </w:p>
    <w:tbl>
      <w:tblPr>
        <w:jc w:val="left"/>
        <w:tblInd w:w="-30" w:type="dxa"/>
        <w:tblBorders>
          <w:top w:val="single" w:sz="4" w:space="0" w:color="00000A"/>
          <w:left w:val="single" w:sz="4" w:space="0" w:color="00000A"/>
          <w:bottom w:val="single" w:sz="4" w:space="0" w:color="00000A"/>
          <w:insideH w:val="single" w:sz="4" w:space="0" w:color="00000A"/>
          <w:right w:val="single" w:sz="4" w:space="0" w:color="00000A"/>
          <w:insideV w:val="single" w:sz="4" w:space="0" w:color="00000A"/>
        </w:tblBorders>
        <w:tblCellMar>
          <w:top w:w="0" w:type="dxa"/>
          <w:left w:w="78" w:type="dxa"/>
          <w:bottom w:w="0" w:type="dxa"/>
          <w:right w:w="108" w:type="dxa"/>
        </w:tblCellMar>
      </w:tblPr>
      <w:tblGrid>
        <w:gridCol w:w="9558"/>
      </w:tblGrid>
      <w:tr>
        <w:trPr>
          <w:trHeight w:val="255" w:hRule="atLeast"/>
          <w:cantSplit w:val="false"/>
        </w:trPr>
        <w:tc>
          <w:tcPr>
            <w:tcW w:w="955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DE9D9" w:val="clear"/>
            <w:tcMar>
              <w:left w:w="78" w:type="dxa"/>
            </w:tcMar>
          </w:tcPr>
          <w:p>
            <w:pPr>
              <w:pStyle w:val="Normal"/>
              <w:rPr>
                <w:b/>
              </w:rPr>
            </w:pPr>
            <w:r>
              <w:rPr>
                <w:b/>
              </w:rPr>
              <w:t xml:space="preserve">Gene(s): any number of gene(s) associated with this study. For gene symbols, please type query in the search box at </w:t>
            </w:r>
            <w:hyperlink r:id="rId8">
              <w:r>
                <w:rPr>
                  <w:rStyle w:val="InternetLink"/>
                  <w:b/>
                </w:rPr>
                <w:t>http://www.ncbi.nlm.nih.gov/gene</w:t>
              </w:r>
            </w:hyperlink>
            <w:r>
              <w:rPr>
                <w:b/>
              </w:rPr>
              <w:t xml:space="preserve">. Gene symbols will be ordered as submitted below. </w:t>
            </w:r>
          </w:p>
        </w:tc>
      </w:tr>
      <w:tr>
        <w:trPr>
          <w:trHeight w:val="392" w:hRule="atLeast"/>
          <w:cantSplit w:val="false"/>
        </w:trPr>
        <w:tc>
          <w:tcPr>
            <w:tcW w:w="955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tcPr>
          <w:p>
            <w:pPr>
              <w:pStyle w:val="Normal"/>
              <w:rPr/>
            </w:pPr>
            <w:r>
              <w:rPr/>
              <w:t xml:space="preserve">1. </w:t>
            </w:r>
          </w:p>
          <w:p>
            <w:pPr>
              <w:pStyle w:val="Normal"/>
              <w:rPr/>
            </w:pPr>
            <w:r>
              <w:rPr/>
              <w:t xml:space="preserve">2. </w:t>
            </w:r>
          </w:p>
          <w:p>
            <w:pPr>
              <w:pStyle w:val="Normal"/>
              <w:rPr/>
            </w:pPr>
            <w:r>
              <w:rPr/>
              <w:t xml:space="preserve">3. </w:t>
            </w:r>
          </w:p>
        </w:tc>
      </w:tr>
    </w:tbl>
    <w:p>
      <w:pPr>
        <w:pStyle w:val="Normal"/>
        <w:rPr/>
      </w:pPr>
      <w:r>
        <w:rPr/>
      </w:r>
    </w:p>
    <w:tbl>
      <w:tblPr>
        <w:jc w:val="left"/>
        <w:tblInd w:w="-30" w:type="dxa"/>
        <w:tblBorders>
          <w:top w:val="single" w:sz="4" w:space="0" w:color="00000A"/>
          <w:left w:val="single" w:sz="4" w:space="0" w:color="00000A"/>
          <w:bottom w:val="single" w:sz="4" w:space="0" w:color="00000A"/>
          <w:insideH w:val="single" w:sz="4" w:space="0" w:color="00000A"/>
          <w:right w:val="single" w:sz="4" w:space="0" w:color="00000A"/>
          <w:insideV w:val="single" w:sz="4" w:space="0" w:color="00000A"/>
        </w:tblBorders>
        <w:tblCellMar>
          <w:top w:w="0" w:type="dxa"/>
          <w:left w:w="78" w:type="dxa"/>
          <w:bottom w:w="0" w:type="dxa"/>
          <w:right w:w="108" w:type="dxa"/>
        </w:tblCellMar>
      </w:tblPr>
      <w:tblGrid>
        <w:gridCol w:w="1631"/>
        <w:gridCol w:w="7920"/>
      </w:tblGrid>
      <w:tr>
        <w:trPr>
          <w:trHeight w:val="255" w:hRule="atLeast"/>
          <w:cantSplit w:val="false"/>
        </w:trPr>
        <w:tc>
          <w:tcPr>
            <w:tcW w:w="9551" w:type="dxa"/>
            <w:gridSpan w:val="2"/>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DE9D9" w:val="clear"/>
            <w:tcMar>
              <w:left w:w="78" w:type="dxa"/>
            </w:tcMar>
          </w:tcPr>
          <w:p>
            <w:pPr>
              <w:pStyle w:val="Normal"/>
              <w:rPr>
                <w:b/>
              </w:rPr>
            </w:pPr>
            <w:r>
              <w:rPr>
                <w:b/>
              </w:rPr>
              <w:t>Relevant Publications: use Pubmed IDs (</w:t>
            </w:r>
            <w:hyperlink r:id="rId9">
              <w:r>
                <w:rPr>
                  <w:rStyle w:val="InternetLink"/>
                  <w:b/>
                </w:rPr>
                <w:t>http://www.ncbi.nlm.nih.gov/PubMed/</w:t>
              </w:r>
            </w:hyperlink>
            <w:r>
              <w:rPr>
                <w:b/>
              </w:rPr>
              <w:t xml:space="preserve">). References will appear in the order submitted. </w:t>
            </w:r>
          </w:p>
          <w:p>
            <w:pPr>
              <w:pStyle w:val="Normal"/>
              <w:rPr>
                <w:b/>
              </w:rPr>
            </w:pPr>
            <w:r>
              <w:rPr>
                <w:b/>
              </w:rPr>
            </w:r>
          </w:p>
          <w:p>
            <w:pPr>
              <w:pStyle w:val="Normal"/>
              <w:rPr>
                <w:b/>
              </w:rPr>
            </w:pPr>
            <w:r>
              <w:rPr>
                <w:b/>
                <w:i/>
              </w:rPr>
              <w:t>Article Type</w:t>
            </w:r>
            <w:r>
              <w:rPr>
                <w:b/>
              </w:rPr>
              <w:t>: References provided should be assigned 1=Study article (GWAS), 2=Follow-up (GWAS, linkage, candidate gene, etc), 3=Non-GWAS, Phenotype, 4=Background, 5=Sequencing (tumor, whole-genome, short-read, somatic, germline, exome, etc.), 6=Gene expression profiling, 10=Other. An article can be one or more types.</w:t>
            </w:r>
          </w:p>
          <w:p>
            <w:pPr>
              <w:pStyle w:val="Normal"/>
              <w:rPr>
                <w:b/>
              </w:rPr>
            </w:pPr>
            <w:r>
              <w:rPr>
                <w:b/>
              </w:rPr>
            </w:r>
          </w:p>
          <w:p>
            <w:pPr>
              <w:pStyle w:val="Normal"/>
              <w:rPr>
                <w:b/>
                <w:i/>
              </w:rPr>
            </w:pPr>
            <w:r>
              <w:rPr>
                <w:b/>
                <w:i/>
              </w:rPr>
              <w:t>Articles with PMID or No PMID</w:t>
            </w:r>
          </w:p>
          <w:p>
            <w:pPr>
              <w:pStyle w:val="Normal"/>
              <w:rPr>
                <w:b/>
              </w:rPr>
            </w:pPr>
            <w:r>
              <w:rPr>
                <w:b/>
              </w:rPr>
              <w:t>1. If the article has a Pubmed ID (PMID), please provide the PMID# only.</w:t>
            </w:r>
          </w:p>
          <w:p>
            <w:pPr>
              <w:pStyle w:val="Normal"/>
              <w:rPr>
                <w:b/>
              </w:rPr>
            </w:pPr>
            <w:r>
              <w:rPr>
                <w:b/>
              </w:rPr>
            </w:r>
          </w:p>
          <w:p>
            <w:pPr>
              <w:pStyle w:val="Normal"/>
              <w:rPr>
                <w:b/>
              </w:rPr>
            </w:pPr>
            <w:r>
              <w:rPr>
                <w:b/>
              </w:rPr>
              <w:t>2. If the article, abstract, or book does not have a PMID, please provide the reference in the following formats below.</w:t>
            </w:r>
          </w:p>
          <w:p>
            <w:pPr>
              <w:pStyle w:val="Normal"/>
              <w:rPr>
                <w:b/>
              </w:rPr>
            </w:pPr>
            <w:r>
              <w:rPr>
                <w:b/>
              </w:rPr>
              <w:t>For Journals:</w:t>
            </w:r>
          </w:p>
          <w:p>
            <w:pPr>
              <w:pStyle w:val="Normal"/>
              <w:rPr>
                <w:b/>
              </w:rPr>
            </w:pPr>
            <w:r>
              <w:rPr>
                <w:b/>
              </w:rPr>
              <w:t>Line1     Authors</w:t>
            </w:r>
          </w:p>
          <w:p>
            <w:pPr>
              <w:pStyle w:val="Normal"/>
              <w:rPr>
                <w:b/>
              </w:rPr>
            </w:pPr>
            <w:r>
              <w:rPr>
                <w:b/>
              </w:rPr>
              <w:t>Line2     Title of Article or Abstract</w:t>
            </w:r>
          </w:p>
          <w:p>
            <w:pPr>
              <w:pStyle w:val="Normal"/>
              <w:rPr>
                <w:b/>
              </w:rPr>
            </w:pPr>
            <w:r>
              <w:rPr>
                <w:b/>
              </w:rPr>
              <w:t>Line3     Journal Name</w:t>
            </w:r>
          </w:p>
          <w:p>
            <w:pPr>
              <w:pStyle w:val="Normal"/>
              <w:rPr>
                <w:b/>
              </w:rPr>
            </w:pPr>
            <w:r>
              <w:rPr>
                <w:b/>
              </w:rPr>
              <w:t>Line4     Year;Volume:Start page-End page.</w:t>
            </w:r>
          </w:p>
          <w:p>
            <w:pPr>
              <w:pStyle w:val="Normal"/>
              <w:rPr>
                <w:b/>
              </w:rPr>
            </w:pPr>
            <w:r>
              <w:rPr>
                <w:b/>
              </w:rPr>
            </w:r>
          </w:p>
          <w:p>
            <w:pPr>
              <w:pStyle w:val="Normal"/>
              <w:rPr>
                <w:b/>
              </w:rPr>
            </w:pPr>
            <w:r>
              <w:rPr>
                <w:b/>
              </w:rPr>
              <w:t>For Books:</w:t>
            </w:r>
          </w:p>
          <w:p>
            <w:pPr>
              <w:pStyle w:val="Normal"/>
              <w:rPr>
                <w:b/>
              </w:rPr>
            </w:pPr>
            <w:r>
              <w:rPr>
                <w:b/>
              </w:rPr>
              <w:t>Line1     Authors</w:t>
            </w:r>
          </w:p>
          <w:p>
            <w:pPr>
              <w:pStyle w:val="Normal"/>
              <w:rPr>
                <w:b/>
              </w:rPr>
            </w:pPr>
            <w:r>
              <w:rPr>
                <w:b/>
              </w:rPr>
              <w:t>Line2     Chapter or Section Name</w:t>
            </w:r>
          </w:p>
          <w:p>
            <w:pPr>
              <w:pStyle w:val="Normal"/>
              <w:rPr>
                <w:b/>
              </w:rPr>
            </w:pPr>
            <w:r>
              <w:rPr>
                <w:b/>
              </w:rPr>
              <w:t>Line3     Book Name</w:t>
            </w:r>
          </w:p>
          <w:p>
            <w:pPr>
              <w:pStyle w:val="Normal"/>
              <w:rPr>
                <w:b/>
              </w:rPr>
            </w:pPr>
            <w:r>
              <w:rPr>
                <w:b/>
              </w:rPr>
              <w:t>Line4     Editors. Publication City: Publisher, Year.</w:t>
            </w:r>
          </w:p>
        </w:tc>
      </w:tr>
      <w:tr>
        <w:trPr>
          <w:trHeight w:val="642" w:hRule="atLeast"/>
          <w:cantSplit w:val="false"/>
        </w:trPr>
        <w:tc>
          <w:tcPr>
            <w:tcW w:w="1631"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b/>
              </w:rPr>
            </w:pPr>
            <w:r>
              <w:rPr>
                <w:b/>
              </w:rPr>
              <w:t>Article Type</w:t>
            </w:r>
          </w:p>
        </w:tc>
        <w:tc>
          <w:tcPr>
            <w:tcW w:w="7920"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b/>
              </w:rPr>
            </w:pPr>
            <w:r>
              <w:rPr>
                <w:b/>
              </w:rPr>
              <w:t>Articles with PMID or No PMID</w:t>
            </w:r>
          </w:p>
        </w:tc>
      </w:tr>
      <w:tr>
        <w:trPr>
          <w:trHeight w:val="638" w:hRule="atLeast"/>
          <w:cantSplit w:val="false"/>
        </w:trPr>
        <w:tc>
          <w:tcPr>
            <w:tcW w:w="1631"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10</w:t>
            </w:r>
          </w:p>
        </w:tc>
        <w:tc>
          <w:tcPr>
            <w:tcW w:w="7920"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Optimization of Scarless Human Stem Cell Genome Editing</w:t>
            </w:r>
          </w:p>
          <w:p>
            <w:pPr>
              <w:pStyle w:val="Normal"/>
              <w:rPr/>
            </w:pPr>
            <w:r>
              <w:rPr/>
              <w:t>Yang L, Guell M, Byrne S, Yang JL, De Los Angeles A, Mali P, Aach J, Kim-Kiselak C, Briggs AW, Rios X, Huang PY, Daley G, Church G</w:t>
            </w:r>
          </w:p>
          <w:p>
            <w:pPr>
              <w:pStyle w:val="Normal"/>
              <w:rPr/>
            </w:pPr>
            <w:r>
              <w:rPr/>
              <w:t>Nucleic Acids Res.</w:t>
            </w:r>
          </w:p>
          <w:p>
            <w:pPr>
              <w:pStyle w:val="Normal"/>
              <w:rPr/>
            </w:pPr>
            <w:r>
              <w:rPr/>
              <w:t>2013;:;http://nar.oxfordjournals.org/content/early/2013/07/31/nar.gkt555.full.pdf</w:t>
            </w:r>
          </w:p>
        </w:tc>
      </w:tr>
      <w:tr>
        <w:trPr>
          <w:trHeight w:val="638" w:hRule="atLeast"/>
          <w:cantSplit w:val="false"/>
        </w:trPr>
        <w:tc>
          <w:tcPr>
            <w:tcW w:w="1631"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10</w:t>
            </w:r>
          </w:p>
        </w:tc>
        <w:tc>
          <w:tcPr>
            <w:tcW w:w="7920"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Our genomes today: time to be clear</w:t>
            </w:r>
          </w:p>
          <w:p>
            <w:pPr>
              <w:pStyle w:val="Normal"/>
              <w:rPr/>
            </w:pPr>
            <w:r>
              <w:rPr/>
              <w:t>Jeantine E Lunshof and Madeleine P Ball</w:t>
            </w:r>
          </w:p>
          <w:p>
            <w:pPr>
              <w:pStyle w:val="Normal"/>
              <w:rPr/>
            </w:pPr>
            <w:r>
              <w:rPr/>
              <w:t>Genome Med.</w:t>
            </w:r>
          </w:p>
          <w:p>
            <w:pPr>
              <w:pStyle w:val="Normal"/>
              <w:rPr/>
            </w:pPr>
            <w:r>
              <w:rPr/>
              <w:t>2013;5(6);52;http://www.ncbi.nlm.nih.gov/pmc/articles/PMC3706891/</w:t>
            </w:r>
          </w:p>
        </w:tc>
      </w:tr>
      <w:tr>
        <w:trPr>
          <w:trHeight w:val="638" w:hRule="atLeast"/>
          <w:cantSplit w:val="false"/>
        </w:trPr>
        <w:tc>
          <w:tcPr>
            <w:tcW w:w="1631"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10</w:t>
            </w:r>
          </w:p>
        </w:tc>
        <w:tc>
          <w:tcPr>
            <w:tcW w:w="7920"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RNA-guided human genome engineering via Cas9</w:t>
            </w:r>
          </w:p>
          <w:p>
            <w:pPr>
              <w:pStyle w:val="Normal"/>
              <w:rPr/>
            </w:pPr>
            <w:r>
              <w:rPr/>
              <w:t>Mali P, Yang L, Esvelt KM, Aach J, Guell M, DiCarlo JE, Norville JE, Church GM</w:t>
            </w:r>
          </w:p>
          <w:p>
            <w:pPr>
              <w:pStyle w:val="Normal"/>
              <w:rPr/>
            </w:pPr>
            <w:r>
              <w:rPr/>
              <w:t>Science</w:t>
            </w:r>
          </w:p>
          <w:p>
            <w:pPr>
              <w:pStyle w:val="Normal"/>
              <w:rPr/>
            </w:pPr>
            <w:r>
              <w:rPr/>
              <w:t>2013;339(6121):823-6;http://arep.med.harvard.edu/pdf/Mali_Sci_12.pdf</w:t>
            </w:r>
          </w:p>
        </w:tc>
      </w:tr>
      <w:tr>
        <w:trPr>
          <w:trHeight w:val="638" w:hRule="atLeast"/>
          <w:cantSplit w:val="false"/>
        </w:trPr>
        <w:tc>
          <w:tcPr>
            <w:tcW w:w="1631" w:type="dxa"/>
            <w:tcBorders>
              <w:top w:val="nil"/>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10</w:t>
            </w:r>
          </w:p>
        </w:tc>
        <w:tc>
          <w:tcPr>
            <w:tcW w:w="7920" w:type="dxa"/>
            <w:tcBorders>
              <w:top w:val="nil"/>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Genetic Privacy Needs a More Nuanced Approach</w:t>
            </w:r>
          </w:p>
          <w:p>
            <w:pPr>
              <w:pStyle w:val="Normal"/>
              <w:rPr/>
            </w:pPr>
            <w:r>
              <w:rPr/>
              <w:t>Misha Angrist</w:t>
            </w:r>
          </w:p>
          <w:p>
            <w:pPr>
              <w:pStyle w:val="Normal"/>
              <w:rPr/>
            </w:pPr>
            <w:r>
              <w:rPr/>
              <w:t>Nature</w:t>
            </w:r>
          </w:p>
          <w:p>
            <w:pPr>
              <w:pStyle w:val="Normal"/>
              <w:rPr/>
            </w:pPr>
            <w:r>
              <w:rPr/>
              <w:t>2013;493:7;http://www.nature.com/news/genetic-privacy-needs-a-more-nuanced-approach-1.12363</w:t>
            </w:r>
          </w:p>
        </w:tc>
      </w:tr>
      <w:tr>
        <w:trPr>
          <w:trHeight w:val="638" w:hRule="atLeast"/>
          <w:cantSplit w:val="false"/>
        </w:trPr>
        <w:tc>
          <w:tcPr>
            <w:tcW w:w="1631" w:type="dxa"/>
            <w:tcBorders>
              <w:top w:val="nil"/>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10</w:t>
            </w:r>
          </w:p>
        </w:tc>
        <w:tc>
          <w:tcPr>
            <w:tcW w:w="7920" w:type="dxa"/>
            <w:tcBorders>
              <w:top w:val="nil"/>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Accurate whole-genome sequencing and haplotyping from 10 to 20 human cells</w:t>
            </w:r>
          </w:p>
          <w:p>
            <w:pPr>
              <w:pStyle w:val="Normal"/>
              <w:rPr/>
            </w:pPr>
            <w:r>
              <w:rPr/>
              <w:t>Peters BA, Kermani BG, Sparks AB et al</w:t>
            </w:r>
          </w:p>
          <w:p>
            <w:pPr>
              <w:pStyle w:val="Normal"/>
              <w:rPr/>
            </w:pPr>
            <w:r>
              <w:rPr/>
              <w:t>Nature</w:t>
            </w:r>
          </w:p>
          <w:p>
            <w:pPr>
              <w:pStyle w:val="Normal"/>
              <w:rPr/>
            </w:pPr>
            <w:r>
              <w:rPr/>
              <w:t>2012;487(7406):190-5;http://www.nature.com/nature/journal/v487/n7406/pdf/nature11236.pdf</w:t>
            </w:r>
          </w:p>
        </w:tc>
      </w:tr>
      <w:tr>
        <w:trPr>
          <w:trHeight w:val="638" w:hRule="atLeast"/>
          <w:cantSplit w:val="false"/>
        </w:trPr>
        <w:tc>
          <w:tcPr>
            <w:tcW w:w="1631" w:type="dxa"/>
            <w:tcBorders>
              <w:top w:val="nil"/>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10</w:t>
            </w:r>
          </w:p>
        </w:tc>
        <w:tc>
          <w:tcPr>
            <w:tcW w:w="7920" w:type="dxa"/>
            <w:tcBorders>
              <w:top w:val="nil"/>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22797899</w:t>
            </w:r>
          </w:p>
        </w:tc>
      </w:tr>
      <w:tr>
        <w:trPr>
          <w:trHeight w:val="638" w:hRule="atLeast"/>
          <w:cantSplit w:val="false"/>
        </w:trPr>
        <w:tc>
          <w:tcPr>
            <w:tcW w:w="1631" w:type="dxa"/>
            <w:tcBorders>
              <w:top w:val="nil"/>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10</w:t>
            </w:r>
          </w:p>
        </w:tc>
        <w:tc>
          <w:tcPr>
            <w:tcW w:w="7920" w:type="dxa"/>
            <w:tcBorders>
              <w:top w:val="nil"/>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Genomics and Privacy: Implications of the New Reality of Closed Data for the Field</w:t>
            </w:r>
          </w:p>
          <w:p>
            <w:pPr>
              <w:pStyle w:val="Normal"/>
              <w:rPr/>
            </w:pPr>
            <w:r>
              <w:rPr/>
              <w:t>Greenbaum D, Sboner A, Mu XJ, Gerstein M</w:t>
            </w:r>
          </w:p>
          <w:p>
            <w:pPr>
              <w:pStyle w:val="Normal"/>
              <w:rPr/>
            </w:pPr>
            <w:r>
              <w:rPr/>
              <w:t>PLoS Comput Biol.</w:t>
            </w:r>
          </w:p>
          <w:p>
            <w:pPr>
              <w:pStyle w:val="Normal"/>
              <w:rPr/>
            </w:pPr>
            <w:r>
              <w:rPr/>
              <w:t>2011;7(12):e1002278;http://ncbi.nlm.nih.gov/pmc/articles/PMC3228779/</w:t>
            </w:r>
          </w:p>
        </w:tc>
      </w:tr>
      <w:tr>
        <w:trPr>
          <w:trHeight w:val="638" w:hRule="atLeast"/>
          <w:cantSplit w:val="false"/>
        </w:trPr>
        <w:tc>
          <w:tcPr>
            <w:tcW w:w="1631" w:type="dxa"/>
            <w:tcBorders>
              <w:top w:val="nil"/>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10</w:t>
            </w:r>
          </w:p>
        </w:tc>
        <w:tc>
          <w:tcPr>
            <w:tcW w:w="7920" w:type="dxa"/>
            <w:tcBorders>
              <w:top w:val="nil"/>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Neuronal maturation defect in induced pluripotent stem cells from patients with Rett syndrome</w:t>
            </w:r>
          </w:p>
          <w:p>
            <w:pPr>
              <w:pStyle w:val="Normal"/>
              <w:rPr/>
            </w:pPr>
            <w:r>
              <w:rPr/>
              <w:t>Kim KY, Hysolli E, Park IH</w:t>
            </w:r>
          </w:p>
          <w:p>
            <w:pPr>
              <w:pStyle w:val="Normal"/>
              <w:rPr/>
            </w:pPr>
            <w:r>
              <w:rPr/>
              <w:t>Proc Natl Acad Sci U S A.</w:t>
            </w:r>
          </w:p>
          <w:p>
            <w:pPr>
              <w:pStyle w:val="Normal"/>
              <w:rPr/>
            </w:pPr>
            <w:r>
              <w:rPr/>
              <w:t>2011;108(34):14169-74;http://www.ncbi.nlm.nih.gov/pubmed/21807996</w:t>
            </w:r>
          </w:p>
        </w:tc>
      </w:tr>
      <w:tr>
        <w:trPr>
          <w:trHeight w:val="638" w:hRule="atLeast"/>
          <w:cantSplit w:val="false"/>
        </w:trPr>
        <w:tc>
          <w:tcPr>
            <w:tcW w:w="1631" w:type="dxa"/>
            <w:tcBorders>
              <w:top w:val="nil"/>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10</w:t>
            </w:r>
          </w:p>
        </w:tc>
        <w:tc>
          <w:tcPr>
            <w:tcW w:w="7920" w:type="dxa"/>
            <w:tcBorders>
              <w:top w:val="nil"/>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Allele-specific methylation is prevalent and is contributed by CpG-SNPs in the human genome</w:t>
            </w:r>
          </w:p>
          <w:p>
            <w:pPr>
              <w:pStyle w:val="Normal"/>
              <w:rPr/>
            </w:pPr>
            <w:r>
              <w:rPr/>
              <w:t>Shoemaker R, Deng J, Wang W, Zhang K</w:t>
            </w:r>
          </w:p>
          <w:p>
            <w:pPr>
              <w:pStyle w:val="Normal"/>
              <w:rPr/>
            </w:pPr>
            <w:r>
              <w:rPr/>
              <w:t>Genome Res.</w:t>
            </w:r>
          </w:p>
          <w:p>
            <w:pPr>
              <w:pStyle w:val="Normal"/>
              <w:rPr/>
            </w:pPr>
            <w:r>
              <w:rPr/>
              <w:t>2010;20(7):883-9;http://www.ncbi.nlm.nih.gov/pmc/articles/PMC2892089/</w:t>
            </w:r>
          </w:p>
        </w:tc>
      </w:tr>
      <w:tr>
        <w:trPr>
          <w:trHeight w:val="638" w:hRule="atLeast"/>
          <w:cantSplit w:val="false"/>
        </w:trPr>
        <w:tc>
          <w:tcPr>
            <w:tcW w:w="1631" w:type="dxa"/>
            <w:tcBorders>
              <w:top w:val="nil"/>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10</w:t>
            </w:r>
          </w:p>
        </w:tc>
        <w:tc>
          <w:tcPr>
            <w:tcW w:w="7920" w:type="dxa"/>
            <w:tcBorders>
              <w:top w:val="nil"/>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Personal genomes in progress: From the Human Genome Project to the Personal Genome Project</w:t>
            </w:r>
          </w:p>
          <w:p>
            <w:pPr>
              <w:pStyle w:val="Normal"/>
              <w:rPr/>
            </w:pPr>
            <w:r>
              <w:rPr/>
              <w:t>Jeantine Lunshof, Jason Bobe, John Aach, Misha Angrist, Joseph Thakuria, Daniel Vorhaus, Margret Hoehe, George Church</w:t>
            </w:r>
          </w:p>
          <w:p>
            <w:pPr>
              <w:pStyle w:val="Normal"/>
              <w:rPr/>
            </w:pPr>
            <w:r>
              <w:rPr/>
              <w:t>Dialogues in Clinical Neuroscience.</w:t>
            </w:r>
          </w:p>
          <w:p>
            <w:pPr>
              <w:pStyle w:val="Normal"/>
              <w:rPr/>
            </w:pPr>
            <w:r>
              <w:rPr/>
              <w:t>2010;12(1):47-60;http://www.ncbi.nlm.nih.gov/pmc/articles/PMC3181947/</w:t>
            </w:r>
          </w:p>
        </w:tc>
      </w:tr>
      <w:tr>
        <w:trPr>
          <w:trHeight w:val="638" w:hRule="atLeast"/>
          <w:cantSplit w:val="false"/>
        </w:trPr>
        <w:tc>
          <w:tcPr>
            <w:tcW w:w="1631" w:type="dxa"/>
            <w:tcBorders>
              <w:top w:val="nil"/>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10</w:t>
            </w:r>
          </w:p>
        </w:tc>
        <w:tc>
          <w:tcPr>
            <w:tcW w:w="7920" w:type="dxa"/>
            <w:tcBorders>
              <w:top w:val="nil"/>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Targeted and whole-genome methylomics reveals gene-body signatures in human cell lines</w:t>
            </w:r>
          </w:p>
          <w:p>
            <w:pPr>
              <w:pStyle w:val="Normal"/>
              <w:rPr/>
            </w:pPr>
            <w:r>
              <w:rPr/>
              <w:t>Ball MP, Li JB, Gao Y, Lee J, LeProust E, Park I-H, Xie B, Daley GQ, Church GM</w:t>
            </w:r>
          </w:p>
          <w:p>
            <w:pPr>
              <w:pStyle w:val="Normal"/>
              <w:rPr/>
            </w:pPr>
            <w:r>
              <w:rPr/>
              <w:t>Nature Biotechnol</w:t>
            </w:r>
          </w:p>
          <w:p>
            <w:pPr>
              <w:pStyle w:val="Normal"/>
              <w:rPr/>
            </w:pPr>
            <w:r>
              <w:rPr/>
              <w:t>2009;27:361-8;http://www.ncbi.nlm.nih.gov/pmc/articles/PMC3566772/</w:t>
            </w:r>
          </w:p>
        </w:tc>
      </w:tr>
      <w:tr>
        <w:trPr>
          <w:trHeight w:val="638" w:hRule="atLeast"/>
          <w:cantSplit w:val="false"/>
        </w:trPr>
        <w:tc>
          <w:tcPr>
            <w:tcW w:w="1631" w:type="dxa"/>
            <w:tcBorders>
              <w:top w:val="nil"/>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10</w:t>
            </w:r>
          </w:p>
        </w:tc>
        <w:tc>
          <w:tcPr>
            <w:tcW w:w="7920" w:type="dxa"/>
            <w:tcBorders>
              <w:top w:val="nil"/>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Multiplex padlock capturing and sequencing reveal human hypermutable CpG variations</w:t>
            </w:r>
          </w:p>
          <w:p>
            <w:pPr>
              <w:pStyle w:val="Normal"/>
              <w:rPr/>
            </w:pPr>
            <w:r>
              <w:rPr/>
              <w:t>Li JB, Gao Y, Aach J, Zhang K, Kryukov GV, Xie B, Ahlford A, Yoon J-K, Rosenbaum AM, Zaranek AW, LeProust E, Sunyaev SR, Church GM</w:t>
            </w:r>
          </w:p>
          <w:p>
            <w:pPr>
              <w:pStyle w:val="Normal"/>
              <w:rPr/>
            </w:pPr>
            <w:r>
              <w:rPr/>
              <w:t>Genome Res</w:t>
            </w:r>
          </w:p>
          <w:p>
            <w:pPr>
              <w:pStyle w:val="Normal"/>
              <w:rPr/>
            </w:pPr>
            <w:r>
              <w:rPr/>
              <w:t>2009;19(9):1606-15;http://arep.med.harvard.edu/pdf/Li_CpG_09.pdf</w:t>
            </w:r>
          </w:p>
        </w:tc>
      </w:tr>
      <w:tr>
        <w:trPr>
          <w:trHeight w:val="638" w:hRule="atLeast"/>
          <w:cantSplit w:val="false"/>
        </w:trPr>
        <w:tc>
          <w:tcPr>
            <w:tcW w:w="1631" w:type="dxa"/>
            <w:tcBorders>
              <w:top w:val="nil"/>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10</w:t>
            </w:r>
          </w:p>
        </w:tc>
        <w:tc>
          <w:tcPr>
            <w:tcW w:w="7920" w:type="dxa"/>
            <w:tcBorders>
              <w:top w:val="nil"/>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Digital RNA Allelotyping Reveals Tissue-specific and Allele-specific Gene Expression in Human</w:t>
            </w:r>
          </w:p>
          <w:p>
            <w:pPr>
              <w:pStyle w:val="Normal"/>
              <w:rPr/>
            </w:pPr>
            <w:r>
              <w:rPr/>
              <w:t>Zhang K, Li JB, Gao Y, Egli D, Xie B, Lee JH, Aach J, LeProust E, Eggan K, Church GM</w:t>
            </w:r>
          </w:p>
          <w:p>
            <w:pPr>
              <w:pStyle w:val="Normal"/>
              <w:rPr/>
            </w:pPr>
            <w:r>
              <w:rPr/>
              <w:t>Nature Methods</w:t>
            </w:r>
          </w:p>
          <w:p>
            <w:pPr>
              <w:pStyle w:val="Normal"/>
              <w:rPr/>
            </w:pPr>
            <w:r>
              <w:rPr/>
              <w:t>2009;6:613-618;http://www.nature.com/nmeth/journal/v6/n8/abs/nmeth.1357.html</w:t>
            </w:r>
          </w:p>
        </w:tc>
      </w:tr>
      <w:tr>
        <w:trPr>
          <w:trHeight w:val="638" w:hRule="atLeast"/>
          <w:cantSplit w:val="false"/>
        </w:trPr>
        <w:tc>
          <w:tcPr>
            <w:tcW w:w="1631" w:type="dxa"/>
            <w:tcBorders>
              <w:top w:val="nil"/>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10</w:t>
            </w:r>
          </w:p>
        </w:tc>
        <w:tc>
          <w:tcPr>
            <w:tcW w:w="7920" w:type="dxa"/>
            <w:tcBorders>
              <w:top w:val="nil"/>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Functional characterization of the antibiotic resistance reservoir in the human microflora</w:t>
            </w:r>
          </w:p>
          <w:p>
            <w:pPr>
              <w:pStyle w:val="Normal"/>
              <w:rPr/>
            </w:pPr>
            <w:r>
              <w:rPr/>
              <w:t>Sommer MO, Dantas G, Church GM</w:t>
            </w:r>
          </w:p>
          <w:p>
            <w:pPr>
              <w:pStyle w:val="Normal"/>
              <w:rPr/>
            </w:pPr>
            <w:r>
              <w:rPr/>
              <w:t>Science</w:t>
            </w:r>
          </w:p>
          <w:p>
            <w:pPr>
              <w:pStyle w:val="Normal"/>
              <w:rPr/>
            </w:pPr>
            <w:r>
              <w:rPr/>
              <w:t>2009;325(5944):1128-31;http://arep.med.harvard.edu/pdf/Sommer_09.pdf</w:t>
            </w:r>
          </w:p>
        </w:tc>
      </w:tr>
      <w:tr>
        <w:trPr>
          <w:trHeight w:val="638" w:hRule="atLeast"/>
          <w:cantSplit w:val="false"/>
        </w:trPr>
        <w:tc>
          <w:tcPr>
            <w:tcW w:w="1631" w:type="dxa"/>
            <w:tcBorders>
              <w:top w:val="nil"/>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10</w:t>
            </w:r>
          </w:p>
        </w:tc>
        <w:tc>
          <w:tcPr>
            <w:tcW w:w="7920" w:type="dxa"/>
            <w:tcBorders>
              <w:top w:val="nil"/>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Generation of Functional Human Hepatic Endoderm from Human iPS cells</w:t>
            </w:r>
          </w:p>
          <w:p>
            <w:pPr>
              <w:pStyle w:val="Normal"/>
              <w:rPr/>
            </w:pPr>
            <w:r>
              <w:rPr/>
              <w:t>Sullivan GJ, Hay DC, Park IH, Fletcher J, Hannoun Z, Payne CM, Dalgetty D, Black JR, Ross J, Samuel K, Wang G, Daley GQ, Lee JH, Church GM, Forbes SJ, Iredale JP, Wilmut I</w:t>
            </w:r>
          </w:p>
          <w:p>
            <w:pPr>
              <w:pStyle w:val="Normal"/>
              <w:rPr/>
            </w:pPr>
            <w:r>
              <w:rPr/>
              <w:t>Hepatology</w:t>
            </w:r>
          </w:p>
          <w:p>
            <w:pPr>
              <w:pStyle w:val="Normal"/>
              <w:rPr/>
            </w:pPr>
            <w:r>
              <w:rPr/>
              <w:t>2010;51(1):329-35;http://onlinelibrary.wiley.com/doi/10.1002/hep.23335/full</w:t>
            </w:r>
          </w:p>
        </w:tc>
      </w:tr>
      <w:tr>
        <w:trPr>
          <w:trHeight w:val="638" w:hRule="atLeast"/>
          <w:cantSplit w:val="false"/>
        </w:trPr>
        <w:tc>
          <w:tcPr>
            <w:tcW w:w="1631" w:type="dxa"/>
            <w:tcBorders>
              <w:top w:val="nil"/>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10</w:t>
            </w:r>
          </w:p>
        </w:tc>
        <w:tc>
          <w:tcPr>
            <w:tcW w:w="7920" w:type="dxa"/>
            <w:tcBorders>
              <w:top w:val="nil"/>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A robust approach to identifying tissue-specific gene expression regulatory variants using personalized human induced pluripotent stem cells</w:t>
            </w:r>
          </w:p>
          <w:p>
            <w:pPr>
              <w:pStyle w:val="Normal"/>
              <w:rPr/>
            </w:pPr>
            <w:r>
              <w:rPr/>
              <w:t>Lee JH, Park IH, Gao Y, Li JB, Li Z, Daley GQ, Zhang K, Church GM</w:t>
            </w:r>
          </w:p>
          <w:p>
            <w:pPr>
              <w:pStyle w:val="Normal"/>
              <w:rPr/>
            </w:pPr>
            <w:r>
              <w:rPr/>
              <w:t>PLoS Genet</w:t>
            </w:r>
          </w:p>
          <w:p>
            <w:pPr>
              <w:pStyle w:val="Normal"/>
              <w:rPr/>
            </w:pPr>
            <w:r>
              <w:rPr/>
              <w:t>2009;5(11):e1000718;http://www.plosgenetics.org/article/info%3Adoi%2F10.1371%2Fjournal.pgen.1000718</w:t>
            </w:r>
          </w:p>
        </w:tc>
      </w:tr>
      <w:tr>
        <w:trPr>
          <w:trHeight w:val="638" w:hRule="atLeast"/>
          <w:cantSplit w:val="false"/>
        </w:trPr>
        <w:tc>
          <w:tcPr>
            <w:tcW w:w="1631" w:type="dxa"/>
            <w:tcBorders>
              <w:top w:val="nil"/>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10</w:t>
            </w:r>
          </w:p>
        </w:tc>
        <w:tc>
          <w:tcPr>
            <w:tcW w:w="7920" w:type="dxa"/>
            <w:tcBorders>
              <w:top w:val="nil"/>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Human genome sequencing using unchained base reads on self-assembling DNA nanoarrays</w:t>
            </w:r>
          </w:p>
          <w:p>
            <w:pPr>
              <w:pStyle w:val="Normal"/>
              <w:rPr/>
            </w:pPr>
            <w:r>
              <w:rPr/>
              <w:t>Drmanac R, Sparks AB, Callow MJ, Halpern AL, Burns NL, Kermani BG, Carnevali P, Nazarenko I, Nilsen GB, Yeung G, Dahl F, Fernandez A, Staker B, Pant KP, Baccash J, Borcherding AP, Brownley A, Cedeno R, Chen L, Chernikoff D, Cheung A, Chirita R, Curson B, Ebert JC, Hacker CR, Hartlage R, Hauser B, Huang S, Jiang Y, Karpinchyk V, Koenig M, Kong C, Landers T, Le C, Liu J, McBride CE, Morenzoni M, Morey RE, Mutch K, Perazich H, Perry K, Peters BA, Peterson J, Pethiyagoda CL, Pothuraju K, Richter C, Rosenbaum AM, Roy S, Shafto J, Sharanhovich U, Shannon KW, Sheppy CG, Sun M, Thakuria JV, Tran A, Vu D, Zaranek AW, Wu X, Drmanac S, Oliphant AR, Banyai WC, Martin B, Ballinger DG, Church GM, Reid CA</w:t>
            </w:r>
          </w:p>
          <w:p>
            <w:pPr>
              <w:pStyle w:val="Normal"/>
              <w:rPr/>
            </w:pPr>
            <w:r>
              <w:rPr/>
              <w:t>Science</w:t>
            </w:r>
          </w:p>
          <w:p>
            <w:pPr>
              <w:pStyle w:val="Normal"/>
              <w:rPr/>
            </w:pPr>
            <w:r>
              <w:rPr/>
              <w:t>2010;327(5961):78-81;http://arep.med.harvard.edu/pdf/Drmanac_09.pdf</w:t>
            </w:r>
          </w:p>
        </w:tc>
      </w:tr>
      <w:tr>
        <w:trPr>
          <w:trHeight w:val="638" w:hRule="atLeast"/>
          <w:cantSplit w:val="false"/>
        </w:trPr>
        <w:tc>
          <w:tcPr>
            <w:tcW w:w="1631" w:type="dxa"/>
            <w:tcBorders>
              <w:top w:val="nil"/>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10</w:t>
            </w:r>
          </w:p>
        </w:tc>
        <w:tc>
          <w:tcPr>
            <w:tcW w:w="7920" w:type="dxa"/>
            <w:tcBorders>
              <w:top w:val="nil"/>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18379574</w:t>
            </w:r>
          </w:p>
        </w:tc>
      </w:tr>
      <w:tr>
        <w:trPr>
          <w:trHeight w:val="638" w:hRule="atLeast"/>
          <w:cantSplit w:val="false"/>
        </w:trPr>
        <w:tc>
          <w:tcPr>
            <w:tcW w:w="1631" w:type="dxa"/>
            <w:tcBorders>
              <w:top w:val="nil"/>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10</w:t>
            </w:r>
          </w:p>
        </w:tc>
        <w:tc>
          <w:tcPr>
            <w:tcW w:w="7920" w:type="dxa"/>
            <w:tcBorders>
              <w:top w:val="nil"/>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16729065</w:t>
            </w:r>
          </w:p>
        </w:tc>
      </w:tr>
    </w:tbl>
    <w:p>
      <w:pPr>
        <w:pStyle w:val="Normal"/>
        <w:rPr/>
      </w:pPr>
      <w:r>
        <w:rPr/>
      </w:r>
    </w:p>
    <w:tbl>
      <w:tblPr>
        <w:jc w:val="left"/>
        <w:tblInd w:w="-30" w:type="dxa"/>
        <w:tblBorders>
          <w:top w:val="single" w:sz="4" w:space="0" w:color="00000A"/>
          <w:left w:val="single" w:sz="4" w:space="0" w:color="00000A"/>
          <w:bottom w:val="single" w:sz="4" w:space="0" w:color="00000A"/>
          <w:insideH w:val="single" w:sz="4" w:space="0" w:color="00000A"/>
          <w:right w:val="single" w:sz="4" w:space="0" w:color="00000A"/>
          <w:insideV w:val="single" w:sz="4" w:space="0" w:color="00000A"/>
        </w:tblBorders>
        <w:tblCellMar>
          <w:top w:w="0" w:type="dxa"/>
          <w:left w:w="78" w:type="dxa"/>
          <w:bottom w:w="0" w:type="dxa"/>
          <w:right w:w="108" w:type="dxa"/>
        </w:tblCellMar>
      </w:tblPr>
      <w:tblGrid>
        <w:gridCol w:w="2440"/>
        <w:gridCol w:w="2338"/>
        <w:gridCol w:w="4780"/>
      </w:tblGrid>
      <w:tr>
        <w:trPr>
          <w:trHeight w:val="480" w:hRule="atLeast"/>
          <w:cantSplit w:val="false"/>
        </w:trPr>
        <w:tc>
          <w:tcPr>
            <w:tcW w:w="9558" w:type="dxa"/>
            <w:gridSpan w:val="3"/>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DE9D9" w:val="clear"/>
            <w:tcMar>
              <w:left w:w="78" w:type="dxa"/>
            </w:tcMar>
          </w:tcPr>
          <w:p>
            <w:pPr>
              <w:pStyle w:val="Normal"/>
              <w:rPr>
                <w:b/>
              </w:rPr>
            </w:pPr>
            <w:r>
              <w:rPr>
                <w:b/>
              </w:rPr>
              <w:t>Study Attribution: will appear as submitted.</w:t>
            </w:r>
          </w:p>
          <w:p>
            <w:pPr>
              <w:pStyle w:val="Normal"/>
              <w:rPr>
                <w:b/>
              </w:rPr>
            </w:pPr>
            <w:r>
              <w:rPr>
                <w:b/>
              </w:rPr>
              <w:t xml:space="preserve">Column1     Header (i.e., Principal Investigator, Co-Investigator, Institute, Funding                </w:t>
            </w:r>
          </w:p>
          <w:p>
            <w:pPr>
              <w:pStyle w:val="Normal"/>
              <w:rPr>
                <w:b/>
              </w:rPr>
            </w:pPr>
            <w:r>
              <w:rPr>
                <w:b/>
              </w:rPr>
              <w:t xml:space="preserve">                     </w:t>
            </w:r>
            <w:r>
              <w:rPr>
                <w:b/>
              </w:rPr>
              <w:t>Source)</w:t>
            </w:r>
          </w:p>
          <w:p>
            <w:pPr>
              <w:pStyle w:val="Normal"/>
              <w:rPr>
                <w:b/>
              </w:rPr>
            </w:pPr>
            <w:r>
              <w:rPr>
                <w:b/>
              </w:rPr>
              <w:t>Column2     Name of the person or Name of Grant</w:t>
            </w:r>
          </w:p>
          <w:p>
            <w:pPr>
              <w:pStyle w:val="Normal"/>
              <w:rPr>
                <w:b/>
              </w:rPr>
            </w:pPr>
            <w:r>
              <w:rPr>
                <w:b/>
              </w:rPr>
              <w:t>Column3     Affiliation (include City, State, Country)</w:t>
            </w:r>
          </w:p>
          <w:p>
            <w:pPr>
              <w:pStyle w:val="Normal"/>
              <w:rPr>
                <w:b/>
                <w:color w:val="0000FF"/>
                <w:sz w:val="22"/>
                <w:szCs w:val="22"/>
              </w:rPr>
            </w:pPr>
            <w:r>
              <w:rPr>
                <w:b/>
                <w:color w:val="0000FF"/>
                <w:sz w:val="22"/>
                <w:szCs w:val="22"/>
              </w:rPr>
              <w:t>Example: http://www.ncbi.nlm.nih.gov/projects/gap/cgi-bin/study.cgi?study_id=phs000071.v2.p1</w:t>
            </w:r>
          </w:p>
        </w:tc>
      </w:tr>
      <w:tr>
        <w:trPr>
          <w:trHeight w:val="465" w:hRule="atLeast"/>
          <w:cantSplit w:val="false"/>
        </w:trPr>
        <w:tc>
          <w:tcPr>
            <w:tcW w:w="2440"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D9D9D9" w:val="clear"/>
            <w:tcMar>
              <w:left w:w="78" w:type="dxa"/>
            </w:tcMar>
          </w:tcPr>
          <w:p>
            <w:pPr>
              <w:pStyle w:val="Normal"/>
              <w:rPr>
                <w:b/>
              </w:rPr>
            </w:pPr>
            <w:r>
              <w:rPr>
                <w:b/>
              </w:rPr>
              <w:t>Header</w:t>
            </w:r>
          </w:p>
        </w:tc>
        <w:tc>
          <w:tcPr>
            <w:tcW w:w="233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D9D9D9" w:val="clear"/>
            <w:tcMar>
              <w:left w:w="78" w:type="dxa"/>
            </w:tcMar>
          </w:tcPr>
          <w:p>
            <w:pPr>
              <w:pStyle w:val="Normal"/>
              <w:rPr>
                <w:b/>
              </w:rPr>
            </w:pPr>
            <w:r>
              <w:rPr>
                <w:b/>
              </w:rPr>
              <w:t>Name</w:t>
            </w:r>
          </w:p>
        </w:tc>
        <w:tc>
          <w:tcPr>
            <w:tcW w:w="4780"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D9D9D9" w:val="clear"/>
            <w:tcMar>
              <w:left w:w="78" w:type="dxa"/>
            </w:tcMar>
          </w:tcPr>
          <w:p>
            <w:pPr>
              <w:pStyle w:val="Normal"/>
              <w:rPr>
                <w:b/>
              </w:rPr>
            </w:pPr>
            <w:r>
              <w:rPr>
                <w:b/>
              </w:rPr>
              <w:t>Affiliation</w:t>
            </w:r>
          </w:p>
        </w:tc>
      </w:tr>
      <w:tr>
        <w:trPr>
          <w:trHeight w:val="465" w:hRule="atLeast"/>
          <w:cantSplit w:val="false"/>
        </w:trPr>
        <w:tc>
          <w:tcPr>
            <w:tcW w:w="2440"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Director of Research</w:t>
            </w:r>
          </w:p>
        </w:tc>
        <w:tc>
          <w:tcPr>
            <w:tcW w:w="233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Madeleine Ball</w:t>
            </w:r>
          </w:p>
        </w:tc>
        <w:tc>
          <w:tcPr>
            <w:tcW w:w="4780"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bookmarkStart w:id="18" w:name="__DdeLink__3970_936430282"/>
            <w:bookmarkEnd w:id="18"/>
            <w:r>
              <w:rPr/>
              <w:t>Harvard Personal Genome Project</w:t>
            </w:r>
          </w:p>
        </w:tc>
      </w:tr>
      <w:tr>
        <w:trPr>
          <w:trHeight w:val="465" w:hRule="atLeast"/>
          <w:cantSplit w:val="false"/>
        </w:trPr>
        <w:tc>
          <w:tcPr>
            <w:tcW w:w="2440" w:type="dxa"/>
            <w:tcBorders>
              <w:top w:val="nil"/>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Director of Community</w:t>
            </w:r>
          </w:p>
        </w:tc>
        <w:tc>
          <w:tcPr>
            <w:tcW w:w="2338" w:type="dxa"/>
            <w:tcBorders>
              <w:top w:val="nil"/>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Jason Bobe</w:t>
            </w:r>
          </w:p>
        </w:tc>
        <w:tc>
          <w:tcPr>
            <w:tcW w:w="4780" w:type="dxa"/>
            <w:tcBorders>
              <w:top w:val="nil"/>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Harvard Personal Genome Project</w:t>
            </w:r>
          </w:p>
        </w:tc>
      </w:tr>
      <w:tr>
        <w:trPr>
          <w:trHeight w:val="465" w:hRule="atLeast"/>
          <w:cantSplit w:val="false"/>
        </w:trPr>
        <w:tc>
          <w:tcPr>
            <w:tcW w:w="2440" w:type="dxa"/>
            <w:tcBorders>
              <w:top w:val="nil"/>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Director of Human Subjects Research</w:t>
            </w:r>
          </w:p>
        </w:tc>
        <w:tc>
          <w:tcPr>
            <w:tcW w:w="2338" w:type="dxa"/>
            <w:tcBorders>
              <w:top w:val="nil"/>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Michael Chou</w:t>
            </w:r>
          </w:p>
        </w:tc>
        <w:tc>
          <w:tcPr>
            <w:tcW w:w="4780" w:type="dxa"/>
            <w:tcBorders>
              <w:top w:val="nil"/>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Harvard Personal Genome Project</w:t>
            </w:r>
          </w:p>
        </w:tc>
      </w:tr>
      <w:tr>
        <w:trPr>
          <w:trHeight w:val="465" w:hRule="atLeast"/>
          <w:cantSplit w:val="false"/>
        </w:trPr>
        <w:tc>
          <w:tcPr>
            <w:tcW w:w="2440" w:type="dxa"/>
            <w:tcBorders>
              <w:top w:val="nil"/>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Principal Investigator</w:t>
            </w:r>
          </w:p>
        </w:tc>
        <w:tc>
          <w:tcPr>
            <w:tcW w:w="2338" w:type="dxa"/>
            <w:tcBorders>
              <w:top w:val="nil"/>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George Church</w:t>
            </w:r>
          </w:p>
        </w:tc>
        <w:tc>
          <w:tcPr>
            <w:tcW w:w="4780" w:type="dxa"/>
            <w:tcBorders>
              <w:top w:val="nil"/>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Harvard Personal Genome Project</w:t>
            </w:r>
          </w:p>
        </w:tc>
      </w:tr>
      <w:tr>
        <w:trPr>
          <w:trHeight w:val="465" w:hRule="atLeast"/>
          <w:cantSplit w:val="false"/>
        </w:trPr>
        <w:tc>
          <w:tcPr>
            <w:tcW w:w="2440" w:type="dxa"/>
            <w:tcBorders>
              <w:top w:val="nil"/>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Software Engineer and Developer</w:t>
            </w:r>
          </w:p>
        </w:tc>
        <w:tc>
          <w:tcPr>
            <w:tcW w:w="2338" w:type="dxa"/>
            <w:tcBorders>
              <w:top w:val="nil"/>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Tom Clegg</w:t>
            </w:r>
          </w:p>
        </w:tc>
        <w:tc>
          <w:tcPr>
            <w:tcW w:w="4780" w:type="dxa"/>
            <w:tcBorders>
              <w:top w:val="nil"/>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Harvard Personal Genome Project</w:t>
            </w:r>
          </w:p>
        </w:tc>
      </w:tr>
      <w:tr>
        <w:trPr>
          <w:trHeight w:val="465" w:hRule="atLeast"/>
          <w:cantSplit w:val="false"/>
        </w:trPr>
        <w:tc>
          <w:tcPr>
            <w:tcW w:w="2440" w:type="dxa"/>
            <w:tcBorders>
              <w:top w:val="nil"/>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Staff</w:t>
            </w:r>
          </w:p>
        </w:tc>
        <w:tc>
          <w:tcPr>
            <w:tcW w:w="2338" w:type="dxa"/>
            <w:tcBorders>
              <w:top w:val="nil"/>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Abram Connelly</w:t>
            </w:r>
          </w:p>
        </w:tc>
        <w:tc>
          <w:tcPr>
            <w:tcW w:w="4780" w:type="dxa"/>
            <w:tcBorders>
              <w:top w:val="nil"/>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Harvard Personal Genome Project</w:t>
            </w:r>
          </w:p>
        </w:tc>
      </w:tr>
      <w:tr>
        <w:trPr>
          <w:trHeight w:val="465" w:hRule="atLeast"/>
          <w:cantSplit w:val="false"/>
        </w:trPr>
        <w:tc>
          <w:tcPr>
            <w:tcW w:w="2440" w:type="dxa"/>
            <w:tcBorders>
              <w:top w:val="nil"/>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Director of Collections and Director of Gerontology</w:t>
            </w:r>
          </w:p>
        </w:tc>
        <w:tc>
          <w:tcPr>
            <w:tcW w:w="2338" w:type="dxa"/>
            <w:tcBorders>
              <w:top w:val="nil"/>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Pete Estep</w:t>
            </w:r>
          </w:p>
        </w:tc>
        <w:tc>
          <w:tcPr>
            <w:tcW w:w="4780" w:type="dxa"/>
            <w:tcBorders>
              <w:top w:val="nil"/>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Harvard Personal Genome Project</w:t>
            </w:r>
          </w:p>
        </w:tc>
      </w:tr>
      <w:tr>
        <w:trPr>
          <w:trHeight w:val="465" w:hRule="atLeast"/>
          <w:cantSplit w:val="false"/>
        </w:trPr>
        <w:tc>
          <w:tcPr>
            <w:tcW w:w="2440" w:type="dxa"/>
            <w:tcBorders>
              <w:top w:val="nil"/>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Staff</w:t>
            </w:r>
          </w:p>
        </w:tc>
        <w:tc>
          <w:tcPr>
            <w:tcW w:w="2338" w:type="dxa"/>
            <w:tcBorders>
              <w:top w:val="nil"/>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Alexander Hoekstra</w:t>
            </w:r>
          </w:p>
        </w:tc>
        <w:tc>
          <w:tcPr>
            <w:tcW w:w="4780" w:type="dxa"/>
            <w:tcBorders>
              <w:top w:val="nil"/>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Harvard Personal Genome Project</w:t>
            </w:r>
          </w:p>
        </w:tc>
      </w:tr>
      <w:tr>
        <w:trPr>
          <w:trHeight w:val="465" w:hRule="atLeast"/>
          <w:cantSplit w:val="false"/>
        </w:trPr>
        <w:tc>
          <w:tcPr>
            <w:tcW w:w="2440" w:type="dxa"/>
            <w:tcBorders>
              <w:top w:val="nil"/>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Ethics Consultant</w:t>
            </w:r>
          </w:p>
        </w:tc>
        <w:tc>
          <w:tcPr>
            <w:tcW w:w="2338" w:type="dxa"/>
            <w:tcBorders>
              <w:top w:val="nil"/>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Jeantine Lunshof</w:t>
            </w:r>
          </w:p>
        </w:tc>
        <w:tc>
          <w:tcPr>
            <w:tcW w:w="4780" w:type="dxa"/>
            <w:tcBorders>
              <w:top w:val="nil"/>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Harvard Personal Genome Project</w:t>
            </w:r>
          </w:p>
        </w:tc>
      </w:tr>
      <w:tr>
        <w:trPr>
          <w:trHeight w:val="465" w:hRule="atLeast"/>
          <w:cantSplit w:val="false"/>
        </w:trPr>
        <w:tc>
          <w:tcPr>
            <w:tcW w:w="2440" w:type="dxa"/>
            <w:tcBorders>
              <w:top w:val="nil"/>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Systems Architect</w:t>
            </w:r>
          </w:p>
        </w:tc>
        <w:tc>
          <w:tcPr>
            <w:tcW w:w="2338" w:type="dxa"/>
            <w:tcBorders>
              <w:top w:val="nil"/>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Ward Vandewege</w:t>
            </w:r>
          </w:p>
        </w:tc>
        <w:tc>
          <w:tcPr>
            <w:tcW w:w="4780" w:type="dxa"/>
            <w:tcBorders>
              <w:top w:val="nil"/>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Harvard Personal Genome Project</w:t>
            </w:r>
          </w:p>
        </w:tc>
      </w:tr>
      <w:tr>
        <w:trPr>
          <w:trHeight w:val="465" w:hRule="atLeast"/>
          <w:cantSplit w:val="false"/>
        </w:trPr>
        <w:tc>
          <w:tcPr>
            <w:tcW w:w="2440" w:type="dxa"/>
            <w:tcBorders>
              <w:top w:val="nil"/>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Director of Informatics</w:t>
            </w:r>
          </w:p>
        </w:tc>
        <w:tc>
          <w:tcPr>
            <w:tcW w:w="2338" w:type="dxa"/>
            <w:tcBorders>
              <w:top w:val="nil"/>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Alexander Wait Zaranek</w:t>
            </w:r>
          </w:p>
        </w:tc>
        <w:tc>
          <w:tcPr>
            <w:tcW w:w="4780" w:type="dxa"/>
            <w:tcBorders>
              <w:top w:val="nil"/>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rPr/>
            </w:pPr>
            <w:r>
              <w:rPr/>
              <w:t>Harvard Personal Genome Project</w:t>
            </w:r>
          </w:p>
        </w:tc>
      </w:tr>
    </w:tbl>
    <w:p>
      <w:pPr>
        <w:pStyle w:val="Normal"/>
        <w:rPr/>
      </w:pPr>
      <w:r>
        <w:rPr/>
      </w:r>
    </w:p>
    <w:tbl>
      <w:tblPr>
        <w:jc w:val="left"/>
        <w:tblInd w:w="-30" w:type="dxa"/>
        <w:tblBorders>
          <w:top w:val="single" w:sz="4" w:space="0" w:color="00000A"/>
          <w:left w:val="single" w:sz="4" w:space="0" w:color="00000A"/>
          <w:bottom w:val="single" w:sz="4" w:space="0" w:color="00000A"/>
          <w:insideH w:val="single" w:sz="4" w:space="0" w:color="00000A"/>
          <w:right w:val="single" w:sz="4" w:space="0" w:color="00000A"/>
          <w:insideV w:val="single" w:sz="4" w:space="0" w:color="00000A"/>
        </w:tblBorders>
        <w:tblCellMar>
          <w:top w:w="0" w:type="dxa"/>
          <w:left w:w="78" w:type="dxa"/>
          <w:bottom w:w="0" w:type="dxa"/>
          <w:right w:w="108" w:type="dxa"/>
        </w:tblCellMar>
      </w:tblPr>
      <w:tblGrid>
        <w:gridCol w:w="8923"/>
        <w:gridCol w:w="628"/>
      </w:tblGrid>
      <w:tr>
        <w:trPr>
          <w:trHeight w:val="255" w:hRule="atLeast"/>
          <w:cantSplit w:val="false"/>
        </w:trPr>
        <w:tc>
          <w:tcPr>
            <w:tcW w:w="9551" w:type="dxa"/>
            <w:gridSpan w:val="2"/>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DE9D9" w:val="clear"/>
            <w:tcMar>
              <w:left w:w="78" w:type="dxa"/>
            </w:tcMar>
          </w:tcPr>
          <w:p>
            <w:pPr>
              <w:pStyle w:val="Normal"/>
              <w:rPr>
                <w:b/>
              </w:rPr>
            </w:pPr>
            <w:r>
              <w:rPr>
                <w:b/>
              </w:rPr>
              <w:t>Grouping dbGaP studies “By Disease”: All dbGaP studies will be grouped under one or more of the headings below. Please check all that apply. (http://www.nlm.nih.gov/mesh/2008/MeSHtree.C.html)</w:t>
            </w:r>
          </w:p>
        </w:tc>
      </w:tr>
      <w:tr>
        <w:trPr>
          <w:trHeight w:val="200" w:hRule="atLeast"/>
          <w:cantSplit w:val="false"/>
        </w:trPr>
        <w:tc>
          <w:tcPr>
            <w:tcW w:w="8923"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tcPr>
          <w:p>
            <w:pPr>
              <w:pStyle w:val="Normal"/>
              <w:rPr/>
            </w:pPr>
            <w:r>
              <w:rPr/>
              <w:t>Bacterial Infections and Mycoses</w:t>
            </w:r>
          </w:p>
        </w:tc>
        <w:tc>
          <w:tcPr>
            <w:tcW w:w="62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jc w:val="center"/>
              <w:rPr/>
            </w:pPr>
            <w:r>
              <w:rPr/>
              <w:t>X</w:t>
            </w:r>
          </w:p>
        </w:tc>
      </w:tr>
      <w:tr>
        <w:trPr>
          <w:trHeight w:val="190" w:hRule="atLeast"/>
          <w:cantSplit w:val="false"/>
        </w:trPr>
        <w:tc>
          <w:tcPr>
            <w:tcW w:w="8923"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tcPr>
          <w:p>
            <w:pPr>
              <w:pStyle w:val="Normal"/>
              <w:rPr/>
            </w:pPr>
            <w:r>
              <w:rPr/>
              <w:t>Virus Diseases</w:t>
            </w:r>
          </w:p>
        </w:tc>
        <w:tc>
          <w:tcPr>
            <w:tcW w:w="62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jc w:val="center"/>
              <w:rPr/>
            </w:pPr>
            <w:r>
              <w:rPr/>
              <w:t>X</w:t>
            </w:r>
          </w:p>
        </w:tc>
      </w:tr>
      <w:tr>
        <w:trPr>
          <w:trHeight w:val="190" w:hRule="atLeast"/>
          <w:cantSplit w:val="false"/>
        </w:trPr>
        <w:tc>
          <w:tcPr>
            <w:tcW w:w="8923"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tcPr>
          <w:p>
            <w:pPr>
              <w:pStyle w:val="Normal"/>
              <w:rPr/>
            </w:pPr>
            <w:r>
              <w:rPr/>
              <w:t>Parasitic Diseases</w:t>
            </w:r>
          </w:p>
        </w:tc>
        <w:tc>
          <w:tcPr>
            <w:tcW w:w="62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jc w:val="center"/>
              <w:rPr/>
            </w:pPr>
            <w:r>
              <w:rPr/>
              <w:t>X</w:t>
            </w:r>
          </w:p>
        </w:tc>
      </w:tr>
      <w:tr>
        <w:trPr>
          <w:trHeight w:val="190" w:hRule="atLeast"/>
          <w:cantSplit w:val="false"/>
        </w:trPr>
        <w:tc>
          <w:tcPr>
            <w:tcW w:w="8923"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tcPr>
          <w:p>
            <w:pPr>
              <w:pStyle w:val="Normal"/>
              <w:rPr/>
            </w:pPr>
            <w:r>
              <w:rPr/>
              <w:t>Neoplasms</w:t>
            </w:r>
          </w:p>
        </w:tc>
        <w:tc>
          <w:tcPr>
            <w:tcW w:w="62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jc w:val="center"/>
              <w:rPr/>
            </w:pPr>
            <w:r>
              <w:rPr/>
              <w:t>X</w:t>
            </w:r>
          </w:p>
        </w:tc>
      </w:tr>
      <w:tr>
        <w:trPr>
          <w:trHeight w:val="190" w:hRule="atLeast"/>
          <w:cantSplit w:val="false"/>
        </w:trPr>
        <w:tc>
          <w:tcPr>
            <w:tcW w:w="8923"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tcPr>
          <w:p>
            <w:pPr>
              <w:pStyle w:val="Normal"/>
              <w:rPr/>
            </w:pPr>
            <w:r>
              <w:rPr/>
              <w:t>Musculoskeletal Diseases</w:t>
            </w:r>
          </w:p>
        </w:tc>
        <w:tc>
          <w:tcPr>
            <w:tcW w:w="62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jc w:val="center"/>
              <w:rPr/>
            </w:pPr>
            <w:r>
              <w:rPr/>
              <w:t>X</w:t>
            </w:r>
          </w:p>
        </w:tc>
      </w:tr>
      <w:tr>
        <w:trPr>
          <w:trHeight w:val="190" w:hRule="atLeast"/>
          <w:cantSplit w:val="false"/>
        </w:trPr>
        <w:tc>
          <w:tcPr>
            <w:tcW w:w="8923"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tcPr>
          <w:p>
            <w:pPr>
              <w:pStyle w:val="Normal"/>
              <w:rPr/>
            </w:pPr>
            <w:r>
              <w:rPr/>
              <w:t>Digestive System Diseases</w:t>
            </w:r>
          </w:p>
        </w:tc>
        <w:tc>
          <w:tcPr>
            <w:tcW w:w="62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jc w:val="center"/>
              <w:rPr/>
            </w:pPr>
            <w:r>
              <w:rPr/>
              <w:t>X</w:t>
            </w:r>
          </w:p>
        </w:tc>
      </w:tr>
      <w:tr>
        <w:trPr>
          <w:trHeight w:val="190" w:hRule="atLeast"/>
          <w:cantSplit w:val="false"/>
        </w:trPr>
        <w:tc>
          <w:tcPr>
            <w:tcW w:w="8923"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tcPr>
          <w:p>
            <w:pPr>
              <w:pStyle w:val="Normal"/>
              <w:rPr/>
            </w:pPr>
            <w:r>
              <w:rPr/>
              <w:t>Stomatognathic Diseases</w:t>
            </w:r>
          </w:p>
        </w:tc>
        <w:tc>
          <w:tcPr>
            <w:tcW w:w="62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jc w:val="center"/>
              <w:rPr/>
            </w:pPr>
            <w:r>
              <w:rPr/>
              <w:t>X</w:t>
            </w:r>
          </w:p>
        </w:tc>
      </w:tr>
      <w:tr>
        <w:trPr>
          <w:trHeight w:val="190" w:hRule="atLeast"/>
          <w:cantSplit w:val="false"/>
        </w:trPr>
        <w:tc>
          <w:tcPr>
            <w:tcW w:w="8923"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tcPr>
          <w:p>
            <w:pPr>
              <w:pStyle w:val="Normal"/>
              <w:rPr/>
            </w:pPr>
            <w:r>
              <w:rPr/>
              <w:t>Respiratory Tract Diseases</w:t>
            </w:r>
          </w:p>
        </w:tc>
        <w:tc>
          <w:tcPr>
            <w:tcW w:w="62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jc w:val="center"/>
              <w:rPr/>
            </w:pPr>
            <w:r>
              <w:rPr/>
              <w:t>X</w:t>
            </w:r>
          </w:p>
        </w:tc>
      </w:tr>
      <w:tr>
        <w:trPr>
          <w:trHeight w:val="190" w:hRule="atLeast"/>
          <w:cantSplit w:val="false"/>
        </w:trPr>
        <w:tc>
          <w:tcPr>
            <w:tcW w:w="8923"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tcPr>
          <w:p>
            <w:pPr>
              <w:pStyle w:val="Normal"/>
              <w:rPr/>
            </w:pPr>
            <w:r>
              <w:rPr/>
              <w:t>Otorhinolaryngologic Diseases</w:t>
            </w:r>
          </w:p>
        </w:tc>
        <w:tc>
          <w:tcPr>
            <w:tcW w:w="62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jc w:val="center"/>
              <w:rPr/>
            </w:pPr>
            <w:r>
              <w:rPr/>
              <w:t>X</w:t>
            </w:r>
          </w:p>
        </w:tc>
      </w:tr>
      <w:tr>
        <w:trPr>
          <w:trHeight w:val="190" w:hRule="atLeast"/>
          <w:cantSplit w:val="false"/>
        </w:trPr>
        <w:tc>
          <w:tcPr>
            <w:tcW w:w="8923"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tcPr>
          <w:p>
            <w:pPr>
              <w:pStyle w:val="Normal"/>
              <w:rPr/>
            </w:pPr>
            <w:r>
              <w:rPr/>
              <w:t>Nervous System Diseases</w:t>
            </w:r>
          </w:p>
        </w:tc>
        <w:tc>
          <w:tcPr>
            <w:tcW w:w="62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jc w:val="center"/>
              <w:rPr/>
            </w:pPr>
            <w:r>
              <w:rPr/>
              <w:t>X</w:t>
            </w:r>
          </w:p>
        </w:tc>
      </w:tr>
      <w:tr>
        <w:trPr>
          <w:trHeight w:val="190" w:hRule="atLeast"/>
          <w:cantSplit w:val="false"/>
        </w:trPr>
        <w:tc>
          <w:tcPr>
            <w:tcW w:w="8923"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tcPr>
          <w:p>
            <w:pPr>
              <w:pStyle w:val="Normal"/>
              <w:rPr/>
            </w:pPr>
            <w:r>
              <w:rPr/>
              <w:t>Eye Diseases</w:t>
            </w:r>
          </w:p>
        </w:tc>
        <w:tc>
          <w:tcPr>
            <w:tcW w:w="62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jc w:val="center"/>
              <w:rPr/>
            </w:pPr>
            <w:r>
              <w:rPr/>
              <w:t>X</w:t>
            </w:r>
          </w:p>
        </w:tc>
      </w:tr>
      <w:tr>
        <w:trPr>
          <w:trHeight w:val="190" w:hRule="atLeast"/>
          <w:cantSplit w:val="false"/>
        </w:trPr>
        <w:tc>
          <w:tcPr>
            <w:tcW w:w="8923"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tcPr>
          <w:p>
            <w:pPr>
              <w:pStyle w:val="Normal"/>
              <w:rPr/>
            </w:pPr>
            <w:r>
              <w:rPr/>
              <w:t>Male Urogenital Diseases</w:t>
            </w:r>
          </w:p>
        </w:tc>
        <w:tc>
          <w:tcPr>
            <w:tcW w:w="62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jc w:val="center"/>
              <w:rPr/>
            </w:pPr>
            <w:r>
              <w:rPr/>
              <w:t>X</w:t>
            </w:r>
          </w:p>
        </w:tc>
      </w:tr>
      <w:tr>
        <w:trPr>
          <w:trHeight w:val="190" w:hRule="atLeast"/>
          <w:cantSplit w:val="false"/>
        </w:trPr>
        <w:tc>
          <w:tcPr>
            <w:tcW w:w="8923"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tcPr>
          <w:p>
            <w:pPr>
              <w:pStyle w:val="Normal"/>
              <w:rPr/>
            </w:pPr>
            <w:r>
              <w:rPr/>
              <w:t>Female Urogenital Diseases and Pregnancy Complications</w:t>
            </w:r>
          </w:p>
        </w:tc>
        <w:tc>
          <w:tcPr>
            <w:tcW w:w="62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jc w:val="center"/>
              <w:rPr/>
            </w:pPr>
            <w:r>
              <w:rPr/>
              <w:t>X</w:t>
            </w:r>
          </w:p>
        </w:tc>
      </w:tr>
      <w:tr>
        <w:trPr>
          <w:trHeight w:val="190" w:hRule="atLeast"/>
          <w:cantSplit w:val="false"/>
        </w:trPr>
        <w:tc>
          <w:tcPr>
            <w:tcW w:w="8923"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tcPr>
          <w:p>
            <w:pPr>
              <w:pStyle w:val="Normal"/>
              <w:rPr/>
            </w:pPr>
            <w:r>
              <w:rPr/>
              <w:t>Cardiovascular Diseases</w:t>
            </w:r>
          </w:p>
        </w:tc>
        <w:tc>
          <w:tcPr>
            <w:tcW w:w="62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jc w:val="center"/>
              <w:rPr/>
            </w:pPr>
            <w:r>
              <w:rPr/>
              <w:t>X</w:t>
            </w:r>
          </w:p>
        </w:tc>
      </w:tr>
      <w:tr>
        <w:trPr>
          <w:trHeight w:val="190" w:hRule="atLeast"/>
          <w:cantSplit w:val="false"/>
        </w:trPr>
        <w:tc>
          <w:tcPr>
            <w:tcW w:w="8923"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tcPr>
          <w:p>
            <w:pPr>
              <w:pStyle w:val="Normal"/>
              <w:rPr/>
            </w:pPr>
            <w:r>
              <w:rPr/>
              <w:t>Hemic and Lymphatic Diseases</w:t>
            </w:r>
          </w:p>
        </w:tc>
        <w:tc>
          <w:tcPr>
            <w:tcW w:w="62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jc w:val="center"/>
              <w:rPr/>
            </w:pPr>
            <w:r>
              <w:rPr/>
              <w:t>X</w:t>
            </w:r>
          </w:p>
        </w:tc>
      </w:tr>
      <w:tr>
        <w:trPr>
          <w:trHeight w:val="190" w:hRule="atLeast"/>
          <w:cantSplit w:val="false"/>
        </w:trPr>
        <w:tc>
          <w:tcPr>
            <w:tcW w:w="8923"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tcPr>
          <w:p>
            <w:pPr>
              <w:pStyle w:val="Normal"/>
              <w:rPr/>
            </w:pPr>
            <w:r>
              <w:rPr/>
              <w:t>Congenital, Hereditary, and Neonatal Diseases and Abnormalities</w:t>
            </w:r>
          </w:p>
        </w:tc>
        <w:tc>
          <w:tcPr>
            <w:tcW w:w="62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jc w:val="center"/>
              <w:rPr/>
            </w:pPr>
            <w:r>
              <w:rPr/>
              <w:t>X</w:t>
            </w:r>
          </w:p>
        </w:tc>
      </w:tr>
      <w:tr>
        <w:trPr>
          <w:trHeight w:val="190" w:hRule="atLeast"/>
          <w:cantSplit w:val="false"/>
        </w:trPr>
        <w:tc>
          <w:tcPr>
            <w:tcW w:w="8923"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tcPr>
          <w:p>
            <w:pPr>
              <w:pStyle w:val="Normal"/>
              <w:rPr/>
            </w:pPr>
            <w:r>
              <w:rPr/>
              <w:t>Skin and Connective Tissue Diseases</w:t>
            </w:r>
          </w:p>
        </w:tc>
        <w:tc>
          <w:tcPr>
            <w:tcW w:w="62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jc w:val="center"/>
              <w:rPr/>
            </w:pPr>
            <w:r>
              <w:rPr/>
              <w:t>X</w:t>
            </w:r>
          </w:p>
        </w:tc>
      </w:tr>
      <w:tr>
        <w:trPr>
          <w:trHeight w:val="190" w:hRule="atLeast"/>
          <w:cantSplit w:val="false"/>
        </w:trPr>
        <w:tc>
          <w:tcPr>
            <w:tcW w:w="8923"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tcPr>
          <w:p>
            <w:pPr>
              <w:pStyle w:val="Normal"/>
              <w:rPr/>
            </w:pPr>
            <w:r>
              <w:rPr/>
              <w:t>Nutritional and Metabolic Diseases</w:t>
            </w:r>
          </w:p>
        </w:tc>
        <w:tc>
          <w:tcPr>
            <w:tcW w:w="62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jc w:val="center"/>
              <w:rPr/>
            </w:pPr>
            <w:r>
              <w:rPr/>
              <w:t>X</w:t>
            </w:r>
          </w:p>
        </w:tc>
      </w:tr>
      <w:tr>
        <w:trPr>
          <w:trHeight w:val="190" w:hRule="atLeast"/>
          <w:cantSplit w:val="false"/>
        </w:trPr>
        <w:tc>
          <w:tcPr>
            <w:tcW w:w="8923"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tcPr>
          <w:p>
            <w:pPr>
              <w:pStyle w:val="Normal"/>
              <w:rPr/>
            </w:pPr>
            <w:r>
              <w:rPr/>
              <w:t>Endocrine System Diseases</w:t>
            </w:r>
          </w:p>
        </w:tc>
        <w:tc>
          <w:tcPr>
            <w:tcW w:w="62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jc w:val="center"/>
              <w:rPr/>
            </w:pPr>
            <w:r>
              <w:rPr/>
              <w:t>X</w:t>
            </w:r>
          </w:p>
        </w:tc>
      </w:tr>
      <w:tr>
        <w:trPr>
          <w:trHeight w:val="190" w:hRule="atLeast"/>
          <w:cantSplit w:val="false"/>
        </w:trPr>
        <w:tc>
          <w:tcPr>
            <w:tcW w:w="8923"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tcPr>
          <w:p>
            <w:pPr>
              <w:pStyle w:val="Normal"/>
              <w:rPr/>
            </w:pPr>
            <w:r>
              <w:rPr/>
              <w:t>Immune System Diseases</w:t>
            </w:r>
          </w:p>
        </w:tc>
        <w:tc>
          <w:tcPr>
            <w:tcW w:w="62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jc w:val="center"/>
              <w:rPr/>
            </w:pPr>
            <w:r>
              <w:rPr/>
              <w:t>X</w:t>
            </w:r>
          </w:p>
        </w:tc>
      </w:tr>
      <w:tr>
        <w:trPr>
          <w:trHeight w:val="190" w:hRule="atLeast"/>
          <w:cantSplit w:val="false"/>
        </w:trPr>
        <w:tc>
          <w:tcPr>
            <w:tcW w:w="8923"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tcPr>
          <w:p>
            <w:pPr>
              <w:pStyle w:val="Normal"/>
              <w:rPr/>
            </w:pPr>
            <w:r>
              <w:rPr/>
              <w:t>Disorders of Environmental Origin</w:t>
            </w:r>
          </w:p>
        </w:tc>
        <w:tc>
          <w:tcPr>
            <w:tcW w:w="62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jc w:val="center"/>
              <w:rPr/>
            </w:pPr>
            <w:r>
              <w:rPr/>
              <w:t>X</w:t>
            </w:r>
          </w:p>
        </w:tc>
      </w:tr>
      <w:tr>
        <w:trPr>
          <w:trHeight w:val="190" w:hRule="atLeast"/>
          <w:cantSplit w:val="false"/>
        </w:trPr>
        <w:tc>
          <w:tcPr>
            <w:tcW w:w="8923"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tcPr>
          <w:p>
            <w:pPr>
              <w:pStyle w:val="Normal"/>
              <w:rPr/>
            </w:pPr>
            <w:r>
              <w:rPr/>
              <w:t>Pathological Conditions, Signs and Symptoms</w:t>
            </w:r>
          </w:p>
        </w:tc>
        <w:tc>
          <w:tcPr>
            <w:tcW w:w="62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jc w:val="center"/>
              <w:rPr/>
            </w:pPr>
            <w:r>
              <w:rPr/>
              <w:t>X</w:t>
            </w:r>
          </w:p>
        </w:tc>
      </w:tr>
      <w:tr>
        <w:trPr>
          <w:trHeight w:val="190" w:hRule="atLeast"/>
          <w:cantSplit w:val="false"/>
        </w:trPr>
        <w:tc>
          <w:tcPr>
            <w:tcW w:w="8923"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tcPr>
          <w:p>
            <w:pPr>
              <w:pStyle w:val="Normal"/>
              <w:rPr/>
            </w:pPr>
            <w:r>
              <w:rPr/>
              <w:t>Behavior and Behavior Mechanisms</w:t>
            </w:r>
          </w:p>
        </w:tc>
        <w:tc>
          <w:tcPr>
            <w:tcW w:w="62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jc w:val="center"/>
              <w:rPr/>
            </w:pPr>
            <w:r>
              <w:rPr/>
              <w:t>X</w:t>
            </w:r>
          </w:p>
        </w:tc>
      </w:tr>
      <w:tr>
        <w:trPr>
          <w:trHeight w:val="190" w:hRule="atLeast"/>
          <w:cantSplit w:val="false"/>
        </w:trPr>
        <w:tc>
          <w:tcPr>
            <w:tcW w:w="8923"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tcPr>
          <w:p>
            <w:pPr>
              <w:pStyle w:val="Normal"/>
              <w:rPr/>
            </w:pPr>
            <w:r>
              <w:rPr/>
              <w:t>Psychological Phenomena and Processes</w:t>
            </w:r>
          </w:p>
        </w:tc>
        <w:tc>
          <w:tcPr>
            <w:tcW w:w="62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jc w:val="center"/>
              <w:rPr/>
            </w:pPr>
            <w:r>
              <w:rPr/>
              <w:t>X</w:t>
            </w:r>
          </w:p>
        </w:tc>
      </w:tr>
      <w:tr>
        <w:trPr>
          <w:trHeight w:val="190" w:hRule="atLeast"/>
          <w:cantSplit w:val="false"/>
        </w:trPr>
        <w:tc>
          <w:tcPr>
            <w:tcW w:w="8923"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tcPr>
          <w:p>
            <w:pPr>
              <w:pStyle w:val="Normal"/>
              <w:rPr/>
            </w:pPr>
            <w:r>
              <w:rPr/>
              <w:t>Mental Disorders</w:t>
            </w:r>
          </w:p>
        </w:tc>
        <w:tc>
          <w:tcPr>
            <w:tcW w:w="62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jc w:val="center"/>
              <w:rPr/>
            </w:pPr>
            <w:r>
              <w:rPr/>
            </w:r>
          </w:p>
        </w:tc>
      </w:tr>
      <w:tr>
        <w:trPr>
          <w:trHeight w:val="190" w:hRule="atLeast"/>
          <w:cantSplit w:val="false"/>
        </w:trPr>
        <w:tc>
          <w:tcPr>
            <w:tcW w:w="8923"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tcPr>
          <w:p>
            <w:pPr>
              <w:pStyle w:val="Normal"/>
              <w:ind w:left="720" w:right="0" w:hanging="720"/>
              <w:rPr/>
            </w:pPr>
            <w:r>
              <w:rPr/>
              <w:t>Behavioral Disciplines and Activities</w:t>
            </w:r>
          </w:p>
        </w:tc>
        <w:tc>
          <w:tcPr>
            <w:tcW w:w="62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ind w:left="720" w:right="0" w:hanging="720"/>
              <w:jc w:val="center"/>
              <w:rPr/>
            </w:pPr>
            <w:r>
              <w:rPr/>
              <w:t xml:space="preserve">            </w:t>
            </w:r>
            <w:r>
              <w:rPr/>
              <w:t>X</w:t>
            </w:r>
          </w:p>
        </w:tc>
      </w:tr>
      <w:tr>
        <w:trPr>
          <w:trHeight w:val="190" w:hRule="atLeast"/>
          <w:cantSplit w:val="false"/>
        </w:trPr>
        <w:tc>
          <w:tcPr>
            <w:tcW w:w="8923"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tcPr>
          <w:p>
            <w:pPr>
              <w:pStyle w:val="Normal"/>
              <w:rPr/>
            </w:pPr>
            <w:r>
              <w:rPr/>
              <w:t>Population, Convenience, Spouse, Controls</w:t>
            </w:r>
          </w:p>
        </w:tc>
        <w:tc>
          <w:tcPr>
            <w:tcW w:w="62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78" w:type="dxa"/>
            </w:tcMar>
            <w:vAlign w:val="center"/>
          </w:tcPr>
          <w:p>
            <w:pPr>
              <w:pStyle w:val="Normal"/>
              <w:jc w:val="center"/>
              <w:rPr/>
            </w:pPr>
            <w:r>
              <w:rPr/>
            </w:r>
          </w:p>
        </w:tc>
      </w:tr>
    </w:tbl>
    <w:p>
      <w:pPr>
        <w:pStyle w:val="Normal"/>
        <w:rPr/>
      </w:pPr>
      <w:r>
        <w:rPr/>
      </w:r>
    </w:p>
    <w:sectPr>
      <w:type w:val="nextPage"/>
      <w:pgSz w:w="12240" w:h="15840"/>
      <w:pgMar w:left="1380" w:right="1380" w:header="0" w:top="1440" w:footer="0" w:bottom="1440" w:gutter="0"/>
      <w:pgNumType w:fmt="decimal"/>
      <w:formProt w:val="false"/>
      <w:textDirection w:val="lrTb"/>
      <w:docGrid w:type="default" w:linePitch="36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docDefaults>
    <w:rPrDefault>
      <w:rPr>
        <w:rFonts w:ascii="Times New Roman" w:hAnsi="Times New Roman" w:eastAsia="Times New Roman" w:cs="Times New Roman"/>
        <w:lang w:val="en-US" w:eastAsia="en-US" w:bidi="ar-SA"/>
      </w:rPr>
    </w:rPrDefault>
    <w:pPrDefault>
      <w:pPr/>
    </w:pPrDefault>
  </w:docDefaults>
  <w:latentStyles w:count="267" w:defQFormat="0" w:defUnhideWhenUsed="0" w:defSemiHidden="0" w:defUIPriority="0" w:defLockedState="0">
    <w:lsdException w:qFormat="1" w:name="Normal"/>
    <w:lsdException w:qFormat="1" w:name="heading 1"/>
    <w:lsdException w:qFormat="1" w:unhideWhenUsed="1" w:semiHidden="1" w:name="heading 2"/>
    <w:lsdException w:qFormat="1" w:unhideWhenUsed="1" w:semiHidden="1" w:name="heading 3"/>
    <w:lsdException w:qFormat="1" w:unhideWhenUsed="1" w:semiHidden="1" w:name="heading 4"/>
    <w:lsdException w:qFormat="1" w:unhideWhenUsed="1" w:semiHidden="1" w:name="heading 5"/>
    <w:lsdException w:qFormat="1" w:unhideWhenUsed="1" w:semiHidden="1" w:name="heading 6"/>
    <w:lsdException w:qFormat="1" w:unhideWhenUsed="1" w:semiHidden="1" w:name="heading 7"/>
    <w:lsdException w:qFormat="1" w:unhideWhenUsed="1" w:semiHidden="1" w:name="heading 8"/>
    <w:lsdException w:qFormat="1" w:unhideWhenUsed="1" w:semiHidden="1" w:name="heading 9"/>
    <w:lsdException w:qFormat="1" w:unhideWhenUsed="1" w:semiHidden="1" w:name="caption"/>
    <w:lsdException w:qFormat="1" w:name="Title"/>
    <w:lsdException w:qFormat="1" w:name="Subtitle"/>
    <w:lsdException w:qFormat="1" w:name="Strong"/>
    <w:lsdException w:qFormat="1" w:name="Emphasis"/>
    <w:lsdException w:semiHidden="1" w:uiPriority="99" w:name="Placeholder Text"/>
    <w:lsdException w:qFormat="1" w:uiPriority="1" w:name="No Spacing"/>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semiHidden="1" w:uiPriority="99" w:name="Revision"/>
    <w:lsdException w:qFormat="1" w:uiPriority="34" w:name="List Paragraph"/>
    <w:lsdException w:qFormat="1" w:uiPriority="29" w:name="Quote"/>
    <w:lsdException w:qFormat="1" w:uiPriority="30" w:name="Intense Quote"/>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sdException w:qFormat="1" w:uiPriority="19" w:name="Subtle Emphasis"/>
    <w:lsdException w:qFormat="1" w:uiPriority="21" w:name="Intense Emphasis"/>
    <w:lsdException w:qFormat="1" w:uiPriority="31" w:name="Subtle Reference"/>
    <w:lsdException w:qFormat="1" w:uiPriority="32" w:name="Intense Reference"/>
    <w:lsdException w:qFormat="1" w:uiPriority="33" w:name="Book Title"/>
    <w:lsdException w:unhideWhenUsed="1" w:semiHidden="1" w:uiPriority="37" w:name="Bibliography"/>
    <w:lsdException w:qFormat="1" w:unhideWhenUsed="1" w:semiHidden="1" w:uiPriority="39" w:name="TOC Heading"/>
  </w:latentStyles>
  <w:style w:type="paragraph" w:styleId="Normal" w:default="1">
    <w:name w:val="Normal"/>
    <w:qFormat/>
    <w:pPr>
      <w:widowControl/>
      <w:suppressAutoHyphens w:val="true"/>
      <w:bidi w:val="0"/>
      <w:jc w:val="left"/>
    </w:pPr>
    <w:rPr>
      <w:rFonts w:ascii="Times New Roman" w:hAnsi="Times New Roman" w:eastAsia="Times New Roman" w:cs="Times New Roman"/>
      <w:color w:val="00000A"/>
      <w:sz w:val="24"/>
      <w:szCs w:val="24"/>
      <w:lang w:val="en-US" w:eastAsia="en-US" w:bidi="ar-SA"/>
    </w:rPr>
  </w:style>
  <w:style w:type="character" w:styleId="DefaultParagraphFont" w:default="1">
    <w:name w:val="Default Paragraph Font"/>
    <w:uiPriority w:val="1"/>
    <w:semiHidden/>
    <w:unhideWhenUsed/>
    <w:rPr/>
  </w:style>
  <w:style w:type="character" w:styleId="InternetLink">
    <w:name w:val="Internet Link"/>
    <w:rsid w:val="00d558bd"/>
    <w:rPr>
      <w:color w:val="0000FF"/>
      <w:u w:val="single"/>
      <w:lang w:val="zxx" w:eastAsia="zxx" w:bidi="zxx"/>
    </w:rPr>
  </w:style>
  <w:style w:type="character" w:styleId="Bullets">
    <w:name w:val="Bullets"/>
    <w:rPr>
      <w:rFonts w:ascii="OpenSymbol" w:hAnsi="OpenSymbol" w:eastAsia="OpenSymbol" w:cs="OpenSymbol"/>
    </w:rPr>
  </w:style>
  <w:style w:type="paragraph" w:styleId="Heading">
    <w:name w:val="Heading"/>
    <w:basedOn w:val="Normal"/>
    <w:next w:val="TextBody"/>
    <w:pPr>
      <w:keepNext/>
      <w:spacing w:before="240" w:after="120"/>
    </w:pPr>
    <w:rPr>
      <w:rFonts w:ascii="Liberation Sans" w:hAnsi="Liberation Sans" w:eastAsia="Droid Sans Fallback" w:cs="FreeSans"/>
      <w:sz w:val="28"/>
      <w:szCs w:val="28"/>
    </w:rPr>
  </w:style>
  <w:style w:type="paragraph" w:styleId="TextBody">
    <w:name w:val="Text Body"/>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pPr>
      <w:suppressLineNumbers/>
      <w:spacing w:before="120" w:after="120"/>
    </w:pPr>
    <w:rPr>
      <w:rFonts w:cs="FreeSans"/>
      <w:i/>
      <w:iCs/>
      <w:sz w:val="24"/>
      <w:szCs w:val="24"/>
    </w:rPr>
  </w:style>
  <w:style w:type="paragraph" w:styleId="Index">
    <w:name w:val="Index"/>
    <w:basedOn w:val="Normal"/>
    <w:pPr>
      <w:suppressLineNumbers/>
    </w:pPr>
    <w:rPr>
      <w:rFonts w:cs="FreeSans"/>
    </w:rPr>
  </w:style>
  <w:style w:type="paragraph" w:styleId="TableContents">
    <w:name w:val="Table Contents"/>
    <w:basedOn w:val="Normal"/>
    <w:pPr/>
    <w:rPr/>
  </w:style>
  <w:style w:type="paragraph" w:styleId="TableHeading">
    <w:name w:val="Table Heading"/>
    <w:basedOn w:val="TableContents"/>
    <w:pPr/>
    <w:rPr/>
  </w:style>
  <w:style w:type="numbering" w:styleId="NoList" w:default="1">
    <w:name w:val="No List"/>
    <w:uiPriority w:val="99"/>
    <w:semiHidden/>
    <w:unhideWhenUsed/>
  </w:style>
  <w:style w:type="table" w:default="1" w:styleId="TableNormal">
    <w:name w:val="Normal Table"/>
    <w:uiPriority w:val="99"/>
    <w:semiHidden/>
    <w:unhideWhenUsed/>
    <w:tblPr>
      <w:tblInd w:type="dxa" w:w="0"/>
      <w:tblCellMar>
        <w:top w:w="0" w:type="dxa"/>
        <w:left w:w="108" w:type="dxa"/>
        <w:bottom w:w="0" w:type="dxa"/>
        <w:right w:w="108" w:type="dxa"/>
      </w:tblCellMar>
    </w:tblPr>
  </w:style>
  <w:style w:type="table" w:styleId="TableGrid">
    <w:name w:val="Table Grid"/>
    <w:basedOn w:val="TableNormal"/>
    <w:rsid w:val="00225dc8"/>
    <w:tblPr>
      <w:tblInd w:type="dxa" w:w="0"/>
      <w:tblBorders>
        <w:top w:space="0" w:sz="4" w:color="auto" w:val="single"/>
        <w:left w:space="0" w:sz="4" w:color="auto" w:val="single"/>
        <w:bottom w:space="0" w:sz="4" w:color="auto" w:val="single"/>
        <w:right w:space="0" w:sz="4" w:color="auto" w:val="single"/>
        <w:insideH w:space="0" w:sz="4" w:color="auto" w:val="single"/>
        <w:insideV w:space="0" w:sz="4" w:color="auto" w:val="single"/>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ncbi.nlm.nih.gov/sites/entrez?db=gap" TargetMode="External"/><Relationship Id="rId3" Type="http://schemas.openxmlformats.org/officeDocument/2006/relationships/hyperlink" Target="http://www.ncbi.nlm.nih.gov/projects/gap/cgi-bin/study.cgi?study_id=phs000001.v1.p1" TargetMode="External"/><Relationship Id="rId4" Type="http://schemas.openxmlformats.org/officeDocument/2006/relationships/hyperlink" Target="http://en.wikipedia.org/wiki/Personal_Genome_Project" TargetMode="External"/><Relationship Id="rId5" Type="http://schemas.openxmlformats.org/officeDocument/2006/relationships/hyperlink" Target="http://en.wikipedia.org/wiki/Personal_Genome_Project" TargetMode="External"/><Relationship Id="rId6" Type="http://schemas.openxmlformats.org/officeDocument/2006/relationships/hyperlink" Target="http://en.wikipedia.org/wiki/Wikipedia:Text_of_Creative_Commons_Attribution-ShareAlike_3.0_Unported_License" TargetMode="External"/><Relationship Id="rId7" Type="http://schemas.openxmlformats.org/officeDocument/2006/relationships/hyperlink" Target="http://www.ncbi.nlm.nih.gov/mesh/" TargetMode="External"/><Relationship Id="rId8" Type="http://schemas.openxmlformats.org/officeDocument/2006/relationships/hyperlink" Target="http://www.ncbi.nlm.nih.gov/gene" TargetMode="External"/><Relationship Id="rId9" Type="http://schemas.openxmlformats.org/officeDocument/2006/relationships/hyperlink" Target="http://www.ncbi.nlm.nih.gov/PubMed/" TargetMode="Externa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2012-04-02T15:59:00Z</dcterms:created>
  <dc:creator>kianga</dc:creator>
  <dc:language>en-US</dc:language>
  <cp:lastModifiedBy>kianga</cp:lastModifiedBy>
  <cp:lastPrinted>2008-11-03T17:33:00Z</cp:lastPrinted>
  <dcterms:modified xsi:type="dcterms:W3CDTF">2014-04-09T19:31:00Z</dcterms:modified>
  <cp:revision>16</cp:revision>
  <dc:title>Study Configuration Template</dc:title>
</cp:coreProperties>
</file>