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44"/>
          <w:szCs w:val="44"/>
        </w:rPr>
        <w:t xml:space="preserve">Clustering Analysis</w:t>
      </w:r>
    </w:p>
    <w:p>
      <w:pPr>
        <w:spacing w:after="40"/>
        <w:jc w:val="center"/>
      </w:pPr>
      <w:r>
        <w:rPr>
          <w:b/>
          <w:bCs/>
          <w:sz w:val="26"/>
          <w:szCs w:val="26"/>
        </w:rPr>
        <w:t xml:space="preserve">Customer Churn Analysis, Stage 2 Deliverable</w:t>
      </w:r>
    </w:p>
    <w:p>
      <w:pPr>
        <w:spacing w:after="240"/>
        <w:jc w:val="center"/>
      </w:pPr>
      <w:r>
        <w:rPr>
          <w:i/>
          <w:iCs/>
          <w:color w:val="6B6B6B"/>
        </w:rPr>
        <w:t xml:space="preserve">Prepared by: Abed, Data Analyst, Clustering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4E5F" w:val="clear"/>
            <w:tcMar>
              <w:top w:type="dxa" w:w="80"/>
              <w:left w:type="dxa" w:w="100"/>
              <w:bottom w:type="dxa" w:w="80"/>
              <w:right w:type="dxa" w:w="100"/>
            </w:tcMar>
          </w:tcPr>
          <w:p>
            <w:r>
              <w:rPr>
                <w:b/>
                <w:bCs/>
                <w:color w:val="FFFFFF"/>
              </w:rPr>
              <w:t xml:space="preserve">Deliverable</w:t>
            </w:r>
          </w:p>
        </w:tc>
        <w:tc>
          <w:tcPr>
            <w:tcW w:type="dxa" w:w="6800"/>
            <w:shd w:fill="1F4E5F" w:val="clear"/>
            <w:tcMar>
              <w:top w:type="dxa" w:w="80"/>
              <w:left w:type="dxa" w:w="100"/>
              <w:bottom w:type="dxa" w:w="80"/>
              <w:right w:type="dxa" w:w="100"/>
            </w:tcMar>
          </w:tcPr>
          <w:p>
            <w:r>
              <w:rPr>
                <w:b/>
                <w:bCs/>
                <w:color w:val="FFFFFF"/>
              </w:rPr>
              <w:t xml:space="preserve">Files in this folder</w:t>
            </w:r>
          </w:p>
        </w:tc>
      </w:tr>
      <w:tr>
        <w:tc>
          <w:tcPr>
            <w:tcW w:type="dxa" w:w="3000"/>
            <w:tcMar>
              <w:top w:type="dxa" w:w="80"/>
              <w:left w:type="dxa" w:w="100"/>
              <w:bottom w:type="dxa" w:w="80"/>
              <w:right w:type="dxa" w:w="100"/>
            </w:tcMar>
          </w:tcPr>
          <w:p>
            <w:r>
              <w:t xml:space="preserve">Clustering_Analysis</w:t>
            </w:r>
          </w:p>
        </w:tc>
        <w:tc>
          <w:tcPr>
            <w:tcW w:type="dxa" w:w="6800"/>
            <w:tcMar>
              <w:top w:type="dxa" w:w="80"/>
              <w:left w:type="dxa" w:w="100"/>
              <w:bottom w:type="dxa" w:w="80"/>
              <w:right w:type="dxa" w:w="100"/>
            </w:tcMar>
          </w:tcPr>
          <w:p>
            <w:r>
              <w:t xml:space="preserve">This document (documentation + insights); Clustering_Analysis.ipynb and .py (code); kmeans_model.pkl (trained model); elbow_method.png; cluster_visualization.png; cluster_assignments.csv</w:t>
            </w:r>
          </w:p>
        </w:tc>
      </w:tr>
    </w:tbl>
    <w:p>
      <w:pPr>
        <w:pStyle w:val="Heading1"/>
        <w:spacing w:after="140" w:before="320"/>
      </w:pPr>
      <w:r>
        <w:t xml:space="preserve">1. Objective</w:t>
      </w:r>
    </w:p>
    <w:p>
      <w:pPr>
        <w:spacing w:after="120"/>
      </w:pPr>
      <w:r>
        <w:t xml:space="preserve">Segment telecommunications customers by similarity in tenure and monthly charges, in order to identify behavioural patterns linked to churn and support targeted retention recommendations.</w:t>
      </w:r>
    </w:p>
    <w:p>
      <w:pPr>
        <w:pStyle w:val="Heading1"/>
        <w:spacing w:after="140" w:before="320"/>
      </w:pPr>
      <w:r>
        <w:t xml:space="preserve">2. Method</w:t>
      </w:r>
    </w:p>
    <w:p>
      <w:pPr>
        <w:spacing w:after="120"/>
      </w:pPr>
      <w:r>
        <w:t xml:space="preserve">K-Means was selected as the clustering algorithm. It scales well to this dataset's size (6,741 customers after deduplication) and both features used, tenure and MonthlyCharges, are continuous variables that suit a distance-based method. Both features were standardised (mean 0, standard deviation 1) before clustering, since K-Means relies on Euclidean distance and unscaled features would let the larger-range variable dominate the result.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4E5F" w:val="clear"/>
            <w:tcMar>
              <w:top w:type="dxa" w:w="80"/>
              <w:left w:type="dxa" w:w="100"/>
              <w:bottom w:type="dxa" w:w="80"/>
              <w:right w:type="dxa" w:w="100"/>
            </w:tcMar>
          </w:tcPr>
          <w:p>
            <w:r>
              <w:rPr>
                <w:b/>
                <w:bCs/>
                <w:color w:val="FFFFFF"/>
              </w:rPr>
              <w:t xml:space="preserve">Parameter</w:t>
            </w:r>
          </w:p>
        </w:tc>
        <w:tc>
          <w:tcPr>
            <w:tcW w:type="dxa" w:w="6800"/>
            <w:shd w:fill="1F4E5F" w:val="clear"/>
            <w:tcMar>
              <w:top w:type="dxa" w:w="80"/>
              <w:left w:type="dxa" w:w="100"/>
              <w:bottom w:type="dxa" w:w="80"/>
              <w:right w:type="dxa" w:w="100"/>
            </w:tcMar>
          </w:tcPr>
          <w:p>
            <w:r>
              <w:rPr>
                <w:b/>
                <w:bCs/>
                <w:color w:val="FFFFFF"/>
              </w:rPr>
              <w:t xml:space="preserve">Value / Setting</w:t>
            </w:r>
          </w:p>
        </w:tc>
      </w:tr>
      <w:tr>
        <w:tc>
          <w:tcPr>
            <w:tcW w:type="dxa" w:w="3000"/>
            <w:tcMar>
              <w:top w:type="dxa" w:w="80"/>
              <w:left w:type="dxa" w:w="100"/>
              <w:bottom w:type="dxa" w:w="80"/>
              <w:right w:type="dxa" w:w="100"/>
            </w:tcMar>
          </w:tcPr>
          <w:p>
            <w:r>
              <w:t xml:space="preserve">Algorithm</w:t>
            </w:r>
          </w:p>
        </w:tc>
        <w:tc>
          <w:tcPr>
            <w:tcW w:type="dxa" w:w="6800"/>
            <w:tcMar>
              <w:top w:type="dxa" w:w="80"/>
              <w:left w:type="dxa" w:w="100"/>
              <w:bottom w:type="dxa" w:w="80"/>
              <w:right w:type="dxa" w:w="100"/>
            </w:tcMar>
          </w:tcPr>
          <w:p>
            <w:r>
              <w:t xml:space="preserve">K-Means (scikit-learn)</w:t>
            </w:r>
          </w:p>
        </w:tc>
      </w:tr>
      <w:tr>
        <w:tc>
          <w:tcPr>
            <w:tcW w:type="dxa" w:w="3000"/>
            <w:tcMar>
              <w:top w:type="dxa" w:w="80"/>
              <w:left w:type="dxa" w:w="100"/>
              <w:bottom w:type="dxa" w:w="80"/>
              <w:right w:type="dxa" w:w="100"/>
            </w:tcMar>
          </w:tcPr>
          <w:p>
            <w:r>
              <w:t xml:space="preserve">Features used</w:t>
            </w:r>
          </w:p>
        </w:tc>
        <w:tc>
          <w:tcPr>
            <w:tcW w:type="dxa" w:w="6800"/>
            <w:tcMar>
              <w:top w:type="dxa" w:w="80"/>
              <w:left w:type="dxa" w:w="100"/>
              <w:bottom w:type="dxa" w:w="80"/>
              <w:right w:type="dxa" w:w="100"/>
            </w:tcMar>
          </w:tcPr>
          <w:p>
            <w:r>
              <w:t xml:space="preserve">tenure, MonthlyCharges (standardised)</w:t>
            </w:r>
          </w:p>
        </w:tc>
      </w:tr>
      <w:tr>
        <w:tc>
          <w:tcPr>
            <w:tcW w:type="dxa" w:w="3000"/>
            <w:tcMar>
              <w:top w:type="dxa" w:w="80"/>
              <w:left w:type="dxa" w:w="100"/>
              <w:bottom w:type="dxa" w:w="80"/>
              <w:right w:type="dxa" w:w="100"/>
            </w:tcMar>
          </w:tcPr>
          <w:p>
            <w:r>
              <w:t xml:space="preserve">Initialisation</w:t>
            </w:r>
          </w:p>
        </w:tc>
        <w:tc>
          <w:tcPr>
            <w:tcW w:type="dxa" w:w="6800"/>
            <w:tcMar>
              <w:top w:type="dxa" w:w="80"/>
              <w:left w:type="dxa" w:w="100"/>
              <w:bottom w:type="dxa" w:w="80"/>
              <w:right w:type="dxa" w:w="100"/>
            </w:tcMar>
          </w:tcPr>
          <w:p>
            <w:r>
              <w:t xml:space="preserve">k-means++</w:t>
            </w:r>
          </w:p>
        </w:tc>
      </w:tr>
      <w:tr>
        <w:tc>
          <w:tcPr>
            <w:tcW w:type="dxa" w:w="3000"/>
            <w:tcMar>
              <w:top w:type="dxa" w:w="80"/>
              <w:left w:type="dxa" w:w="100"/>
              <w:bottom w:type="dxa" w:w="80"/>
              <w:right w:type="dxa" w:w="100"/>
            </w:tcMar>
          </w:tcPr>
          <w:p>
            <w:r>
              <w:t xml:space="preserve">n_init</w:t>
            </w:r>
          </w:p>
        </w:tc>
        <w:tc>
          <w:tcPr>
            <w:tcW w:type="dxa" w:w="6800"/>
            <w:tcMar>
              <w:top w:type="dxa" w:w="80"/>
              <w:left w:type="dxa" w:w="100"/>
              <w:bottom w:type="dxa" w:w="80"/>
              <w:right w:type="dxa" w:w="100"/>
            </w:tcMar>
          </w:tcPr>
          <w:p>
            <w:r>
              <w:t xml:space="preserve">10 (best of 10 runs by inertia)</w:t>
            </w:r>
          </w:p>
        </w:tc>
      </w:tr>
      <w:tr>
        <w:tc>
          <w:tcPr>
            <w:tcW w:type="dxa" w:w="3000"/>
            <w:tcMar>
              <w:top w:type="dxa" w:w="80"/>
              <w:left w:type="dxa" w:w="100"/>
              <w:bottom w:type="dxa" w:w="80"/>
              <w:right w:type="dxa" w:w="100"/>
            </w:tcMar>
          </w:tcPr>
          <w:p>
            <w:r>
              <w:t xml:space="preserve">random_state</w:t>
            </w:r>
          </w:p>
        </w:tc>
        <w:tc>
          <w:tcPr>
            <w:tcW w:type="dxa" w:w="6800"/>
            <w:tcMar>
              <w:top w:type="dxa" w:w="80"/>
              <w:left w:type="dxa" w:w="100"/>
              <w:bottom w:type="dxa" w:w="80"/>
              <w:right w:type="dxa" w:w="100"/>
            </w:tcMar>
          </w:tcPr>
          <w:p>
            <w:r>
              <w:t xml:space="preserve">42 (reproducibility)</w:t>
            </w:r>
          </w:p>
        </w:tc>
      </w:tr>
      <w:tr>
        <w:tc>
          <w:tcPr>
            <w:tcW w:type="dxa" w:w="3000"/>
            <w:tcMar>
              <w:top w:type="dxa" w:w="80"/>
              <w:left w:type="dxa" w:w="100"/>
              <w:bottom w:type="dxa" w:w="80"/>
              <w:right w:type="dxa" w:w="100"/>
            </w:tcMar>
          </w:tcPr>
          <w:p>
            <w:r>
              <w:t xml:space="preserve">Dataset size</w:t>
            </w:r>
          </w:p>
        </w:tc>
        <w:tc>
          <w:tcPr>
            <w:tcW w:type="dxa" w:w="6800"/>
            <w:tcMar>
              <w:top w:type="dxa" w:w="80"/>
              <w:left w:type="dxa" w:w="100"/>
              <w:bottom w:type="dxa" w:w="80"/>
              <w:right w:type="dxa" w:w="100"/>
            </w:tcMar>
          </w:tcPr>
          <w:p>
            <w:r>
              <w:t xml:space="preserve">6,741 customers (5,392 train / 1,349 test)</w:t>
            </w:r>
          </w:p>
        </w:tc>
      </w:tr>
    </w:tbl>
    <w:p>
      <w:pPr>
        <w:pStyle w:val="Heading1"/>
        <w:spacing w:after="140" w:before="320"/>
      </w:pPr>
      <w:r>
        <w:t xml:space="preserve">3. Optimal Number of Clusters</w:t>
      </w:r>
    </w:p>
    <w:p>
      <w:pPr>
        <w:spacing w:after="120"/>
      </w:pPr>
      <w:r>
        <w:t xml:space="preserve">The optimal number of clusters, k, was determined using two independent methods, so the choice is not based on a single, subjective read of a chart.</w:t>
      </w:r>
    </w:p>
    <w:p>
      <w:pPr>
        <w:spacing w:after="100" w:before="200"/>
      </w:pPr>
      <w:r>
        <w:rPr>
          <w:b/>
          <w:bCs/>
          <w:color w:val="1F4E5F"/>
          <w:sz w:val="24"/>
          <w:szCs w:val="24"/>
        </w:rPr>
        <w:t xml:space="preserve">3.1 Elbow Method</w:t>
      </w:r>
    </w:p>
    <w:p>
      <w:pPr>
        <w:spacing w:after="120"/>
      </w:pPr>
      <w:r>
        <w:t xml:space="preserve">WCSS (within-cluster sum of squares) was computed for k = 1 to 10. WCSS always decreases as k increases, so the goal is to find the point of diminishing returns rather than the lowest value.</w:t>
      </w:r>
    </w:p>
    <w:p>
      <w:pPr>
        <w:spacing w:after="8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857500"/>
                    </a:xfrm>
                    <a:prstGeom prst="rect">
                      <a:avLst/>
                    </a:prstGeom>
                  </pic:spPr>
                </pic:pic>
              </a:graphicData>
            </a:graphic>
          </wp:inline>
        </w:drawing>
      </w:r>
    </w:p>
    <w:p>
      <w:pPr>
        <w:spacing w:after="240"/>
        <w:jc w:val="center"/>
      </w:pPr>
      <w:r>
        <w:rPr>
          <w:i/>
          <w:iCs/>
          <w:color w:val="6B6B6B"/>
          <w:sz w:val="20"/>
          <w:szCs w:val="20"/>
        </w:rPr>
        <w:t xml:space="preserve">Figure 1. Elbow method, WCSS by number of clusters.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00"/>
      </w:tblGrid>
      <w:tr>
        <w:trPr>
          <w:tblHeader/>
        </w:trPr>
        <w:tc>
          <w:tcPr>
            <w:tcW w:type="dxa" w:w="1500"/>
            <w:shd w:fill="1F4E5F" w:val="clear"/>
            <w:tcMar>
              <w:top w:type="dxa" w:w="80"/>
              <w:left w:type="dxa" w:w="100"/>
              <w:bottom w:type="dxa" w:w="80"/>
              <w:right w:type="dxa" w:w="100"/>
            </w:tcMar>
          </w:tcPr>
          <w:p>
            <w:r>
              <w:rPr>
                <w:b/>
                <w:bCs/>
                <w:color w:val="FFFFFF"/>
              </w:rPr>
              <w:t xml:space="preserve">k</w:t>
            </w:r>
          </w:p>
        </w:tc>
        <w:tc>
          <w:tcPr>
            <w:tcW w:type="dxa" w:w="2500"/>
            <w:shd w:fill="1F4E5F" w:val="clear"/>
            <w:tcMar>
              <w:top w:type="dxa" w:w="80"/>
              <w:left w:type="dxa" w:w="100"/>
              <w:bottom w:type="dxa" w:w="80"/>
              <w:right w:type="dxa" w:w="100"/>
            </w:tcMar>
          </w:tcPr>
          <w:p>
            <w:r>
              <w:rPr>
                <w:b/>
                <w:bCs/>
                <w:color w:val="FFFFFF"/>
              </w:rPr>
              <w:t xml:space="preserve">WCSS</w:t>
            </w:r>
          </w:p>
        </w:tc>
        <w:tc>
          <w:tcPr>
            <w:tcW w:type="dxa" w:w="5300"/>
            <w:shd w:fill="1F4E5F" w:val="clear"/>
            <w:tcMar>
              <w:top w:type="dxa" w:w="80"/>
              <w:left w:type="dxa" w:w="100"/>
              <w:bottom w:type="dxa" w:w="80"/>
              <w:right w:type="dxa" w:w="100"/>
            </w:tcMar>
          </w:tcPr>
          <w:p>
            <w:r>
              <w:rPr>
                <w:b/>
                <w:bCs/>
                <w:color w:val="FFFFFF"/>
              </w:rPr>
              <w:t xml:space="preserve">% Drop from Previous k</w:t>
            </w:r>
          </w:p>
        </w:tc>
      </w:tr>
      <w:tr>
        <w:tc>
          <w:tcPr>
            <w:tcW w:type="dxa" w:w="1500"/>
            <w:tcMar>
              <w:top w:type="dxa" w:w="80"/>
              <w:left w:type="dxa" w:w="100"/>
              <w:bottom w:type="dxa" w:w="80"/>
              <w:right w:type="dxa" w:w="100"/>
            </w:tcMar>
          </w:tcPr>
          <w:p>
            <w:r>
              <w:t xml:space="preserve">1</w:t>
            </w:r>
          </w:p>
        </w:tc>
        <w:tc>
          <w:tcPr>
            <w:tcW w:type="dxa" w:w="2500"/>
            <w:tcMar>
              <w:top w:type="dxa" w:w="80"/>
              <w:left w:type="dxa" w:w="100"/>
              <w:bottom w:type="dxa" w:w="80"/>
              <w:right w:type="dxa" w:w="100"/>
            </w:tcMar>
          </w:tcPr>
          <w:p>
            <w:r>
              <w:t xml:space="preserve">10784.00</w:t>
            </w:r>
          </w:p>
        </w:tc>
        <w:tc>
          <w:tcPr>
            <w:tcW w:type="dxa" w:w="5300"/>
            <w:tcMar>
              <w:top w:type="dxa" w:w="80"/>
              <w:left w:type="dxa" w:w="100"/>
              <w:bottom w:type="dxa" w:w="80"/>
              <w:right w:type="dxa" w:w="100"/>
            </w:tcMar>
          </w:tcPr>
          <w:p>
            <w:r>
              <w:t xml:space="preserve">—</w:t>
            </w:r>
          </w:p>
        </w:tc>
      </w:tr>
      <w:tr>
        <w:tc>
          <w:tcPr>
            <w:tcW w:type="dxa" w:w="1500"/>
            <w:tcMar>
              <w:top w:type="dxa" w:w="80"/>
              <w:left w:type="dxa" w:w="100"/>
              <w:bottom w:type="dxa" w:w="80"/>
              <w:right w:type="dxa" w:w="100"/>
            </w:tcMar>
          </w:tcPr>
          <w:p>
            <w:r>
              <w:t xml:space="preserve">2</w:t>
            </w:r>
          </w:p>
        </w:tc>
        <w:tc>
          <w:tcPr>
            <w:tcW w:type="dxa" w:w="2500"/>
            <w:tcMar>
              <w:top w:type="dxa" w:w="80"/>
              <w:left w:type="dxa" w:w="100"/>
              <w:bottom w:type="dxa" w:w="80"/>
              <w:right w:type="dxa" w:w="100"/>
            </w:tcMar>
          </w:tcPr>
          <w:p>
            <w:r>
              <w:t xml:space="preserve">6099.30</w:t>
            </w:r>
          </w:p>
        </w:tc>
        <w:tc>
          <w:tcPr>
            <w:tcW w:type="dxa" w:w="5300"/>
            <w:tcMar>
              <w:top w:type="dxa" w:w="80"/>
              <w:left w:type="dxa" w:w="100"/>
              <w:bottom w:type="dxa" w:w="80"/>
              <w:right w:type="dxa" w:w="100"/>
            </w:tcMar>
          </w:tcPr>
          <w:p>
            <w:r>
              <w:t xml:space="preserve">43.4%</w:t>
            </w:r>
          </w:p>
        </w:tc>
      </w:tr>
      <w:tr>
        <w:tc>
          <w:tcPr>
            <w:tcW w:type="dxa" w:w="1500"/>
            <w:tcMar>
              <w:top w:type="dxa" w:w="80"/>
              <w:left w:type="dxa" w:w="100"/>
              <w:bottom w:type="dxa" w:w="80"/>
              <w:right w:type="dxa" w:w="100"/>
            </w:tcMar>
          </w:tcPr>
          <w:p>
            <w:r>
              <w:t xml:space="preserve">3</w:t>
            </w:r>
          </w:p>
        </w:tc>
        <w:tc>
          <w:tcPr>
            <w:tcW w:type="dxa" w:w="2500"/>
            <w:tcMar>
              <w:top w:type="dxa" w:w="80"/>
              <w:left w:type="dxa" w:w="100"/>
              <w:bottom w:type="dxa" w:w="80"/>
              <w:right w:type="dxa" w:w="100"/>
            </w:tcMar>
          </w:tcPr>
          <w:p>
            <w:r>
              <w:t xml:space="preserve">3556.66</w:t>
            </w:r>
          </w:p>
        </w:tc>
        <w:tc>
          <w:tcPr>
            <w:tcW w:type="dxa" w:w="5300"/>
            <w:tcMar>
              <w:top w:type="dxa" w:w="80"/>
              <w:left w:type="dxa" w:w="100"/>
              <w:bottom w:type="dxa" w:w="80"/>
              <w:right w:type="dxa" w:w="100"/>
            </w:tcMar>
          </w:tcPr>
          <w:p>
            <w:r>
              <w:t xml:space="preserve">41.7%</w:t>
            </w:r>
          </w:p>
        </w:tc>
      </w:tr>
      <w:tr>
        <w:tc>
          <w:tcPr>
            <w:tcW w:type="dxa" w:w="1500"/>
            <w:tcMar>
              <w:top w:type="dxa" w:w="80"/>
              <w:left w:type="dxa" w:w="100"/>
              <w:bottom w:type="dxa" w:w="80"/>
              <w:right w:type="dxa" w:w="100"/>
            </w:tcMar>
          </w:tcPr>
          <w:p>
            <w:r>
              <w:t xml:space="preserve">4</w:t>
            </w:r>
          </w:p>
        </w:tc>
        <w:tc>
          <w:tcPr>
            <w:tcW w:type="dxa" w:w="2500"/>
            <w:tcMar>
              <w:top w:type="dxa" w:w="80"/>
              <w:left w:type="dxa" w:w="100"/>
              <w:bottom w:type="dxa" w:w="80"/>
              <w:right w:type="dxa" w:w="100"/>
            </w:tcMar>
          </w:tcPr>
          <w:p>
            <w:r>
              <w:t xml:space="preserve">2242.08</w:t>
            </w:r>
          </w:p>
        </w:tc>
        <w:tc>
          <w:tcPr>
            <w:tcW w:type="dxa" w:w="5300"/>
            <w:tcMar>
              <w:top w:type="dxa" w:w="80"/>
              <w:left w:type="dxa" w:w="100"/>
              <w:bottom w:type="dxa" w:w="80"/>
              <w:right w:type="dxa" w:w="100"/>
            </w:tcMar>
          </w:tcPr>
          <w:p>
            <w:r>
              <w:t xml:space="preserve">37.0%</w:t>
            </w:r>
          </w:p>
        </w:tc>
      </w:tr>
      <w:tr>
        <w:tc>
          <w:tcPr>
            <w:tcW w:type="dxa" w:w="1500"/>
            <w:tcMar>
              <w:top w:type="dxa" w:w="80"/>
              <w:left w:type="dxa" w:w="100"/>
              <w:bottom w:type="dxa" w:w="80"/>
              <w:right w:type="dxa" w:w="100"/>
            </w:tcMar>
          </w:tcPr>
          <w:p>
            <w:r>
              <w:t xml:space="preserve">5</w:t>
            </w:r>
          </w:p>
        </w:tc>
        <w:tc>
          <w:tcPr>
            <w:tcW w:type="dxa" w:w="2500"/>
            <w:tcMar>
              <w:top w:type="dxa" w:w="80"/>
              <w:left w:type="dxa" w:w="100"/>
              <w:bottom w:type="dxa" w:w="80"/>
              <w:right w:type="dxa" w:w="100"/>
            </w:tcMar>
          </w:tcPr>
          <w:p>
            <w:r>
              <w:t xml:space="preserve">1841.15</w:t>
            </w:r>
          </w:p>
        </w:tc>
        <w:tc>
          <w:tcPr>
            <w:tcW w:type="dxa" w:w="5300"/>
            <w:tcMar>
              <w:top w:type="dxa" w:w="80"/>
              <w:left w:type="dxa" w:w="100"/>
              <w:bottom w:type="dxa" w:w="80"/>
              <w:right w:type="dxa" w:w="100"/>
            </w:tcMar>
          </w:tcPr>
          <w:p>
            <w:r>
              <w:t xml:space="preserve">17.9% ← sharp fall-off begins</w:t>
            </w:r>
          </w:p>
        </w:tc>
      </w:tr>
      <w:tr>
        <w:tc>
          <w:tcPr>
            <w:tcW w:type="dxa" w:w="1500"/>
            <w:tcMar>
              <w:top w:type="dxa" w:w="80"/>
              <w:left w:type="dxa" w:w="100"/>
              <w:bottom w:type="dxa" w:w="80"/>
              <w:right w:type="dxa" w:w="100"/>
            </w:tcMar>
          </w:tcPr>
          <w:p>
            <w:r>
              <w:t xml:space="preserve">6</w:t>
            </w:r>
          </w:p>
        </w:tc>
        <w:tc>
          <w:tcPr>
            <w:tcW w:type="dxa" w:w="2500"/>
            <w:tcMar>
              <w:top w:type="dxa" w:w="80"/>
              <w:left w:type="dxa" w:w="100"/>
              <w:bottom w:type="dxa" w:w="80"/>
              <w:right w:type="dxa" w:w="100"/>
            </w:tcMar>
          </w:tcPr>
          <w:p>
            <w:r>
              <w:t xml:space="preserve">1517.29</w:t>
            </w:r>
          </w:p>
        </w:tc>
        <w:tc>
          <w:tcPr>
            <w:tcW w:type="dxa" w:w="5300"/>
            <w:tcMar>
              <w:top w:type="dxa" w:w="80"/>
              <w:left w:type="dxa" w:w="100"/>
              <w:bottom w:type="dxa" w:w="80"/>
              <w:right w:type="dxa" w:w="100"/>
            </w:tcMar>
          </w:tcPr>
          <w:p>
            <w:r>
              <w:t xml:space="preserve">17.6%</w:t>
            </w:r>
          </w:p>
        </w:tc>
      </w:tr>
    </w:tbl>
    <w:p>
      <w:pPr>
        <w:spacing w:after="120" w:before="120"/>
      </w:pPr>
      <w:r>
        <w:t xml:space="preserve">The improvement remains substantial through k=4 (37%+), then drops sharply to under 18% from k=5 onward. This flattening, the “elbow”, indicates k=4 is where additional clusters stop being worth the added complexity.</w:t>
      </w:r>
    </w:p>
    <w:p>
      <w:pPr>
        <w:spacing w:after="100" w:before="200"/>
      </w:pPr>
      <w:r>
        <w:rPr>
          <w:b/>
          <w:bCs/>
          <w:color w:val="1F4E5F"/>
          <w:sz w:val="24"/>
          <w:szCs w:val="24"/>
        </w:rPr>
        <w:t xml:space="preserve">3.2 Silhouette Score (validation check)</w:t>
      </w:r>
    </w:p>
    <w:p>
      <w:pPr>
        <w:spacing w:after="120"/>
      </w:pPr>
      <w:r>
        <w:t xml:space="preserve">Silhouette score was computed for k = 2 to 7 as an independent, more objective check. It measures how well-separated and internally cohesive the clusters are, on a scale of -1 to 1 (higher is better).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1F4E5F" w:val="clear"/>
            <w:tcMar>
              <w:top w:type="dxa" w:w="80"/>
              <w:left w:type="dxa" w:w="100"/>
              <w:bottom w:type="dxa" w:w="80"/>
              <w:right w:type="dxa" w:w="100"/>
            </w:tcMar>
          </w:tcPr>
          <w:p>
            <w:r>
              <w:rPr>
                <w:b/>
                <w:bCs/>
                <w:color w:val="FFFFFF"/>
              </w:rPr>
              <w:t xml:space="preserve">k</w:t>
            </w:r>
          </w:p>
        </w:tc>
        <w:tc>
          <w:tcPr>
            <w:tcW w:type="dxa" w:w="7300"/>
            <w:shd w:fill="1F4E5F" w:val="clear"/>
            <w:tcMar>
              <w:top w:type="dxa" w:w="80"/>
              <w:left w:type="dxa" w:w="100"/>
              <w:bottom w:type="dxa" w:w="80"/>
              <w:right w:type="dxa" w:w="100"/>
            </w:tcMar>
          </w:tcPr>
          <w:p>
            <w:r>
              <w:rPr>
                <w:b/>
                <w:bCs/>
                <w:color w:val="FFFFFF"/>
              </w:rPr>
              <w:t xml:space="preserve">Silhouette Score</w:t>
            </w:r>
          </w:p>
        </w:tc>
      </w:tr>
      <w:tr>
        <w:tc>
          <w:tcPr>
            <w:tcW w:type="dxa" w:w="2000"/>
            <w:tcMar>
              <w:top w:type="dxa" w:w="80"/>
              <w:left w:type="dxa" w:w="100"/>
              <w:bottom w:type="dxa" w:w="80"/>
              <w:right w:type="dxa" w:w="100"/>
            </w:tcMar>
          </w:tcPr>
          <w:p>
            <w:r>
              <w:t xml:space="preserve">2</w:t>
            </w:r>
          </w:p>
        </w:tc>
        <w:tc>
          <w:tcPr>
            <w:tcW w:type="dxa" w:w="7300"/>
            <w:tcMar>
              <w:top w:type="dxa" w:w="80"/>
              <w:left w:type="dxa" w:w="100"/>
              <w:bottom w:type="dxa" w:w="80"/>
              <w:right w:type="dxa" w:w="100"/>
            </w:tcMar>
          </w:tcPr>
          <w:p>
            <w:r>
              <w:t xml:space="preserve">0.4063</w:t>
            </w:r>
          </w:p>
        </w:tc>
      </w:tr>
      <w:tr>
        <w:tc>
          <w:tcPr>
            <w:tcW w:type="dxa" w:w="2000"/>
            <w:tcMar>
              <w:top w:type="dxa" w:w="80"/>
              <w:left w:type="dxa" w:w="100"/>
              <w:bottom w:type="dxa" w:w="80"/>
              <w:right w:type="dxa" w:w="100"/>
            </w:tcMar>
          </w:tcPr>
          <w:p>
            <w:r>
              <w:t xml:space="preserve">3</w:t>
            </w:r>
          </w:p>
        </w:tc>
        <w:tc>
          <w:tcPr>
            <w:tcW w:type="dxa" w:w="7300"/>
            <w:tcMar>
              <w:top w:type="dxa" w:w="80"/>
              <w:left w:type="dxa" w:w="100"/>
              <w:bottom w:type="dxa" w:w="80"/>
              <w:right w:type="dxa" w:w="100"/>
            </w:tcMar>
          </w:tcPr>
          <w:p>
            <w:r>
              <w:t xml:space="preserve">0.4431</w:t>
            </w:r>
          </w:p>
        </w:tc>
      </w:tr>
      <w:tr>
        <w:tc>
          <w:tcPr>
            <w:tcW w:type="dxa" w:w="2000"/>
            <w:tcMar>
              <w:top w:type="dxa" w:w="80"/>
              <w:left w:type="dxa" w:w="100"/>
              <w:bottom w:type="dxa" w:w="80"/>
              <w:right w:type="dxa" w:w="100"/>
            </w:tcMar>
          </w:tcPr>
          <w:p>
            <w:r>
              <w:t xml:space="preserve">4</w:t>
            </w:r>
          </w:p>
        </w:tc>
        <w:tc>
          <w:tcPr>
            <w:tcW w:type="dxa" w:w="7300"/>
            <w:tcMar>
              <w:top w:type="dxa" w:w="80"/>
              <w:left w:type="dxa" w:w="100"/>
              <w:bottom w:type="dxa" w:w="80"/>
              <w:right w:type="dxa" w:w="100"/>
            </w:tcMar>
          </w:tcPr>
          <w:p>
            <w:r>
              <w:t xml:space="preserve">0.4593  ← peak</w:t>
            </w:r>
          </w:p>
        </w:tc>
      </w:tr>
      <w:tr>
        <w:tc>
          <w:tcPr>
            <w:tcW w:type="dxa" w:w="2000"/>
            <w:tcMar>
              <w:top w:type="dxa" w:w="80"/>
              <w:left w:type="dxa" w:w="100"/>
              <w:bottom w:type="dxa" w:w="80"/>
              <w:right w:type="dxa" w:w="100"/>
            </w:tcMar>
          </w:tcPr>
          <w:p>
            <w:r>
              <w:t xml:space="preserve">5</w:t>
            </w:r>
          </w:p>
        </w:tc>
        <w:tc>
          <w:tcPr>
            <w:tcW w:type="dxa" w:w="7300"/>
            <w:tcMar>
              <w:top w:type="dxa" w:w="80"/>
              <w:left w:type="dxa" w:w="100"/>
              <w:bottom w:type="dxa" w:w="80"/>
              <w:right w:type="dxa" w:w="100"/>
            </w:tcMar>
          </w:tcPr>
          <w:p>
            <w:r>
              <w:t xml:space="preserve">0.4167</w:t>
            </w:r>
          </w:p>
        </w:tc>
      </w:tr>
      <w:tr>
        <w:tc>
          <w:tcPr>
            <w:tcW w:type="dxa" w:w="2000"/>
            <w:tcMar>
              <w:top w:type="dxa" w:w="80"/>
              <w:left w:type="dxa" w:w="100"/>
              <w:bottom w:type="dxa" w:w="80"/>
              <w:right w:type="dxa" w:w="100"/>
            </w:tcMar>
          </w:tcPr>
          <w:p>
            <w:r>
              <w:t xml:space="preserve">6</w:t>
            </w:r>
          </w:p>
        </w:tc>
        <w:tc>
          <w:tcPr>
            <w:tcW w:type="dxa" w:w="7300"/>
            <w:tcMar>
              <w:top w:type="dxa" w:w="80"/>
              <w:left w:type="dxa" w:w="100"/>
              <w:bottom w:type="dxa" w:w="80"/>
              <w:right w:type="dxa" w:w="100"/>
            </w:tcMar>
          </w:tcPr>
          <w:p>
            <w:r>
              <w:t xml:space="preserve">0.4176</w:t>
            </w:r>
          </w:p>
        </w:tc>
      </w:tr>
      <w:tr>
        <w:tc>
          <w:tcPr>
            <w:tcW w:type="dxa" w:w="2000"/>
            <w:tcMar>
              <w:top w:type="dxa" w:w="80"/>
              <w:left w:type="dxa" w:w="100"/>
              <w:bottom w:type="dxa" w:w="80"/>
              <w:right w:type="dxa" w:w="100"/>
            </w:tcMar>
          </w:tcPr>
          <w:p>
            <w:r>
              <w:t xml:space="preserve">7</w:t>
            </w:r>
          </w:p>
        </w:tc>
        <w:tc>
          <w:tcPr>
            <w:tcW w:type="dxa" w:w="7300"/>
            <w:tcMar>
              <w:top w:type="dxa" w:w="80"/>
              <w:left w:type="dxa" w:w="100"/>
              <w:bottom w:type="dxa" w:w="80"/>
              <w:right w:type="dxa" w:w="100"/>
            </w:tcMar>
          </w:tcPr>
          <w:p>
            <w:r>
              <w:t xml:space="preserve">0.4223</w:t>
            </w:r>
          </w:p>
        </w:tc>
      </w:tr>
    </w:tbl>
    <w:p>
      <w:pPr>
        <w:spacing w:after="120" w:before="120"/>
      </w:pPr>
      <w:r>
        <w:t xml:space="preserve">The silhouette score peaks at k=4 and declines for k=5 and beyond, independently confirming the elbow method's result.</w:t>
      </w:r>
    </w:p>
    <w:p>
      <w:pPr>
        <w:spacing w:after="120" w:before="60"/>
      </w:pPr>
      <w:r>
        <w:t xml:space="preserve">Conclusion: k = 4 was selected as the optimal number of clusters, supported by two independent methods rather than a single visual judgement.</w:t>
      </w:r>
    </w:p>
    <w:p>
      <w:pPr>
        <w:pStyle w:val="Heading1"/>
        <w:spacing w:after="140" w:before="320"/>
      </w:pPr>
      <w:r>
        <w:t xml:space="preserve">4. Trained K-Means Model</w:t>
      </w:r>
    </w:p>
    <w:p>
      <w:pPr>
        <w:spacing w:after="120"/>
      </w:pPr>
      <w:r>
        <w:t xml:space="preserve">The final model was trained with k=4 on the full standardised training set. Resulting cluster centroids (in standardised tenure, MonthlyCharges space):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300"/>
        <w:gridCol w:w="1500"/>
        <w:gridCol w:w="2200"/>
      </w:tblGrid>
      <w:tr>
        <w:trPr>
          <w:tblHeader/>
        </w:trPr>
        <w:tc>
          <w:tcPr>
            <w:tcW w:type="dxa" w:w="1400"/>
            <w:shd w:fill="1F4E5F" w:val="clear"/>
            <w:tcMar>
              <w:top w:type="dxa" w:w="80"/>
              <w:left w:type="dxa" w:w="100"/>
              <w:bottom w:type="dxa" w:w="80"/>
              <w:right w:type="dxa" w:w="100"/>
            </w:tcMar>
          </w:tcPr>
          <w:p>
            <w:r>
              <w:rPr>
                <w:b/>
                <w:bCs/>
                <w:color w:val="FFFFFF"/>
              </w:rPr>
              <w:t xml:space="preserve">Cluster</w:t>
            </w:r>
          </w:p>
        </w:tc>
        <w:tc>
          <w:tcPr>
            <w:tcW w:type="dxa" w:w="1900"/>
            <w:shd w:fill="1F4E5F" w:val="clear"/>
            <w:tcMar>
              <w:top w:type="dxa" w:w="80"/>
              <w:left w:type="dxa" w:w="100"/>
              <w:bottom w:type="dxa" w:w="80"/>
              <w:right w:type="dxa" w:w="100"/>
            </w:tcMar>
          </w:tcPr>
          <w:p>
            <w:r>
              <w:rPr>
                <w:b/>
                <w:bCs/>
                <w:color w:val="FFFFFF"/>
              </w:rPr>
              <w:t xml:space="preserve">Tenure (std.)</w:t>
            </w:r>
          </w:p>
        </w:tc>
        <w:tc>
          <w:tcPr>
            <w:tcW w:type="dxa" w:w="2300"/>
            <w:shd w:fill="1F4E5F" w:val="clear"/>
            <w:tcMar>
              <w:top w:type="dxa" w:w="80"/>
              <w:left w:type="dxa" w:w="100"/>
              <w:bottom w:type="dxa" w:w="80"/>
              <w:right w:type="dxa" w:w="100"/>
            </w:tcMar>
          </w:tcPr>
          <w:p>
            <w:r>
              <w:rPr>
                <w:b/>
                <w:bCs/>
                <w:color w:val="FFFFFF"/>
              </w:rPr>
              <w:t xml:space="preserve">Monthly Charges (std.)</w:t>
            </w:r>
          </w:p>
        </w:tc>
        <w:tc>
          <w:tcPr>
            <w:tcW w:type="dxa" w:w="1500"/>
            <w:shd w:fill="1F4E5F" w:val="clear"/>
            <w:tcMar>
              <w:top w:type="dxa" w:w="80"/>
              <w:left w:type="dxa" w:w="100"/>
              <w:bottom w:type="dxa" w:w="80"/>
              <w:right w:type="dxa" w:w="100"/>
            </w:tcMar>
          </w:tcPr>
          <w:p>
            <w:r>
              <w:rPr>
                <w:b/>
                <w:bCs/>
                <w:color w:val="FFFFFF"/>
              </w:rPr>
              <w:t xml:space="preserve">Size</w:t>
            </w:r>
          </w:p>
        </w:tc>
        <w:tc>
          <w:tcPr>
            <w:tcW w:type="dxa" w:w="2200"/>
            <w:shd w:fill="1F4E5F" w:val="clear"/>
            <w:tcMar>
              <w:top w:type="dxa" w:w="80"/>
              <w:left w:type="dxa" w:w="100"/>
              <w:bottom w:type="dxa" w:w="80"/>
              <w:right w:type="dxa" w:w="100"/>
            </w:tcMar>
          </w:tcPr>
          <w:p>
            <w:r>
              <w:rPr>
                <w:b/>
                <w:bCs/>
                <w:color w:val="FFFFFF"/>
              </w:rPr>
              <w:t xml:space="preserve">Churn Rate</w:t>
            </w:r>
          </w:p>
        </w:tc>
      </w:tr>
      <w:tr>
        <w:tc>
          <w:tcPr>
            <w:tcW w:type="dxa" w:w="1400"/>
            <w:tcMar>
              <w:top w:type="dxa" w:w="80"/>
              <w:left w:type="dxa" w:w="100"/>
              <w:bottom w:type="dxa" w:w="80"/>
              <w:right w:type="dxa" w:w="100"/>
            </w:tcMar>
          </w:tcPr>
          <w:p>
            <w:r>
              <w:t xml:space="preserve">0</w:t>
            </w:r>
          </w:p>
        </w:tc>
        <w:tc>
          <w:tcPr>
            <w:tcW w:type="dxa" w:w="1900"/>
            <w:tcMar>
              <w:top w:type="dxa" w:w="80"/>
              <w:left w:type="dxa" w:w="100"/>
              <w:bottom w:type="dxa" w:w="80"/>
              <w:right w:type="dxa" w:w="100"/>
            </w:tcMar>
          </w:tcPr>
          <w:p>
            <w:r>
              <w:t xml:space="preserve">+0.855</w:t>
            </w:r>
          </w:p>
        </w:tc>
        <w:tc>
          <w:tcPr>
            <w:tcW w:type="dxa" w:w="2300"/>
            <w:tcMar>
              <w:top w:type="dxa" w:w="80"/>
              <w:left w:type="dxa" w:w="100"/>
              <w:bottom w:type="dxa" w:w="80"/>
              <w:right w:type="dxa" w:w="100"/>
            </w:tcMar>
          </w:tcPr>
          <w:p>
            <w:r>
              <w:t xml:space="preserve">−1.050</w:t>
            </w:r>
          </w:p>
        </w:tc>
        <w:tc>
          <w:tcPr>
            <w:tcW w:type="dxa" w:w="1500"/>
            <w:tcMar>
              <w:top w:type="dxa" w:w="80"/>
              <w:left w:type="dxa" w:w="100"/>
              <w:bottom w:type="dxa" w:w="80"/>
              <w:right w:type="dxa" w:w="100"/>
            </w:tcMar>
          </w:tcPr>
          <w:p>
            <w:r>
              <w:t xml:space="preserve">918</w:t>
            </w:r>
          </w:p>
        </w:tc>
        <w:tc>
          <w:tcPr>
            <w:tcW w:type="dxa" w:w="2200"/>
            <w:tcMar>
              <w:top w:type="dxa" w:w="80"/>
              <w:left w:type="dxa" w:w="100"/>
              <w:bottom w:type="dxa" w:w="80"/>
              <w:right w:type="dxa" w:w="100"/>
            </w:tcMar>
          </w:tcPr>
          <w:p>
            <w:r>
              <w:t xml:space="preserve">5.0%</w:t>
            </w:r>
          </w:p>
        </w:tc>
      </w:tr>
      <w:tr>
        <w:tc>
          <w:tcPr>
            <w:tcW w:type="dxa" w:w="1400"/>
            <w:tcMar>
              <w:top w:type="dxa" w:w="80"/>
              <w:left w:type="dxa" w:w="100"/>
              <w:bottom w:type="dxa" w:w="80"/>
              <w:right w:type="dxa" w:w="100"/>
            </w:tcMar>
          </w:tcPr>
          <w:p>
            <w:r>
              <w:t xml:space="preserve">1</w:t>
            </w:r>
          </w:p>
        </w:tc>
        <w:tc>
          <w:tcPr>
            <w:tcW w:type="dxa" w:w="1900"/>
            <w:tcMar>
              <w:top w:type="dxa" w:w="80"/>
              <w:left w:type="dxa" w:w="100"/>
              <w:bottom w:type="dxa" w:w="80"/>
              <w:right w:type="dxa" w:w="100"/>
            </w:tcMar>
          </w:tcPr>
          <w:p>
            <w:r>
              <w:t xml:space="preserve">+1.054</w:t>
            </w:r>
          </w:p>
        </w:tc>
        <w:tc>
          <w:tcPr>
            <w:tcW w:type="dxa" w:w="2300"/>
            <w:tcMar>
              <w:top w:type="dxa" w:w="80"/>
              <w:left w:type="dxa" w:w="100"/>
              <w:bottom w:type="dxa" w:w="80"/>
              <w:right w:type="dxa" w:w="100"/>
            </w:tcMar>
          </w:tcPr>
          <w:p>
            <w:r>
              <w:t xml:space="preserve">+0.925</w:t>
            </w:r>
          </w:p>
        </w:tc>
        <w:tc>
          <w:tcPr>
            <w:tcW w:type="dxa" w:w="1500"/>
            <w:tcMar>
              <w:top w:type="dxa" w:w="80"/>
              <w:left w:type="dxa" w:w="100"/>
              <w:bottom w:type="dxa" w:w="80"/>
              <w:right w:type="dxa" w:w="100"/>
            </w:tcMar>
          </w:tcPr>
          <w:p>
            <w:r>
              <w:t xml:space="preserve">1,521</w:t>
            </w:r>
          </w:p>
        </w:tc>
        <w:tc>
          <w:tcPr>
            <w:tcW w:type="dxa" w:w="2200"/>
            <w:tcMar>
              <w:top w:type="dxa" w:w="80"/>
              <w:left w:type="dxa" w:w="100"/>
              <w:bottom w:type="dxa" w:w="80"/>
              <w:right w:type="dxa" w:w="100"/>
            </w:tcMar>
          </w:tcPr>
          <w:p>
            <w:r>
              <w:t xml:space="preserve">15.6%</w:t>
            </w:r>
          </w:p>
        </w:tc>
      </w:tr>
      <w:tr>
        <w:tc>
          <w:tcPr>
            <w:tcW w:type="dxa" w:w="1400"/>
            <w:tcMar>
              <w:top w:type="dxa" w:w="80"/>
              <w:left w:type="dxa" w:w="100"/>
              <w:bottom w:type="dxa" w:w="80"/>
              <w:right w:type="dxa" w:w="100"/>
            </w:tcMar>
          </w:tcPr>
          <w:p>
            <w:r>
              <w:t xml:space="preserve">2</w:t>
            </w:r>
          </w:p>
        </w:tc>
        <w:tc>
          <w:tcPr>
            <w:tcW w:type="dxa" w:w="1900"/>
            <w:tcMar>
              <w:top w:type="dxa" w:w="80"/>
              <w:left w:type="dxa" w:w="100"/>
              <w:bottom w:type="dxa" w:w="80"/>
              <w:right w:type="dxa" w:w="100"/>
            </w:tcMar>
          </w:tcPr>
          <w:p>
            <w:r>
              <w:t xml:space="preserve">−0.746</w:t>
            </w:r>
          </w:p>
        </w:tc>
        <w:tc>
          <w:tcPr>
            <w:tcW w:type="dxa" w:w="2300"/>
            <w:tcMar>
              <w:top w:type="dxa" w:w="80"/>
              <w:left w:type="dxa" w:w="100"/>
              <w:bottom w:type="dxa" w:w="80"/>
              <w:right w:type="dxa" w:w="100"/>
            </w:tcMar>
          </w:tcPr>
          <w:p>
            <w:r>
              <w:t xml:space="preserve">+0.527</w:t>
            </w:r>
          </w:p>
        </w:tc>
        <w:tc>
          <w:tcPr>
            <w:tcW w:type="dxa" w:w="1500"/>
            <w:tcMar>
              <w:top w:type="dxa" w:w="80"/>
              <w:left w:type="dxa" w:w="100"/>
              <w:bottom w:type="dxa" w:w="80"/>
              <w:right w:type="dxa" w:w="100"/>
            </w:tcMar>
          </w:tcPr>
          <w:p>
            <w:r>
              <w:t xml:space="preserve">1,705</w:t>
            </w:r>
          </w:p>
        </w:tc>
        <w:tc>
          <w:tcPr>
            <w:tcW w:type="dxa" w:w="2200"/>
            <w:tcMar>
              <w:top w:type="dxa" w:w="80"/>
              <w:left w:type="dxa" w:w="100"/>
              <w:bottom w:type="dxa" w:w="80"/>
              <w:right w:type="dxa" w:w="100"/>
            </w:tcMar>
          </w:tcPr>
          <w:p>
            <w:r>
              <w:t xml:space="preserve">48.9%</w:t>
            </w:r>
          </w:p>
        </w:tc>
      </w:tr>
      <w:tr>
        <w:tc>
          <w:tcPr>
            <w:tcW w:type="dxa" w:w="1400"/>
            <w:tcMar>
              <w:top w:type="dxa" w:w="80"/>
              <w:left w:type="dxa" w:w="100"/>
              <w:bottom w:type="dxa" w:w="80"/>
              <w:right w:type="dxa" w:w="100"/>
            </w:tcMar>
          </w:tcPr>
          <w:p>
            <w:r>
              <w:t xml:space="preserve">3</w:t>
            </w:r>
          </w:p>
        </w:tc>
        <w:tc>
          <w:tcPr>
            <w:tcW w:type="dxa" w:w="1900"/>
            <w:tcMar>
              <w:top w:type="dxa" w:w="80"/>
              <w:left w:type="dxa" w:w="100"/>
              <w:bottom w:type="dxa" w:w="80"/>
              <w:right w:type="dxa" w:w="100"/>
            </w:tcMar>
          </w:tcPr>
          <w:p>
            <w:r>
              <w:t xml:space="preserve">−0.894</w:t>
            </w:r>
          </w:p>
        </w:tc>
        <w:tc>
          <w:tcPr>
            <w:tcW w:type="dxa" w:w="2300"/>
            <w:tcMar>
              <w:top w:type="dxa" w:w="80"/>
              <w:left w:type="dxa" w:w="100"/>
              <w:bottom w:type="dxa" w:w="80"/>
              <w:right w:type="dxa" w:w="100"/>
            </w:tcMar>
          </w:tcPr>
          <w:p>
            <w:r>
              <w:t xml:space="preserve">−1.078</w:t>
            </w:r>
          </w:p>
        </w:tc>
        <w:tc>
          <w:tcPr>
            <w:tcW w:type="dxa" w:w="1500"/>
            <w:tcMar>
              <w:top w:type="dxa" w:w="80"/>
              <w:left w:type="dxa" w:w="100"/>
              <w:bottom w:type="dxa" w:w="80"/>
              <w:right w:type="dxa" w:w="100"/>
            </w:tcMar>
          </w:tcPr>
          <w:p>
            <w:r>
              <w:t xml:space="preserve">1,248</w:t>
            </w:r>
          </w:p>
        </w:tc>
        <w:tc>
          <w:tcPr>
            <w:tcW w:type="dxa" w:w="2200"/>
            <w:tcMar>
              <w:top w:type="dxa" w:w="80"/>
              <w:left w:type="dxa" w:w="100"/>
              <w:bottom w:type="dxa" w:w="80"/>
              <w:right w:type="dxa" w:w="100"/>
            </w:tcMar>
          </w:tcPr>
          <w:p>
            <w:r>
              <w:t xml:space="preserve">25.4%</w:t>
            </w:r>
          </w:p>
        </w:tc>
      </w:tr>
    </w:tbl>
    <w:p>
      <w:pPr>
        <w:spacing w:after="120" w:before="120"/>
      </w:pPr>
      <w:r>
        <w:t xml:space="preserve">The trained model is saved as kmeans_model.pkl in this folder. The full training code, including data loading, the elbow and silhouette analysis, model training, and visualisation, is provided in Clustering_Analysis.ipynb (with an equivalent Clustering_Analysis.py script version). Cluster numbering from K-Means is arbitrary and not guaranteed to be stable across environments; labels in this document and in the code are derived programmatically from each cluster's actual centroid values and churn rate, not from a fixed lookup by cluster number.</w:t>
      </w:r>
    </w:p>
    <w:p>
      <w:pPr>
        <w:pStyle w:val="Heading1"/>
        <w:spacing w:after="140" w:before="320"/>
      </w:pPr>
      <w:r>
        <w:t xml:space="preserve">5. Visualisation and Labelling of Clusters</w:t>
      </w:r>
    </w:p>
    <w:p>
      <w:pPr>
        <w:spacing w:after="8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048000"/>
                    </a:xfrm>
                    <a:prstGeom prst="rect">
                      <a:avLst/>
                    </a:prstGeom>
                  </pic:spPr>
                </pic:pic>
              </a:graphicData>
            </a:graphic>
          </wp:inline>
        </w:drawing>
      </w:r>
    </w:p>
    <w:p>
      <w:pPr>
        <w:spacing w:after="240"/>
        <w:jc w:val="center"/>
      </w:pPr>
      <w:r>
        <w:rPr>
          <w:i/>
          <w:iCs/>
          <w:color w:val="6B6B6B"/>
          <w:sz w:val="20"/>
          <w:szCs w:val="20"/>
        </w:rPr>
        <w:t xml:space="preserve">Figure 2. Labelled customer segments: tenure vs. Monthly Charges, with cluster centroids marked.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500"/>
        <w:gridCol w:w="1800"/>
      </w:tblGrid>
      <w:tr>
        <w:trPr>
          <w:tblHeader/>
        </w:trPr>
        <w:tc>
          <w:tcPr>
            <w:tcW w:type="dxa" w:w="2800"/>
            <w:shd w:fill="1F4E5F" w:val="clear"/>
            <w:tcMar>
              <w:top w:type="dxa" w:w="80"/>
              <w:left w:type="dxa" w:w="100"/>
              <w:bottom w:type="dxa" w:w="80"/>
              <w:right w:type="dxa" w:w="100"/>
            </w:tcMar>
          </w:tcPr>
          <w:p>
            <w:r>
              <w:rPr>
                <w:b/>
                <w:bCs/>
                <w:color w:val="FFFFFF"/>
              </w:rPr>
              <w:t xml:space="preserve">Segment</w:t>
            </w:r>
          </w:p>
        </w:tc>
        <w:tc>
          <w:tcPr>
            <w:tcW w:type="dxa" w:w="3200"/>
            <w:shd w:fill="1F4E5F" w:val="clear"/>
            <w:tcMar>
              <w:top w:type="dxa" w:w="80"/>
              <w:left w:type="dxa" w:w="100"/>
              <w:bottom w:type="dxa" w:w="80"/>
              <w:right w:type="dxa" w:w="100"/>
            </w:tcMar>
          </w:tcPr>
          <w:p>
            <w:r>
              <w:rPr>
                <w:b/>
                <w:bCs/>
                <w:color w:val="FFFFFF"/>
              </w:rPr>
              <w:t xml:space="preserve">Profile</w:t>
            </w:r>
          </w:p>
        </w:tc>
        <w:tc>
          <w:tcPr>
            <w:tcW w:type="dxa" w:w="1500"/>
            <w:shd w:fill="1F4E5F" w:val="clear"/>
            <w:tcMar>
              <w:top w:type="dxa" w:w="80"/>
              <w:left w:type="dxa" w:w="100"/>
              <w:bottom w:type="dxa" w:w="80"/>
              <w:right w:type="dxa" w:w="100"/>
            </w:tcMar>
          </w:tcPr>
          <w:p>
            <w:r>
              <w:rPr>
                <w:b/>
                <w:bCs/>
                <w:color w:val="FFFFFF"/>
              </w:rPr>
              <w:t xml:space="preserve">Size</w:t>
            </w:r>
          </w:p>
        </w:tc>
        <w:tc>
          <w:tcPr>
            <w:tcW w:type="dxa" w:w="1800"/>
            <w:shd w:fill="1F4E5F" w:val="clear"/>
            <w:tcMar>
              <w:top w:type="dxa" w:w="80"/>
              <w:left w:type="dxa" w:w="100"/>
              <w:bottom w:type="dxa" w:w="80"/>
              <w:right w:type="dxa" w:w="100"/>
            </w:tcMar>
          </w:tcPr>
          <w:p>
            <w:r>
              <w:rPr>
                <w:b/>
                <w:bCs/>
                <w:color w:val="FFFFFF"/>
              </w:rPr>
              <w:t xml:space="preserve">Churn Rate</w:t>
            </w:r>
          </w:p>
        </w:tc>
      </w:tr>
      <w:tr>
        <w:tc>
          <w:tcPr>
            <w:tcW w:type="dxa" w:w="2800"/>
            <w:tcMar>
              <w:top w:type="dxa" w:w="80"/>
              <w:left w:type="dxa" w:w="100"/>
              <w:bottom w:type="dxa" w:w="80"/>
              <w:right w:type="dxa" w:w="100"/>
            </w:tcMar>
          </w:tcPr>
          <w:p>
            <w:r>
              <w:t xml:space="preserve">Loyal, Low Spend</w:t>
            </w:r>
          </w:p>
        </w:tc>
        <w:tc>
          <w:tcPr>
            <w:tcW w:type="dxa" w:w="3200"/>
            <w:tcMar>
              <w:top w:type="dxa" w:w="80"/>
              <w:left w:type="dxa" w:w="100"/>
              <w:bottom w:type="dxa" w:w="80"/>
              <w:right w:type="dxa" w:w="100"/>
            </w:tcMar>
          </w:tcPr>
          <w:p>
            <w:r>
              <w:t xml:space="preserve">High tenure, low monthly charges</w:t>
            </w:r>
          </w:p>
        </w:tc>
        <w:tc>
          <w:tcPr>
            <w:tcW w:type="dxa" w:w="1500"/>
            <w:tcMar>
              <w:top w:type="dxa" w:w="80"/>
              <w:left w:type="dxa" w:w="100"/>
              <w:bottom w:type="dxa" w:w="80"/>
              <w:right w:type="dxa" w:w="100"/>
            </w:tcMar>
          </w:tcPr>
          <w:p>
            <w:r>
              <w:t xml:space="preserve">918</w:t>
            </w:r>
          </w:p>
        </w:tc>
        <w:tc>
          <w:tcPr>
            <w:tcW w:type="dxa" w:w="1800"/>
            <w:tcMar>
              <w:top w:type="dxa" w:w="80"/>
              <w:left w:type="dxa" w:w="100"/>
              <w:bottom w:type="dxa" w:w="80"/>
              <w:right w:type="dxa" w:w="100"/>
            </w:tcMar>
          </w:tcPr>
          <w:p>
            <w:r>
              <w:t xml:space="preserve">5.0%</w:t>
            </w:r>
          </w:p>
        </w:tc>
      </w:tr>
      <w:tr>
        <w:tc>
          <w:tcPr>
            <w:tcW w:type="dxa" w:w="2800"/>
            <w:tcMar>
              <w:top w:type="dxa" w:w="80"/>
              <w:left w:type="dxa" w:w="100"/>
              <w:bottom w:type="dxa" w:w="80"/>
              <w:right w:type="dxa" w:w="100"/>
            </w:tcMar>
          </w:tcPr>
          <w:p>
            <w:r>
              <w:t xml:space="preserve">Loyal, High Spend</w:t>
            </w:r>
          </w:p>
        </w:tc>
        <w:tc>
          <w:tcPr>
            <w:tcW w:type="dxa" w:w="3200"/>
            <w:tcMar>
              <w:top w:type="dxa" w:w="80"/>
              <w:left w:type="dxa" w:w="100"/>
              <w:bottom w:type="dxa" w:w="80"/>
              <w:right w:type="dxa" w:w="100"/>
            </w:tcMar>
          </w:tcPr>
          <w:p>
            <w:r>
              <w:t xml:space="preserve">High tenure, high monthly charges</w:t>
            </w:r>
          </w:p>
        </w:tc>
        <w:tc>
          <w:tcPr>
            <w:tcW w:type="dxa" w:w="1500"/>
            <w:tcMar>
              <w:top w:type="dxa" w:w="80"/>
              <w:left w:type="dxa" w:w="100"/>
              <w:bottom w:type="dxa" w:w="80"/>
              <w:right w:type="dxa" w:w="100"/>
            </w:tcMar>
          </w:tcPr>
          <w:p>
            <w:r>
              <w:t xml:space="preserve">1,521</w:t>
            </w:r>
          </w:p>
        </w:tc>
        <w:tc>
          <w:tcPr>
            <w:tcW w:type="dxa" w:w="1800"/>
            <w:tcMar>
              <w:top w:type="dxa" w:w="80"/>
              <w:left w:type="dxa" w:w="100"/>
              <w:bottom w:type="dxa" w:w="80"/>
              <w:right w:type="dxa" w:w="100"/>
            </w:tcMar>
          </w:tcPr>
          <w:p>
            <w:r>
              <w:t xml:space="preserve">15.6%</w:t>
            </w:r>
          </w:p>
        </w:tc>
      </w:tr>
      <w:tr>
        <w:tc>
          <w:tcPr>
            <w:tcW w:type="dxa" w:w="2800"/>
            <w:tcMar>
              <w:top w:type="dxa" w:w="80"/>
              <w:left w:type="dxa" w:w="100"/>
              <w:bottom w:type="dxa" w:w="80"/>
              <w:right w:type="dxa" w:w="100"/>
            </w:tcMar>
          </w:tcPr>
          <w:p>
            <w:r>
              <w:t xml:space="preserve">New, High Spend (At-Risk)</w:t>
            </w:r>
          </w:p>
        </w:tc>
        <w:tc>
          <w:tcPr>
            <w:tcW w:type="dxa" w:w="3200"/>
            <w:tcMar>
              <w:top w:type="dxa" w:w="80"/>
              <w:left w:type="dxa" w:w="100"/>
              <w:bottom w:type="dxa" w:w="80"/>
              <w:right w:type="dxa" w:w="100"/>
            </w:tcMar>
          </w:tcPr>
          <w:p>
            <w:r>
              <w:t xml:space="preserve">Low tenure, high monthly charges</w:t>
            </w:r>
          </w:p>
        </w:tc>
        <w:tc>
          <w:tcPr>
            <w:tcW w:type="dxa" w:w="1500"/>
            <w:tcMar>
              <w:top w:type="dxa" w:w="80"/>
              <w:left w:type="dxa" w:w="100"/>
              <w:bottom w:type="dxa" w:w="80"/>
              <w:right w:type="dxa" w:w="100"/>
            </w:tcMar>
          </w:tcPr>
          <w:p>
            <w:r>
              <w:t xml:space="preserve">1,705</w:t>
            </w:r>
          </w:p>
        </w:tc>
        <w:tc>
          <w:tcPr>
            <w:tcW w:type="dxa" w:w="1800"/>
            <w:tcMar>
              <w:top w:type="dxa" w:w="80"/>
              <w:left w:type="dxa" w:w="100"/>
              <w:bottom w:type="dxa" w:w="80"/>
              <w:right w:type="dxa" w:w="100"/>
            </w:tcMar>
          </w:tcPr>
          <w:p>
            <w:r>
              <w:t xml:space="preserve">48.9%</w:t>
            </w:r>
          </w:p>
        </w:tc>
      </w:tr>
      <w:tr>
        <w:tc>
          <w:tcPr>
            <w:tcW w:type="dxa" w:w="2800"/>
            <w:tcMar>
              <w:top w:type="dxa" w:w="80"/>
              <w:left w:type="dxa" w:w="100"/>
              <w:bottom w:type="dxa" w:w="80"/>
              <w:right w:type="dxa" w:w="100"/>
            </w:tcMar>
          </w:tcPr>
          <w:p>
            <w:r>
              <w:t xml:space="preserve">New, Low Spend</w:t>
            </w:r>
          </w:p>
        </w:tc>
        <w:tc>
          <w:tcPr>
            <w:tcW w:type="dxa" w:w="3200"/>
            <w:tcMar>
              <w:top w:type="dxa" w:w="80"/>
              <w:left w:type="dxa" w:w="100"/>
              <w:bottom w:type="dxa" w:w="80"/>
              <w:right w:type="dxa" w:w="100"/>
            </w:tcMar>
          </w:tcPr>
          <w:p>
            <w:r>
              <w:t xml:space="preserve">Low tenure, low monthly charges</w:t>
            </w:r>
          </w:p>
        </w:tc>
        <w:tc>
          <w:tcPr>
            <w:tcW w:type="dxa" w:w="1500"/>
            <w:tcMar>
              <w:top w:type="dxa" w:w="80"/>
              <w:left w:type="dxa" w:w="100"/>
              <w:bottom w:type="dxa" w:w="80"/>
              <w:right w:type="dxa" w:w="100"/>
            </w:tcMar>
          </w:tcPr>
          <w:p>
            <w:r>
              <w:t xml:space="preserve">1,248</w:t>
            </w:r>
          </w:p>
        </w:tc>
        <w:tc>
          <w:tcPr>
            <w:tcW w:type="dxa" w:w="1800"/>
            <w:tcMar>
              <w:top w:type="dxa" w:w="80"/>
              <w:left w:type="dxa" w:w="100"/>
              <w:bottom w:type="dxa" w:w="80"/>
              <w:right w:type="dxa" w:w="100"/>
            </w:tcMar>
          </w:tcPr>
          <w:p>
            <w:r>
              <w:t xml:space="preserve">25.4%</w:t>
            </w:r>
          </w:p>
        </w:tc>
      </w:tr>
    </w:tbl>
    <w:p>
      <w:pPr>
        <w:pStyle w:val="Heading1"/>
        <w:spacing w:after="140" w:before="320"/>
      </w:pPr>
      <w:r>
        <w:t xml:space="preserve">6. Interpretation and Actionable Insight</w:t>
      </w:r>
    </w:p>
    <w:p>
      <w:pPr>
        <w:spacing w:after="120"/>
      </w:pPr>
      <w:r>
        <w:t xml:space="preserve">Clustering itself uses only tenure and MonthlyCharges and has no knowledge of churn. Churn rate was calculated per segment after clustering, to interrogate whether the discovered groups relate meaningfully to churn behaviour.</w:t>
      </w:r>
    </w:p>
    <w:p>
      <w:pPr>
        <w:spacing w:after="120"/>
      </w:pPr>
      <w:r>
        <w:t xml:space="preserve">The New, High Spend (At-Risk) segment stands out clearly: it churns at 48.9%, roughly 3–10x higher than every other segment, and is not a small edge case: at 1,705 customers, it is the largest of the four segments (about 25% of the customer base). New customers who are already paying high monthly charges are the clearest, highest-priority retention target identified in this analysis, and this finding is recommended as a central input to the project's retention strategy in the final report.</w:t>
      </w:r>
    </w:p>
    <w:p>
      <w:pPr>
        <w:pStyle w:val="Heading1"/>
        <w:spacing w:after="140" w:before="320"/>
      </w:pPr>
      <w:r>
        <w:t xml:space="preserve">7. Files in This Folder</w:t>
      </w:r>
    </w:p>
    <w:p>
      <w:pPr>
        <w:pStyle w:val="ListParagraph"/>
        <w:numPr>
          <w:ilvl w:val="0"/>
          <w:numId w:val="1"/>
        </w:numPr>
        <w:spacing w:after="60"/>
      </w:pPr>
      <w:r>
        <w:t xml:space="preserve">Clustering_Analysis_Documentation.docx: this document</w:t>
      </w:r>
    </w:p>
    <w:p>
      <w:pPr>
        <w:pStyle w:val="ListParagraph"/>
        <w:numPr>
          <w:ilvl w:val="0"/>
          <w:numId w:val="1"/>
        </w:numPr>
        <w:spacing w:after="60"/>
      </w:pPr>
      <w:r>
        <w:t xml:space="preserve">Clustering_Analysis.ipynb: full annotated code (Jupyter Notebook)</w:t>
      </w:r>
    </w:p>
    <w:p>
      <w:pPr>
        <w:pStyle w:val="ListParagraph"/>
        <w:numPr>
          <w:ilvl w:val="0"/>
          <w:numId w:val="1"/>
        </w:numPr>
        <w:spacing w:after="60"/>
      </w:pPr>
      <w:r>
        <w:t xml:space="preserve">Clustering_Analysis.py: equivalent plain Python script</w:t>
      </w:r>
    </w:p>
    <w:p>
      <w:pPr>
        <w:pStyle w:val="ListParagraph"/>
        <w:numPr>
          <w:ilvl w:val="0"/>
          <w:numId w:val="1"/>
        </w:numPr>
        <w:spacing w:after="60"/>
      </w:pPr>
      <w:r>
        <w:t xml:space="preserve">kmeans_model.pkl: trained K-Means model (k=4)</w:t>
      </w:r>
    </w:p>
    <w:p>
      <w:pPr>
        <w:pStyle w:val="ListParagraph"/>
        <w:numPr>
          <w:ilvl w:val="0"/>
          <w:numId w:val="1"/>
        </w:numPr>
        <w:spacing w:after="60"/>
      </w:pPr>
      <w:r>
        <w:t xml:space="preserve">elbow_method.png: elbow method chart (Figure 1)</w:t>
      </w:r>
    </w:p>
    <w:p>
      <w:pPr>
        <w:pStyle w:val="ListParagraph"/>
        <w:numPr>
          <w:ilvl w:val="0"/>
          <w:numId w:val="1"/>
        </w:numPr>
        <w:spacing w:after="60"/>
      </w:pPr>
      <w:r>
        <w:t xml:space="preserve">cluster_visualization.png: labelled cluster scatter plot (Figure 2)</w:t>
      </w:r>
    </w:p>
    <w:p>
      <w:pPr>
        <w:pStyle w:val="ListParagraph"/>
        <w:numPr>
          <w:ilvl w:val="0"/>
          <w:numId w:val="1"/>
        </w:numPr>
        <w:spacing w:after="60"/>
      </w:pPr>
      <w:r>
        <w:t xml:space="preserve">cluster_assignments.csv: per-customer cluster assignment and churn label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92d1a6821db896b8966c1cdaea10fa54c77cac.png"/><Relationship Id="rId8" Type="http://schemas.openxmlformats.org/officeDocument/2006/relationships/image" Target="media/b01c74fa1afb93f9cfdada123cebe9f089f9eb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2026-09-17T10:20:39.553Z</dcterms:created>
  <dcterms:modified xsi:type="dcterms:W3CDTF">2026-09-17T10:20:39.553Z</dcterms:modified>
</cp:coreProperties>
</file>

<file path=docProps/custom.xml><?xml version="1.0" encoding="utf-8"?>
<Properties xmlns="http://schemas.openxmlformats.org/officeDocument/2006/custom-properties" xmlns:vt="http://schemas.openxmlformats.org/officeDocument/2006/docPropsVTypes"/>
</file>