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F3864"/>
          <w:sz w:val="52"/>
        </w:rPr>
        <w:t>ÉTUDE DE RISQUES</w:t>
        <w:br/>
        <w:t>MÉTHODE EBIOS RISK MANAGER</w:t>
      </w:r>
    </w:p>
    <w:p>
      <w:pPr>
        <w:spacing w:before="200"/>
        <w:jc w:val="center"/>
      </w:pPr>
      <w:r>
        <w:rPr>
          <w:color w:val="2E74B5"/>
          <w:sz w:val="26"/>
        </w:rPr>
        <w:t>CelerPay — établissement de paiement (cas fictif)</w:t>
      </w:r>
    </w:p>
    <w:p>
      <w:pPr>
        <w:spacing w:before="1200"/>
        <w:jc w:val="center"/>
      </w:pPr>
      <w:r>
        <w:rPr>
          <w:i/>
          <w:color w:val="595959"/>
          <w:sz w:val="18"/>
        </w:rPr>
        <w:t>Projet personnel de démonstration. Étude entièrement fictive et originale, sans lien avec une entreprise réelle. Aucune donnée, aucune page de référence externe : c'est un exercice personnel construit de bout en bout, pas l'extension d'un cas publié.</w:t>
        <w:br/>
        <w:t>Ce document ne décrit aucune entreprise réelle et n'est ni un audit ni une certification.</w:t>
      </w:r>
    </w:p>
    <w:p>
      <w:pPr>
        <w:spacing w:before="1600"/>
        <w:jc w:val="center"/>
      </w:pPr>
      <w:r>
        <w:rPr>
          <w:b/>
          <w:color w:val="1F3864"/>
          <w:sz w:val="22"/>
        </w:rPr>
        <w:t>Mohamed Abdellah Lagrini</w:t>
      </w:r>
    </w:p>
    <w:p>
      <w:pPr>
        <w:jc w:val="center"/>
      </w:pPr>
      <w:r>
        <w:rPr>
          <w:color w:val="595959"/>
          <w:sz w:val="19"/>
        </w:rPr>
        <w:t>Élève ingénieur, EMSI</w:t>
      </w:r>
    </w:p>
    <w:p>
      <w:r>
        <w:br w:type="page"/>
      </w:r>
    </w:p>
    <w:p>
      <w:pPr>
        <w:pStyle w:val="Heading1"/>
      </w:pPr>
      <w:r>
        <w:t>Comment lire ce document</w:t>
      </w:r>
    </w:p>
    <w:p>
      <w:pPr>
        <w:spacing w:after="120"/>
      </w:pPr>
      <w:r>
        <w:rPr>
          <w:b w:val="0"/>
          <w:i w:val="0"/>
          <w:sz w:val="21"/>
        </w:rPr>
        <w:t>Ce document résume les cinq ateliers de la méthode EBIOS Risk Manager, appliquée à CelerPay, un établissement de paiement entièrement fictif — imaginé pour ce projet personnel de démonstration.</w:t>
      </w:r>
    </w:p>
    <w:tbl>
      <w:tblPr>
        <w:tblW w:type="auto" w:w="0"/>
        <w:jc w:val="center"/>
        <w:tblLook w:firstColumn="1" w:firstRow="1" w:lastColumn="0" w:lastRow="0" w:noHBand="0" w:noVBand="1" w:val="04A0"/>
      </w:tblPr>
      <w:tblGrid>
        <w:gridCol w:w="9632"/>
      </w:tblGrid>
      <w:tr>
        <w:tc>
          <w:tcPr>
            <w:tcW w:type="dxa" w:w="9632"/>
            <w:shd w:fill="EAF1FB"/>
            <w:tcBorders>
              <w:left w:val="single" w:sz="24" w:color="1F3864"/>
            </w:tcBorders>
          </w:tcPr>
          <w:p>
            <w:pPr>
              <w:spacing w:before="80" w:after="80"/>
            </w:pPr>
            <w:r/>
            <w:r>
              <w:rPr>
                <w:b/>
                <w:color w:val="2E74B5"/>
                <w:sz w:val="16"/>
              </w:rPr>
              <w:t>À SAVOIR AVANT DE LIRE</w:t>
              <w:br/>
            </w:r>
            <w:r>
              <w:rPr>
                <w:color w:val="1F3864"/>
                <w:sz w:val="20"/>
              </w:rPr>
              <w:t>CelerPay n'existe pas et ne reprend aucune donnée d'une entreprise réelle. C'est un exercice construit de bout en bout : mission, activité, écosystème, risques et mesures sont inventés pour être réalistes, pas recopiés.</w:t>
            </w:r>
          </w:p>
        </w:tc>
      </w:tr>
    </w:tbl>
    <w:p>
      <w:pPr>
        <w:spacing w:after="40"/>
      </w:pPr>
    </w:p>
    <w:p>
      <w:pPr>
        <w:pStyle w:val="Heading1"/>
      </w:pPr>
      <w:r>
        <w:t>Atelier 1 — Cadrage et socle de sécurité</w:t>
      </w:r>
    </w:p>
    <w:p>
      <w:pPr>
        <w:spacing w:after="120"/>
      </w:pPr>
      <w:r>
        <w:rPr>
          <w:b w:val="0"/>
          <w:i w:val="0"/>
          <w:sz w:val="21"/>
        </w:rPr>
        <w:t>CelerPay est un établissement de paiement agréé par l'ACPR, basé à Paris, avec un centre technique à Casablanca (développement et support). Trois valeurs métier : le traitement des paiements (le cœur du métier), le portefeuille client (données bancaires et personnelles), et la conformité réglementaire (les preuves attendues par l'ACPR et TRACFIN).</w:t>
      </w:r>
    </w:p>
    <w:tbl>
      <w:tblPr>
        <w:tblW w:type="auto" w:w="0"/>
        <w:jc w:val="center"/>
        <w:tblLook w:firstColumn="1" w:firstRow="1" w:lastColumn="0" w:lastRow="0" w:noHBand="0" w:noVBand="1" w:val="04A0"/>
      </w:tblPr>
      <w:tblGrid>
        <w:gridCol w:w="9632"/>
      </w:tblGrid>
      <w:tr>
        <w:tc>
          <w:tcPr>
            <w:tcW w:type="dxa" w:w="9632"/>
            <w:shd w:fill="EAF1FB"/>
            <w:tcBorders>
              <w:left w:val="single" w:sz="24" w:color="1F3864"/>
            </w:tcBorders>
          </w:tcPr>
          <w:p>
            <w:pPr>
              <w:spacing w:before="80" w:after="80"/>
            </w:pPr>
            <w:r/>
            <w:r>
              <w:rPr>
                <w:b/>
                <w:color w:val="2E74B5"/>
                <w:sz w:val="16"/>
              </w:rPr>
              <w:t>À RETENIR</w:t>
              <w:br/>
            </w:r>
            <w:r>
              <w:rPr>
                <w:color w:val="1F3864"/>
                <w:sz w:val="20"/>
              </w:rPr>
              <w:t>Avant d'étudier des attaques sophistiquées, on évalue le socle de sécurité : sur 42 règles de base, une seule est pleinement appliquée. 18 le sont partiellement, 23 ne le sont pas du tout. Une maturité volontairement faible, cohérente avec une jeune entreprise en forte croissance qui n'a pas encore structuré sa sécurité.</w:t>
            </w:r>
          </w:p>
        </w:tc>
      </w:tr>
    </w:tbl>
    <w:p>
      <w:pPr>
        <w:spacing w:after="40"/>
      </w:pPr>
    </w:p>
    <w:p>
      <w:r>
        <w:br w:type="page"/>
      </w:r>
    </w:p>
    <w:p>
      <w:pPr>
        <w:pStyle w:val="Heading1"/>
      </w:pPr>
      <w:r>
        <w:t>Atelier 2 — Sources de risque</w:t>
      </w:r>
    </w:p>
    <w:p>
      <w:pPr>
        <w:spacing w:after="120"/>
      </w:pPr>
      <w:r>
        <w:rPr>
          <w:b w:val="0"/>
          <w:i w:val="0"/>
          <w:sz w:val="21"/>
        </w:rPr>
        <w:t>Qui pourrait porter atteinte à ces valeurs métier, et dans quel but ? Trois sources retenues : un concurrent (voler la base clients et l'algorithme antifraude), un fraudeur organisé (détourner des fonds), et un cybercriminel (rançongiciel).</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850"/>
            <w:shd w:fill="1F3864"/>
          </w:tcPr>
          <w:p>
            <w:r/>
            <w:r>
              <w:rPr>
                <w:b/>
                <w:color w:val="FFFFFF"/>
                <w:sz w:val="18"/>
              </w:rPr>
              <w:t>Réf.</w:t>
            </w:r>
          </w:p>
        </w:tc>
        <w:tc>
          <w:tcPr>
            <w:tcW w:type="dxa" w:w="1984"/>
            <w:shd w:fill="1F3864"/>
          </w:tcPr>
          <w:p>
            <w:r/>
            <w:r>
              <w:rPr>
                <w:b/>
                <w:color w:val="FFFFFF"/>
                <w:sz w:val="18"/>
              </w:rPr>
              <w:t>Source</w:t>
            </w:r>
          </w:p>
        </w:tc>
        <w:tc>
          <w:tcPr>
            <w:tcW w:type="dxa" w:w="5386"/>
            <w:shd w:fill="1F3864"/>
          </w:tcPr>
          <w:p>
            <w:r/>
            <w:r>
              <w:rPr>
                <w:b/>
                <w:color w:val="FFFFFF"/>
                <w:sz w:val="18"/>
              </w:rPr>
              <w:t>Objectif visé</w:t>
            </w:r>
          </w:p>
        </w:tc>
        <w:tc>
          <w:tcPr>
            <w:tcW w:type="dxa" w:w="1134"/>
            <w:shd w:fill="1F3864"/>
          </w:tcPr>
          <w:p>
            <w:r/>
            <w:r>
              <w:rPr>
                <w:b/>
                <w:color w:val="FFFFFF"/>
                <w:sz w:val="18"/>
              </w:rPr>
              <w:t>Pertinence</w:t>
            </w:r>
          </w:p>
        </w:tc>
      </w:tr>
      <w:tr>
        <w:tc>
          <w:tcPr>
            <w:tcW w:type="dxa" w:w="850"/>
          </w:tcPr>
          <w:p>
            <w:r/>
            <w:r>
              <w:rPr>
                <w:sz w:val="18"/>
              </w:rPr>
              <w:t>SO1</w:t>
            </w:r>
          </w:p>
        </w:tc>
        <w:tc>
          <w:tcPr>
            <w:tcW w:type="dxa" w:w="1984"/>
          </w:tcPr>
          <w:p>
            <w:r/>
            <w:r>
              <w:rPr>
                <w:sz w:val="18"/>
              </w:rPr>
              <w:t>Fraudeur organisé</w:t>
            </w:r>
          </w:p>
        </w:tc>
        <w:tc>
          <w:tcPr>
            <w:tcW w:type="dxa" w:w="5386"/>
          </w:tcPr>
          <w:p>
            <w:r/>
            <w:r>
              <w:rPr>
                <w:sz w:val="18"/>
              </w:rPr>
              <w:t>Détourner des fonds par des transactions frauduleuses à grande échelle</w:t>
            </w:r>
          </w:p>
        </w:tc>
        <w:tc>
          <w:tcPr>
            <w:tcW w:type="dxa" w:w="1134"/>
          </w:tcPr>
          <w:p>
            <w:r/>
            <w:r>
              <w:rPr>
                <w:sz w:val="18"/>
              </w:rPr>
              <w:t>Élevée</w:t>
            </w:r>
          </w:p>
        </w:tc>
      </w:tr>
      <w:tr>
        <w:tc>
          <w:tcPr>
            <w:tcW w:type="dxa" w:w="850"/>
            <w:shd w:fill="F2F2F2"/>
          </w:tcPr>
          <w:p>
            <w:r/>
            <w:r>
              <w:rPr>
                <w:sz w:val="18"/>
              </w:rPr>
              <w:t>SO2</w:t>
            </w:r>
          </w:p>
        </w:tc>
        <w:tc>
          <w:tcPr>
            <w:tcW w:type="dxa" w:w="1984"/>
            <w:shd w:fill="F2F2F2"/>
          </w:tcPr>
          <w:p>
            <w:r/>
            <w:r>
              <w:rPr>
                <w:sz w:val="18"/>
              </w:rPr>
              <w:t>Concurrent (fintech rivale)</w:t>
            </w:r>
          </w:p>
        </w:tc>
        <w:tc>
          <w:tcPr>
            <w:tcW w:type="dxa" w:w="5386"/>
            <w:shd w:fill="F2F2F2"/>
          </w:tcPr>
          <w:p>
            <w:r/>
            <w:r>
              <w:rPr>
                <w:sz w:val="18"/>
              </w:rPr>
              <w:t>Voler la base clients et l'algorithme de scoring antifraude</w:t>
            </w:r>
          </w:p>
        </w:tc>
        <w:tc>
          <w:tcPr>
            <w:tcW w:type="dxa" w:w="1134"/>
            <w:shd w:fill="F2F2F2"/>
          </w:tcPr>
          <w:p>
            <w:r/>
            <w:r>
              <w:rPr>
                <w:sz w:val="18"/>
              </w:rPr>
              <w:t>Élevée</w:t>
            </w:r>
          </w:p>
        </w:tc>
      </w:tr>
      <w:tr>
        <w:tc>
          <w:tcPr>
            <w:tcW w:type="dxa" w:w="850"/>
          </w:tcPr>
          <w:p>
            <w:r/>
            <w:r>
              <w:rPr>
                <w:sz w:val="18"/>
              </w:rPr>
              <w:t>SO5</w:t>
            </w:r>
          </w:p>
        </w:tc>
        <w:tc>
          <w:tcPr>
            <w:tcW w:type="dxa" w:w="1984"/>
          </w:tcPr>
          <w:p>
            <w:r/>
            <w:r>
              <w:rPr>
                <w:sz w:val="18"/>
              </w:rPr>
              <w:t>Cybercriminel organisé</w:t>
            </w:r>
          </w:p>
        </w:tc>
        <w:tc>
          <w:tcPr>
            <w:tcW w:type="dxa" w:w="5386"/>
          </w:tcPr>
          <w:p>
            <w:r/>
            <w:r>
              <w:rPr>
                <w:sz w:val="18"/>
              </w:rPr>
              <w:t>Chiffrer les systèmes (rançongiciel) pour extorquer une rançon</w:t>
            </w:r>
          </w:p>
        </w:tc>
        <w:tc>
          <w:tcPr>
            <w:tcW w:type="dxa" w:w="1134"/>
          </w:tcPr>
          <w:p>
            <w:r/>
            <w:r>
              <w:rPr>
                <w:sz w:val="18"/>
              </w:rPr>
              <w:t>Élevée</w:t>
            </w:r>
          </w:p>
        </w:tc>
      </w:tr>
    </w:tbl>
    <w:p>
      <w:pPr>
        <w:spacing w:after="40"/>
      </w:pPr>
    </w:p>
    <w:tbl>
      <w:tblPr>
        <w:tblW w:type="auto" w:w="0"/>
        <w:jc w:val="center"/>
        <w:tblLook w:firstColumn="1" w:firstRow="1" w:lastColumn="0" w:lastRow="0" w:noHBand="0" w:noVBand="1" w:val="04A0"/>
      </w:tblPr>
      <w:tblGrid>
        <w:gridCol w:w="9632"/>
      </w:tblGrid>
      <w:tr>
        <w:tc>
          <w:tcPr>
            <w:tcW w:type="dxa" w:w="9632"/>
            <w:shd w:fill="EAF1FB"/>
            <w:tcBorders>
              <w:left w:val="single" w:sz="24" w:color="1F3864"/>
            </w:tcBorders>
          </w:tcPr>
          <w:p>
            <w:pPr>
              <w:spacing w:before="80" w:after="80"/>
            </w:pPr>
            <w:r/>
            <w:r>
              <w:rPr>
                <w:b/>
                <w:color w:val="2E74B5"/>
                <w:sz w:val="16"/>
              </w:rPr>
              <w:t>À RETENIR</w:t>
              <w:br/>
            </w:r>
            <w:r>
              <w:rPr>
                <w:color w:val="1F3864"/>
                <w:sz w:val="20"/>
              </w:rPr>
              <w:t>Deux couples sont écartés au premier cycle mais mis sous surveillance : un hacktiviste (dénoncer les pratiques tarifaires) et un cybercriminel isolé visant une extorsion limitée. Le secteur des paiements attire surtout des acteurs à motivation financière, organisés plutôt qu'opportunistes.</w:t>
            </w:r>
          </w:p>
        </w:tc>
      </w:tr>
    </w:tbl>
    <w:p>
      <w:pPr>
        <w:spacing w:after="40"/>
      </w:pPr>
    </w:p>
    <w:p>
      <w:r>
        <w:br w:type="page"/>
      </w:r>
    </w:p>
    <w:p>
      <w:pPr>
        <w:pStyle w:val="Heading1"/>
      </w:pPr>
      <w:r>
        <w:t>Atelier 3 — Scénarios stratégiques</w:t>
      </w:r>
    </w:p>
    <w:p>
      <w:pPr>
        <w:spacing w:after="120"/>
      </w:pPr>
      <w:r>
        <w:rPr>
          <w:b w:val="0"/>
          <w:i w:val="0"/>
          <w:sz w:val="21"/>
        </w:rPr>
        <w:t>Trois parties prenantes externes concentrent le risque : plus CelerPay en dépend et plus elles ont accès à son système, plus elles sont dangereuses.</w:t>
      </w:r>
    </w:p>
    <w:tbl>
      <w:tblPr>
        <w:tblStyle w:val="TableGrid"/>
        <w:tblW w:type="auto" w:w="0"/>
        <w:jc w:val="center"/>
        <w:tblLook w:firstColumn="1" w:firstRow="1" w:lastColumn="0" w:lastRow="0" w:noHBand="0" w:noVBand="1" w:val="04A0"/>
      </w:tblPr>
      <w:tblGrid>
        <w:gridCol w:w="3211"/>
        <w:gridCol w:w="3211"/>
        <w:gridCol w:w="3211"/>
      </w:tblGrid>
      <w:tr>
        <w:tc>
          <w:tcPr>
            <w:tcW w:type="dxa" w:w="3969"/>
            <w:shd w:fill="1F3864"/>
          </w:tcPr>
          <w:p>
            <w:r/>
            <w:r>
              <w:rPr>
                <w:b/>
                <w:color w:val="FFFFFF"/>
                <w:sz w:val="18"/>
              </w:rPr>
              <w:t>Partie prenante</w:t>
            </w:r>
          </w:p>
        </w:tc>
        <w:tc>
          <w:tcPr>
            <w:tcW w:type="dxa" w:w="2835"/>
            <w:shd w:fill="1F3864"/>
          </w:tcPr>
          <w:p>
            <w:r/>
            <w:r>
              <w:rPr>
                <w:b/>
                <w:color w:val="FFFFFF"/>
                <w:sz w:val="18"/>
              </w:rPr>
              <w:t>Dangerosité</w:t>
            </w:r>
          </w:p>
        </w:tc>
        <w:tc>
          <w:tcPr>
            <w:tcW w:type="dxa" w:w="2551"/>
            <w:shd w:fill="1F3864"/>
          </w:tcPr>
          <w:p>
            <w:r/>
            <w:r>
              <w:rPr>
                <w:b/>
                <w:color w:val="FFFFFF"/>
                <w:sz w:val="18"/>
              </w:rPr>
              <w:t>Zone</w:t>
            </w:r>
          </w:p>
        </w:tc>
      </w:tr>
      <w:tr>
        <w:tc>
          <w:tcPr>
            <w:tcW w:type="dxa" w:w="3969"/>
          </w:tcPr>
          <w:p>
            <w:r/>
            <w:r>
              <w:rPr>
                <w:sz w:val="18"/>
              </w:rPr>
              <w:t>Centre technique de Casablanca</w:t>
            </w:r>
          </w:p>
        </w:tc>
        <w:tc>
          <w:tcPr>
            <w:tcW w:type="dxa" w:w="2835"/>
          </w:tcPr>
          <w:p>
            <w:r/>
            <w:r>
              <w:rPr>
                <w:sz w:val="18"/>
              </w:rPr>
              <w:t>3,00 (la plus élevée)</w:t>
            </w:r>
          </w:p>
        </w:tc>
        <w:tc>
          <w:tcPr>
            <w:tcW w:type="dxa" w:w="2551"/>
          </w:tcPr>
          <w:p>
            <w:r/>
            <w:r>
              <w:rPr>
                <w:sz w:val="18"/>
              </w:rPr>
              <w:t>Danger</w:t>
            </w:r>
          </w:p>
        </w:tc>
      </w:tr>
      <w:tr>
        <w:tc>
          <w:tcPr>
            <w:tcW w:type="dxa" w:w="3969"/>
            <w:shd w:fill="F2F2F2"/>
          </w:tcPr>
          <w:p>
            <w:r/>
            <w:r>
              <w:rPr>
                <w:sz w:val="18"/>
              </w:rPr>
              <w:t>Banque partenaire (cantonnement)</w:t>
            </w:r>
          </w:p>
        </w:tc>
        <w:tc>
          <w:tcPr>
            <w:tcW w:type="dxa" w:w="2835"/>
            <w:shd w:fill="F2F2F2"/>
          </w:tcPr>
          <w:p>
            <w:r/>
            <w:r>
              <w:rPr>
                <w:sz w:val="18"/>
              </w:rPr>
              <w:t>2,25</w:t>
            </w:r>
          </w:p>
        </w:tc>
        <w:tc>
          <w:tcPr>
            <w:tcW w:type="dxa" w:w="2551"/>
            <w:shd w:fill="F2F2F2"/>
          </w:tcPr>
          <w:p>
            <w:r/>
            <w:r>
              <w:rPr>
                <w:sz w:val="18"/>
              </w:rPr>
              <w:t>Contrôle</w:t>
            </w:r>
          </w:p>
        </w:tc>
      </w:tr>
      <w:tr>
        <w:tc>
          <w:tcPr>
            <w:tcW w:type="dxa" w:w="3969"/>
          </w:tcPr>
          <w:p>
            <w:r/>
            <w:r>
              <w:rPr>
                <w:sz w:val="18"/>
              </w:rPr>
              <w:t>Éditeur du cœur bancaire</w:t>
            </w:r>
          </w:p>
        </w:tc>
        <w:tc>
          <w:tcPr>
            <w:tcW w:type="dxa" w:w="2835"/>
          </w:tcPr>
          <w:p>
            <w:r/>
            <w:r>
              <w:rPr>
                <w:sz w:val="18"/>
              </w:rPr>
              <w:t>2,00</w:t>
            </w:r>
          </w:p>
        </w:tc>
        <w:tc>
          <w:tcPr>
            <w:tcW w:type="dxa" w:w="2551"/>
          </w:tcPr>
          <w:p>
            <w:r/>
            <w:r>
              <w:rPr>
                <w:sz w:val="18"/>
              </w:rPr>
              <w:t>Contrôle</w:t>
            </w:r>
          </w:p>
        </w:tc>
      </w:tr>
    </w:tbl>
    <w:p>
      <w:pPr>
        <w:spacing w:after="40"/>
      </w:pPr>
    </w:p>
    <w:p>
      <w:pPr>
        <w:spacing w:after="120"/>
      </w:pPr>
      <w:r>
        <w:rPr>
          <w:b w:val="0"/>
          <w:i w:val="0"/>
          <w:sz w:val="21"/>
        </w:rPr>
        <w:t>Trois scénarios stratégiques en découlent : un concurrent qui vole la base clients (gravité 3), un fraudeur qui détourne des fonds (gravité 4), et un cybercriminel qui paralyse le service par rançongiciel (gravité 4). Le centre technique de Casablanca apparaît dans deux scénarios sur trois — c'est le point de concentration du risque.</w:t>
      </w:r>
    </w:p>
    <w:p>
      <w:r>
        <w:br w:type="page"/>
      </w:r>
    </w:p>
    <w:p>
      <w:pPr>
        <w:pStyle w:val="Heading1"/>
      </w:pPr>
      <w:r>
        <w:t>Atelier 4 — Scénarios opérationnels</w:t>
      </w:r>
    </w:p>
    <w:p>
      <w:pPr>
        <w:spacing w:after="120"/>
      </w:pPr>
      <w:r>
        <w:rPr>
          <w:b w:val="0"/>
          <w:i w:val="0"/>
          <w:sz w:val="21"/>
        </w:rPr>
        <w:t>Chaque scénario stratégique se décompose en modes d'attaque concrets, cotés de V1 (peu vraisemblable) à V4 (quasi certain) — le mode retenu pour chaque risque est celui qui demande le moins d'effort à l'attaquant.</w:t>
      </w:r>
    </w:p>
    <w:tbl>
      <w:tblPr>
        <w:tblW w:type="auto" w:w="0"/>
        <w:jc w:val="center"/>
        <w:tblLook w:firstColumn="1" w:firstRow="1" w:lastColumn="0" w:lastRow="0" w:noHBand="0" w:noVBand="1" w:val="04A0"/>
      </w:tblPr>
      <w:tblGrid>
        <w:gridCol w:w="9632"/>
      </w:tblGrid>
      <w:tr>
        <w:tc>
          <w:tcPr>
            <w:tcW w:type="dxa" w:w="9632"/>
            <w:shd w:fill="EAF1FB"/>
            <w:tcBorders>
              <w:left w:val="single" w:sz="24" w:color="1F3864"/>
            </w:tcBorders>
          </w:tcPr>
          <w:p>
            <w:pPr>
              <w:spacing w:before="80" w:after="80"/>
            </w:pPr>
            <w:r/>
            <w:r>
              <w:rPr>
                <w:b/>
                <w:color w:val="2E74B5"/>
                <w:sz w:val="16"/>
              </w:rPr>
              <w:t>À RETENIR</w:t>
              <w:br/>
            </w:r>
            <w:r>
              <w:rPr>
                <w:color w:val="1F3864"/>
                <w:sz w:val="20"/>
              </w:rPr>
              <w:t>Sur l'ensemble des actions d'attaque étudiées, une seule règle de sécurité manquante revient le plus souvent : l'absence de cloisonnement du réseau entre le bureautique, la plateforme transactionnelle et l'administration. C'est la mesure la plus rentable à corriger en premier.</w:t>
            </w:r>
          </w:p>
        </w:tc>
      </w:tr>
    </w:tbl>
    <w:p>
      <w:pPr>
        <w:spacing w:after="40"/>
      </w:pPr>
    </w:p>
    <w:p>
      <w:r>
        <w:br w:type="page"/>
      </w:r>
    </w:p>
    <w:p>
      <w:pPr>
        <w:pStyle w:val="Heading1"/>
      </w:pPr>
      <w:r>
        <w:t>Atelier 5 — Traitement du risque</w:t>
      </w:r>
    </w:p>
    <w:p>
      <w:pPr>
        <w:spacing w:after="120"/>
      </w:pPr>
      <w:r>
        <w:rPr>
          <w:b w:val="0"/>
          <w:i w:val="0"/>
          <w:sz w:val="21"/>
        </w:rPr>
        <w:t>Sept risques au total. Cinq sont initialement élevés et doivent être réduits ; les deux liés au rançongiciel (R6, R7) partent des scores les plus hauts de toute l'étude.</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850"/>
            <w:shd w:fill="1F3864"/>
          </w:tcPr>
          <w:p>
            <w:r/>
            <w:r>
              <w:rPr>
                <w:b/>
                <w:color w:val="FFFFFF"/>
                <w:sz w:val="18"/>
              </w:rPr>
              <w:t>Réf.</w:t>
            </w:r>
          </w:p>
        </w:tc>
        <w:tc>
          <w:tcPr>
            <w:tcW w:type="dxa" w:w="5669"/>
            <w:shd w:fill="1F3864"/>
          </w:tcPr>
          <w:p>
            <w:r/>
            <w:r>
              <w:rPr>
                <w:b/>
                <w:color w:val="FFFFFF"/>
                <w:sz w:val="18"/>
              </w:rPr>
              <w:t>Scénario</w:t>
            </w:r>
          </w:p>
        </w:tc>
        <w:tc>
          <w:tcPr>
            <w:tcW w:type="dxa" w:w="1701"/>
            <w:shd w:fill="1F3864"/>
          </w:tcPr>
          <w:p>
            <w:r/>
            <w:r>
              <w:rPr>
                <w:b/>
                <w:color w:val="FFFFFF"/>
                <w:sz w:val="18"/>
              </w:rPr>
              <w:t>Initial</w:t>
            </w:r>
          </w:p>
        </w:tc>
        <w:tc>
          <w:tcPr>
            <w:tcW w:type="dxa" w:w="1984"/>
            <w:shd w:fill="1F3864"/>
          </w:tcPr>
          <w:p>
            <w:r/>
            <w:r>
              <w:rPr>
                <w:b/>
                <w:color w:val="FFFFFF"/>
                <w:sz w:val="18"/>
              </w:rPr>
              <w:t>Cible</w:t>
            </w:r>
          </w:p>
        </w:tc>
      </w:tr>
      <w:tr>
        <w:tc>
          <w:tcPr>
            <w:tcW w:type="dxa" w:w="850"/>
          </w:tcPr>
          <w:p>
            <w:r/>
            <w:r>
              <w:rPr>
                <w:sz w:val="18"/>
              </w:rPr>
              <w:t>R3</w:t>
            </w:r>
          </w:p>
        </w:tc>
        <w:tc>
          <w:tcPr>
            <w:tcW w:type="dxa" w:w="5669"/>
          </w:tcPr>
          <w:p>
            <w:r/>
            <w:r>
              <w:rPr>
                <w:sz w:val="18"/>
              </w:rPr>
              <w:t>Vol de données via le centre technique de Casablanca</w:t>
            </w:r>
          </w:p>
        </w:tc>
        <w:tc>
          <w:tcPr>
            <w:tcW w:type="dxa" w:w="1701"/>
          </w:tcPr>
          <w:p>
            <w:r/>
            <w:r>
              <w:rPr>
                <w:sz w:val="18"/>
              </w:rPr>
              <w:t>12 — Élevé</w:t>
            </w:r>
          </w:p>
        </w:tc>
        <w:tc>
          <w:tcPr>
            <w:tcW w:type="dxa" w:w="1984"/>
          </w:tcPr>
          <w:p>
            <w:r/>
            <w:r>
              <w:rPr>
                <w:sz w:val="18"/>
              </w:rPr>
              <w:t>9 — Élevé (accepté)</w:t>
            </w:r>
          </w:p>
        </w:tc>
      </w:tr>
      <w:tr>
        <w:tc>
          <w:tcPr>
            <w:tcW w:type="dxa" w:w="850"/>
            <w:shd w:fill="F2F2F2"/>
          </w:tcPr>
          <w:p>
            <w:r/>
            <w:r>
              <w:rPr>
                <w:sz w:val="18"/>
              </w:rPr>
              <w:t>R6</w:t>
            </w:r>
          </w:p>
        </w:tc>
        <w:tc>
          <w:tcPr>
            <w:tcW w:type="dxa" w:w="5669"/>
            <w:shd w:fill="F2F2F2"/>
          </w:tcPr>
          <w:p>
            <w:r/>
            <w:r>
              <w:rPr>
                <w:sz w:val="18"/>
              </w:rPr>
              <w:t>Rançongiciel déployé par le centre technique</w:t>
            </w:r>
          </w:p>
        </w:tc>
        <w:tc>
          <w:tcPr>
            <w:tcW w:type="dxa" w:w="1701"/>
            <w:shd w:fill="F2F2F2"/>
          </w:tcPr>
          <w:p>
            <w:r/>
            <w:r>
              <w:rPr>
                <w:sz w:val="18"/>
              </w:rPr>
              <w:t>16 — Élevé</w:t>
            </w:r>
          </w:p>
        </w:tc>
        <w:tc>
          <w:tcPr>
            <w:tcW w:type="dxa" w:w="1984"/>
            <w:shd w:fill="F2F2F2"/>
          </w:tcPr>
          <w:p>
            <w:r/>
            <w:r>
              <w:rPr>
                <w:sz w:val="18"/>
              </w:rPr>
              <w:t>6 — Moyen</w:t>
            </w:r>
          </w:p>
        </w:tc>
      </w:tr>
      <w:tr>
        <w:tc>
          <w:tcPr>
            <w:tcW w:type="dxa" w:w="850"/>
          </w:tcPr>
          <w:p>
            <w:r/>
            <w:r>
              <w:rPr>
                <w:sz w:val="18"/>
              </w:rPr>
              <w:t>R7</w:t>
            </w:r>
          </w:p>
        </w:tc>
        <w:tc>
          <w:tcPr>
            <w:tcW w:type="dxa" w:w="5669"/>
          </w:tcPr>
          <w:p>
            <w:r/>
            <w:r>
              <w:rPr>
                <w:sz w:val="18"/>
              </w:rPr>
              <w:t>Rançongiciel par hameçonnage direct</w:t>
            </w:r>
          </w:p>
        </w:tc>
        <w:tc>
          <w:tcPr>
            <w:tcW w:type="dxa" w:w="1701"/>
          </w:tcPr>
          <w:p>
            <w:r/>
            <w:r>
              <w:rPr>
                <w:sz w:val="18"/>
              </w:rPr>
              <w:t>12 — Élevé</w:t>
            </w:r>
          </w:p>
        </w:tc>
        <w:tc>
          <w:tcPr>
            <w:tcW w:type="dxa" w:w="1984"/>
          </w:tcPr>
          <w:p>
            <w:r/>
            <w:r>
              <w:rPr>
                <w:sz w:val="18"/>
              </w:rPr>
              <w:t>6 — Moyen</w:t>
            </w:r>
          </w:p>
        </w:tc>
      </w:tr>
    </w:tbl>
    <w:p>
      <w:pPr>
        <w:spacing w:after="40"/>
      </w:pPr>
    </w:p>
    <w:p>
      <w:pPr>
        <w:spacing w:after="120"/>
      </w:pPr>
      <w:r>
        <w:rPr>
          <w:b w:val="0"/>
          <w:i w:val="0"/>
          <w:sz w:val="21"/>
        </w:rPr>
        <w:t>Vingt-six mesures de traitement, réparties sur quatre axes (gouvernance, protection, défense, résilience). La plus rentable : le cloisonnement du réseau, qui limite à lui seul la plupart des scénarios d'attaque étudiés.</w:t>
      </w:r>
    </w:p>
    <w:tbl>
      <w:tblPr>
        <w:tblW w:type="auto" w:w="0"/>
        <w:jc w:val="center"/>
        <w:tblLook w:firstColumn="1" w:firstRow="1" w:lastColumn="0" w:lastRow="0" w:noHBand="0" w:noVBand="1" w:val="04A0"/>
      </w:tblPr>
      <w:tblGrid>
        <w:gridCol w:w="9632"/>
      </w:tblGrid>
      <w:tr>
        <w:tc>
          <w:tcPr>
            <w:tcW w:type="dxa" w:w="9632"/>
            <w:shd w:fill="EAF1FB"/>
            <w:tcBorders>
              <w:left w:val="single" w:sz="24" w:color="1F3864"/>
            </w:tcBorders>
          </w:tcPr>
          <w:p>
            <w:pPr>
              <w:spacing w:before="80" w:after="80"/>
            </w:pPr>
            <w:r/>
            <w:r>
              <w:rPr>
                <w:b/>
                <w:color w:val="2E74B5"/>
                <w:sz w:val="16"/>
              </w:rPr>
              <w:t>UNE DÉCISION ASSUMÉE, PAS UN OUBLI</w:t>
              <w:br/>
            </w:r>
            <w:r>
              <w:rPr>
                <w:color w:val="1F3864"/>
                <w:sz w:val="20"/>
              </w:rPr>
              <w:t>R3 reste volontairement à un niveau élevé après traitement. Le centre technique de Casablanca, en cours de montée en maturité, résiste au changement de méthodes de travail. C'est l'ISO 27001 qui impose ce que j'ai fait ici : formaliser cette acceptation par la direction, avec une date de revue — ne pas la laisser en risque « oublié ».</w:t>
            </w:r>
          </w:p>
        </w:tc>
      </w:tr>
    </w:tbl>
    <w:p>
      <w:pPr>
        <w:spacing w:after="40"/>
      </w:pPr>
    </w:p>
    <w:sectPr w:rsidR="00FC693F" w:rsidRPr="0006063C" w:rsidSect="00034616">
      <w:footerReference w:type="default" r:id="rId9"/>
      <w:pgSz w:w="12240" w:h="15840"/>
      <w:pgMar w:top="1247" w:right="1304" w:bottom="113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6"/>
      </w:rPr>
      <w:t xml:space="preserve">Étude EBIOS Risk Manager — CelerPay (cas fictif, projet personnel)  ·  Page </w:t>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