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/>
        <w:jc w:val="center"/>
      </w:pPr>
      <w:r>
        <w:rPr>
          <w:b/>
          <w:color w:val="1F3864"/>
          <w:sz w:val="52"/>
        </w:rPr>
        <w:t>GOUVERNANCE DU SMSI</w:t>
      </w:r>
    </w:p>
    <w:p>
      <w:pPr>
        <w:spacing w:before="200"/>
        <w:jc w:val="center"/>
      </w:pPr>
      <w:r>
        <w:rPr>
          <w:color w:val="2E74B5"/>
          <w:sz w:val="26"/>
        </w:rPr>
        <w:t>CelerPay — Politique de sécurité, audit interne, revue de direction</w:t>
      </w:r>
    </w:p>
    <w:p>
      <w:pPr>
        <w:spacing w:before="1200"/>
        <w:jc w:val="center"/>
      </w:pPr>
      <w:r>
        <w:rPr>
          <w:i/>
          <w:color w:val="595959"/>
          <w:sz w:val="18"/>
        </w:rPr>
        <w:t>Projet personnel, entreprise entièrement fictive. Document non signé : il montre ce qu'une direction devrait valider, pas le compte rendu d'une réunion qui a eu lieu.</w:t>
      </w:r>
    </w:p>
    <w:p>
      <w:pPr>
        <w:spacing w:before="1600"/>
        <w:jc w:val="center"/>
      </w:pPr>
      <w:r>
        <w:rPr>
          <w:b/>
          <w:color w:val="1F3864"/>
          <w:sz w:val="22"/>
        </w:rPr>
        <w:t>Mohamed Abdellah Lagrini</w:t>
      </w:r>
    </w:p>
    <w:p>
      <w:pPr>
        <w:jc w:val="center"/>
      </w:pPr>
      <w:r>
        <w:rPr>
          <w:color w:val="595959"/>
          <w:sz w:val="19"/>
        </w:rPr>
        <w:t>Élève ingénieur, EMSI</w:t>
      </w:r>
    </w:p>
    <w:p>
      <w:r>
        <w:br w:type="page"/>
      </w:r>
    </w:p>
    <w:p>
      <w:pPr>
        <w:pStyle w:val="Heading1"/>
      </w:pPr>
      <w:r>
        <w:t>Politique de sécurité de l'information</w:t>
      </w:r>
    </w:p>
    <w:p>
      <w:pPr>
        <w:spacing w:after="120"/>
      </w:pPr>
      <w:r>
        <w:rPr>
          <w:b w:val="0"/>
          <w:i w:val="0"/>
          <w:sz w:val="21"/>
        </w:rPr>
        <w:t>CelerPay traite des paiements et des données bancaires pour le compte de ses clients marchands : une atteinte à ses systèmes peut interrompre le service pendant un pic d'activité, exposer des données financières, ou compromettre les obligations envers l'ACPR. La politique fixe la direction à suivre ; le plan de traitement des risques dit comment y arriver.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417"/>
            <w:shd w:fill="1F3864"/>
          </w:tcPr>
          <w:p>
            <w:r/>
            <w:r>
              <w:rPr>
                <w:b/>
                <w:color w:val="FFFFFF"/>
                <w:sz w:val="18"/>
              </w:rPr>
              <w:t>Objectif</w:t>
            </w:r>
          </w:p>
        </w:tc>
        <w:tc>
          <w:tcPr>
            <w:tcW w:type="dxa" w:w="7654"/>
            <w:shd w:fill="1F3864"/>
          </w:tcPr>
          <w:p>
            <w:r/>
            <w:r>
              <w:rPr>
                <w:b/>
                <w:color w:val="FFFFFF"/>
                <w:sz w:val="18"/>
              </w:rPr>
              <w:t>Ce que nous voulons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O1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Ne jamais interrompre le traitement des paiements plus de 24 heures à cause d'un incident</w:t>
            </w:r>
          </w:p>
        </w:tc>
      </w:tr>
      <w:tr>
        <w:tc>
          <w:tcPr>
            <w:tcW w:type="dxa" w:w="1417"/>
            <w:shd w:fill="F2F2F2"/>
          </w:tcPr>
          <w:p>
            <w:r/>
            <w:r>
              <w:rPr>
                <w:sz w:val="18"/>
              </w:rPr>
              <w:t>O2</w:t>
            </w:r>
          </w:p>
        </w:tc>
        <w:tc>
          <w:tcPr>
            <w:tcW w:type="dxa" w:w="7654"/>
            <w:shd w:fill="F2F2F2"/>
          </w:tcPr>
          <w:p>
            <w:r/>
            <w:r>
              <w:rPr>
                <w:sz w:val="18"/>
              </w:rPr>
              <w:t>Empêcher la fuite ou l'altération des données bancaires et personnelles des clients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O3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Maîtriser les risques venant du centre technique, des partenaires et des éditeurs</w:t>
            </w:r>
          </w:p>
        </w:tc>
      </w:tr>
      <w:tr>
        <w:tc>
          <w:tcPr>
            <w:tcW w:type="dxa" w:w="1417"/>
            <w:shd w:fill="F2F2F2"/>
          </w:tcPr>
          <w:p>
            <w:r/>
            <w:r>
              <w:rPr>
                <w:sz w:val="18"/>
              </w:rPr>
              <w:t>O4</w:t>
            </w:r>
          </w:p>
        </w:tc>
        <w:tc>
          <w:tcPr>
            <w:tcW w:type="dxa" w:w="7654"/>
            <w:shd w:fill="F2F2F2"/>
          </w:tcPr>
          <w:p>
            <w:r/>
            <w:r>
              <w:rPr>
                <w:sz w:val="18"/>
              </w:rPr>
              <w:t>Respecter les obligations ACPR, DSP2, RGPD et TRACFIN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O5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Améliorer chaque année le niveau de sécurité, et le démontrer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EAF1FB"/>
            <w:tcBorders>
              <w:left w:val="single" w:sz="24" w:color="1F3864"/>
            </w:tcBorders>
          </w:tcPr>
          <w:p>
            <w:pPr>
              <w:spacing w:before="80" w:after="80"/>
            </w:pPr>
            <w:r/>
            <w:r>
              <w:rPr>
                <w:b/>
                <w:color w:val="2E74B5"/>
                <w:sz w:val="16"/>
              </w:rPr>
              <w:t>À RETENIR</w:t>
              <w:br/>
            </w:r>
            <w:r>
              <w:rPr>
                <w:color w:val="1F3864"/>
                <w:sz w:val="20"/>
              </w:rPr>
              <w:t>Le principe qui structure toute la politique : « preuve avant affirmation ». Une mesure n'est considérée mise en œuvre que si on peut le démontrer — pas parce qu'elle est déclarée. C'est le même principe qui a guidé la construction de la déclaration d'applicabilité.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1"/>
        </w:rPr>
        <w:t>Rôles clés : la direction générale approuve la politique et accepte les risques résiduels élevés ; le RSSI pilote le SMSI et rend compte ; le RCCI (responsable conformité) porte les obligations réglementaires ; chaque valeur métier a un propriétaire désigné.</w:t>
      </w:r>
    </w:p>
    <w:p>
      <w:r>
        <w:br w:type="page"/>
      </w:r>
    </w:p>
    <w:p>
      <w:pPr>
        <w:pStyle w:val="Heading1"/>
      </w:pPr>
      <w:r>
        <w:t>Programme d'audit interne</w:t>
      </w:r>
    </w:p>
    <w:p>
      <w:pPr>
        <w:spacing w:after="120"/>
      </w:pPr>
      <w:r>
        <w:rPr>
          <w:b w:val="0"/>
          <w:i w:val="0"/>
          <w:sz w:val="21"/>
        </w:rPr>
        <w:t>L'audit interne vérifie que le SMSI est conforme aux exigences de la norme et qu'il fonctionne réellement — pas seulement sur le papier. Principe d'impartialité : l'auditeur est indépendant de la DSI et du RSSI, qui pilotent le système qu'il contrôle.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134"/>
            <w:shd w:fill="1F3864"/>
          </w:tcPr>
          <w:p>
            <w:r/>
            <w:r>
              <w:rPr>
                <w:b/>
                <w:color w:val="FFFFFF"/>
                <w:sz w:val="18"/>
              </w:rPr>
              <w:t>Audit</w:t>
            </w:r>
          </w:p>
        </w:tc>
        <w:tc>
          <w:tcPr>
            <w:tcW w:type="dxa" w:w="1701"/>
            <w:shd w:fill="1F3864"/>
          </w:tcPr>
          <w:p>
            <w:r/>
            <w:r>
              <w:rPr>
                <w:b/>
                <w:color w:val="FFFFFF"/>
                <w:sz w:val="18"/>
              </w:rPr>
              <w:t>Échéance</w:t>
            </w:r>
          </w:p>
        </w:tc>
        <w:tc>
          <w:tcPr>
            <w:tcW w:type="dxa" w:w="6236"/>
            <w:shd w:fill="1F3864"/>
          </w:tcPr>
          <w:p>
            <w:r/>
            <w:r>
              <w:rPr>
                <w:b/>
                <w:color w:val="FFFFFF"/>
                <w:sz w:val="18"/>
              </w:rPr>
              <w:t>Objectif principal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T0 + 9 mois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Le SMSI est-il en place : contexte, politique, méthode de risques ?</w:t>
            </w:r>
          </w:p>
        </w:tc>
      </w:tr>
      <w:tr>
        <w:tc>
          <w:tcPr>
            <w:tcW w:type="dxa" w:w="1134"/>
            <w:shd w:fill="F2F2F2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8"/>
              </w:rPr>
              <w:t>T0 + 12 mois</w:t>
            </w:r>
          </w:p>
        </w:tc>
        <w:tc>
          <w:tcPr>
            <w:tcW w:type="dxa" w:w="6236"/>
            <w:shd w:fill="F2F2F2"/>
          </w:tcPr>
          <w:p>
            <w:r/>
            <w:r>
              <w:rPr>
                <w:sz w:val="18"/>
              </w:rPr>
              <w:t>Les mesures techniques du plan sont-elles efficaces, sur échantillon ?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T0 + 18 mois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Les non-conformités de A1 et A2 sont-elles corrigées ?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EAF1FB"/>
            <w:tcBorders>
              <w:left w:val="single" w:sz="24" w:color="1F3864"/>
            </w:tcBorders>
          </w:tcPr>
          <w:p>
            <w:pPr>
              <w:spacing w:before="80" w:after="80"/>
            </w:pPr>
            <w:r/>
            <w:r>
              <w:rPr>
                <w:b/>
                <w:color w:val="2E74B5"/>
                <w:sz w:val="16"/>
              </w:rPr>
              <w:t>À RETENIR</w:t>
              <w:br/>
            </w:r>
            <w:r>
              <w:rPr>
                <w:color w:val="1F3864"/>
                <w:sz w:val="20"/>
              </w:rPr>
              <w:t>Toutes les mesures de l'Annexe A ne sont pas vérifiées à chaque audit. La règle : les mesures liées aux risques les plus élevés (R3, R6, R7) sont vérifiées à chaque fois ; le reste tourne, un tiers par audit.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1"/>
        </w:rPr>
        <w:t>Trois niveaux de constat : non-conformité majeure, non-conformité mineure, observation. Chaque non-conformité entraîne une action corrective avec un responsable et une échéance.</w:t>
      </w:r>
    </w:p>
    <w:p>
      <w:r>
        <w:br w:type="page"/>
      </w:r>
    </w:p>
    <w:p>
      <w:pPr>
        <w:pStyle w:val="Heading1"/>
      </w:pPr>
      <w:r>
        <w:t>Revue de direction</w:t>
      </w:r>
    </w:p>
    <w:p>
      <w:pPr>
        <w:spacing w:after="120"/>
      </w:pPr>
      <w:r>
        <w:rPr>
          <w:b w:val="0"/>
          <w:i w:val="0"/>
          <w:sz w:val="21"/>
        </w:rPr>
        <w:t>La direction générale examine le SMSI à intervalles planifiés pour s'assurer qu'il reste approprié et efficace, et décide des ressources et des améliorations. Première revue prévue à T0 + 6 mois, puis une revue complète avant l'audit de certification, puis un rythme annuel.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EAF1FB"/>
            <w:tcBorders>
              <w:left w:val="single" w:sz="24" w:color="1F3864"/>
            </w:tcBorders>
          </w:tcPr>
          <w:p>
            <w:pPr>
              <w:spacing w:before="80" w:after="80"/>
            </w:pPr>
            <w:r/>
            <w:r>
              <w:rPr>
                <w:b/>
                <w:color w:val="2E74B5"/>
                <w:sz w:val="16"/>
              </w:rPr>
              <w:t>À RETENIR</w:t>
              <w:br/>
            </w:r>
            <w:r>
              <w:rPr>
                <w:color w:val="1F3864"/>
                <w:sz w:val="20"/>
              </w:rPr>
              <w:t>Le premier point à l'ordre du jour de la toute première revue n'est pas administratif : c'est de confirmer ou de revoir la décision d'accepter le risque R3 à un niveau élevé — la décision la plus engageante de toute l'étude, prise en atelier 5, et qui doit être revalidée par la direction, pas laissée de côté.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1"/>
        </w:rPr>
        <w:t>Entrées obligatoires de chaque revue : le suivi des décisions précédentes, l'évolution du contexte, la performance (indicateurs, audits, non-conformités), les retours des partenaires et régulateurs, l'état du plan de traitement, et les opportunités d'amélioration. La revue produit des décisions tracées, pas seulement un compte rendu de lecture.</w:t>
      </w:r>
    </w:p>
    <w:sectPr w:rsidR="00FC693F" w:rsidRPr="0006063C" w:rsidSect="00034616">
      <w:footerReference w:type="default" r:id="rId9"/>
      <w:pgSz w:w="12240" w:h="15840"/>
      <w:pgMar w:top="1247" w:right="1304" w:bottom="1134" w:left="130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95959"/>
        <w:sz w:val="16"/>
      </w:rPr>
      <w:t xml:space="preserve">Gouvernance du SMSI — CelerPay (cas fictif, projet personnel)  ·  Page </w:t>
    </w: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