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F3864"/>
          <w:sz w:val="52"/>
        </w:rPr>
        <w:t>ÉTUDE DE RISQUES</w:t>
        <w:br/>
        <w:t>MÉTHODE EBIOS RISK MANAGER</w:t>
      </w:r>
    </w:p>
    <w:p>
      <w:pPr>
        <w:spacing w:before="200"/>
        <w:jc w:val="center"/>
      </w:pPr>
      <w:r>
        <w:rPr>
          <w:color w:val="2E74B5"/>
          <w:sz w:val="26"/>
        </w:rPr>
        <w:t>Entreprise fictive de biotechnologie — cas de référence ANSSI</w:t>
      </w:r>
    </w:p>
    <w:p>
      <w:pPr>
        <w:spacing w:before="1200"/>
        <w:jc w:val="center"/>
      </w:pPr>
      <w:r>
        <w:rPr>
          <w:i/>
          <w:color w:val="595959"/>
          <w:sz w:val="18"/>
        </w:rPr>
        <w:t>Projet personnel, réalisé à partir du cas public de l'ANSSI (Licence Ouverte).</w:t>
        <w:br/>
        <w:t>Ce document ne décrit aucune entreprise réelle et n'est ni un audit ni une certification.</w:t>
      </w:r>
    </w:p>
    <w:p>
      <w:pPr>
        <w:spacing w:before="1600"/>
        <w:jc w:val="center"/>
      </w:pPr>
      <w:r>
        <w:rPr>
          <w:b/>
          <w:color w:val="1F3864"/>
          <w:sz w:val="22"/>
        </w:rPr>
        <w:t>Mohamed Abdellah Lagrini</w:t>
      </w:r>
    </w:p>
    <w:p>
      <w:pPr>
        <w:jc w:val="center"/>
      </w:pPr>
      <w:r>
        <w:rPr>
          <w:color w:val="595959"/>
          <w:sz w:val="19"/>
        </w:rPr>
        <w:t>Élève ingénieur, EMSI</w:t>
      </w:r>
    </w:p>
    <w:p>
      <w:r>
        <w:br w:type="page"/>
      </w:r>
    </w:p>
    <w:p>
      <w:pPr>
        <w:pStyle w:val="Heading1"/>
      </w:pPr>
      <w:r>
        <w:t>Sommaire</w:t>
      </w:r>
    </w:p>
    <w:p>
      <w:r>
        <w:fldChar w:fldCharType="begin"/>
        <w:instrText xml:space="preserve">TOC \o "1-3" \h \z \u</w:instrText>
        <w:fldChar w:fldCharType="separate"/>
        <w:t>Clic droit sur cette zone puis « Mettre à jour les champs » pour générer le sommaire.</w:t>
        <w:fldChar w:fldCharType="end"/>
      </w:r>
    </w:p>
    <w:p>
      <w:r>
        <w:br w:type="page"/>
      </w:r>
    </w:p>
    <w:p>
      <w:pPr>
        <w:pStyle w:val="Heading1"/>
      </w:pPr>
      <w:r>
        <w:t>Comment lire ce document</w:t>
      </w:r>
    </w:p>
    <w:p>
      <w:pPr>
        <w:spacing w:after="120"/>
      </w:pPr>
      <w:r>
        <w:rPr>
          <w:b w:val="0"/>
          <w:i w:val="0"/>
          <w:sz w:val="21"/>
        </w:rPr>
        <w:t>Ce document résume les cinq ateliers de la méthode EBIOS Risk Manager (ANSSI), sur son cas de référence public. Chaque élément indique sa source :</w:t>
      </w:r>
    </w:p>
    <w:p>
      <w:pPr>
        <w:spacing w:after="240"/>
      </w:pPr>
      <w:r>
        <w:rPr>
          <w:b/>
          <w:color w:val="595959"/>
          <w:sz w:val="17"/>
        </w:rPr>
        <w:t xml:space="preserve">Étiquettes de source : </w:t>
      </w:r>
      <w:r>
        <w:rPr>
          <w:i/>
          <w:color w:val="2E74B5"/>
          <w:sz w:val="17"/>
        </w:rPr>
        <w:t>[ANSSI p. N] repris du guide</w:t>
      </w:r>
      <w:r>
        <w:rPr>
          <w:i/>
          <w:color w:val="1F3864"/>
          <w:sz w:val="17"/>
        </w:rPr>
        <w:t xml:space="preserve">  [Original] travail de ce projet</w:t>
      </w:r>
      <w:r>
        <w:rPr>
          <w:i/>
          <w:color w:val="9C6500"/>
          <w:sz w:val="17"/>
        </w:rPr>
        <w:t xml:space="preserve">  [Hypothèse] à discuter</w:t>
      </w:r>
    </w:p>
    <w:p>
      <w:pPr>
        <w:pStyle w:val="Heading1"/>
      </w:pPr>
      <w:r>
        <w:t>Atelier 1 — Cadrage et socle de sécurité</w:t>
      </w:r>
    </w:p>
    <w:p>
      <w:pPr>
        <w:spacing w:after="120"/>
      </w:pPr>
      <w:r>
        <w:rPr>
          <w:b w:val="0"/>
          <w:i w:val="0"/>
          <w:sz w:val="21"/>
        </w:rPr>
        <w:t>L'étude porte sur une entreprise fictive de biotechnologie fabriquant des vaccins (cas de référence de l'ANSSI), autour de trois valeurs métier : la R&amp;D, la fabrication des vaccins, et la traçabilité qui conditionne la libération des lots. Sept événements redoutés en découlent, notés de 1 (mineur) à 4 (critique) — le plus grave : une rupture de production en pleine épidémie, ou des vaccins non conformes qui atteignent des patients.</w:t>
      </w:r>
    </w:p>
    <w:tbl>
      <w:tblPr>
        <w:tblW w:type="auto" w:w="0"/>
        <w:jc w:val="center"/>
        <w:tblLook w:firstColumn="1" w:firstRow="1" w:lastColumn="0" w:lastRow="0" w:noHBand="0" w:noVBand="1" w:val="04A0"/>
      </w:tblPr>
      <w:tblGrid>
        <w:gridCol w:w="9632"/>
      </w:tblGrid>
      <w:tr>
        <w:tc>
          <w:tcPr>
            <w:tcW w:type="dxa" w:w="9632"/>
            <w:shd w:fill="EAF1FB"/>
            <w:tcBorders>
              <w:left w:val="single" w:sz="24" w:color="1F3864"/>
            </w:tcBorders>
          </w:tcPr>
          <w:p>
            <w:pPr>
              <w:spacing w:before="80" w:after="80"/>
            </w:pPr>
            <w:r>
              <w:rPr>
                <w:rFonts w:ascii="Calibri" w:hAnsi="Calibri"/>
              </w:rPr>
            </w:r>
            <w:r>
              <w:rPr>
                <w:rFonts w:ascii="Calibri" w:hAnsi="Calibri"/>
                <w:b/>
                <w:color w:val="2E74B5"/>
                <w:sz w:val="16"/>
              </w:rPr>
              <w:t>À RETENIR</w:t>
              <w:br/>
            </w:r>
            <w:r>
              <w:rPr>
                <w:rFonts w:ascii="Calibri" w:hAnsi="Calibri"/>
                <w:color w:val="1F3864"/>
                <w:sz w:val="20"/>
              </w:rPr>
              <w:t>Avant d'étudier des attaques sophistiquées, on évalue le socle de sécurité : sur 42 règles de base (ANSSI), une seule est pleinement appliquée. 19 le sont partiellement, 22 ne le sont pas du tout. C'est ce socle très faible qui va rendre les scénarios de risque d'autant plus faciles à réaliser.</w:t>
            </w:r>
          </w:p>
        </w:tc>
      </w:tr>
    </w:tbl>
    <w:p>
      <w:pPr>
        <w:spacing w:after="40"/>
      </w:pPr>
    </w:p>
    <w:p>
      <w:r>
        <w:br w:type="page"/>
      </w:r>
    </w:p>
    <w:p>
      <w:pPr>
        <w:pStyle w:val="Heading1"/>
      </w:pPr>
      <w:r>
        <w:t>Atelier 2 — Sources de risque</w:t>
      </w:r>
    </w:p>
    <w:p>
      <w:pPr>
        <w:spacing w:after="120"/>
      </w:pPr>
      <w:r>
        <w:rPr>
          <w:b w:val="0"/>
          <w:i w:val="0"/>
          <w:sz w:val="21"/>
        </w:rPr>
        <w:t>Qui pourrait porter atteinte à ces valeurs métier, et dans quel but ? Le guide retient trois sources : un activiste (perturber la production), un concurrent (voler la R&amp;D), un cybercriminel (extorsion). Ce projet ajoute un cinquième couple, justifié plus bas.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850"/>
            <w:shd w:fill="1F3864"/>
          </w:tcPr>
          <w:p>
            <w:r/>
            <w:r>
              <w:rPr>
                <w:b/>
                <w:color w:val="FFFFFF"/>
                <w:sz w:val="18"/>
              </w:rPr>
              <w:t>Réf.</w:t>
            </w:r>
          </w:p>
        </w:tc>
        <w:tc>
          <w:tcPr>
            <w:tcW w:type="dxa" w:w="1701"/>
            <w:shd w:fill="1F3864"/>
          </w:tcPr>
          <w:p>
            <w:r/>
            <w:r>
              <w:rPr>
                <w:b/>
                <w:color w:val="FFFFFF"/>
                <w:sz w:val="18"/>
              </w:rPr>
              <w:t>Source</w:t>
            </w:r>
          </w:p>
        </w:tc>
        <w:tc>
          <w:tcPr>
            <w:tcW w:type="dxa" w:w="5669"/>
            <w:shd w:fill="1F3864"/>
          </w:tcPr>
          <w:p>
            <w:r/>
            <w:r>
              <w:rPr>
                <w:b/>
                <w:color w:val="FFFFFF"/>
                <w:sz w:val="18"/>
              </w:rPr>
              <w:t>Objectif visé</w:t>
            </w:r>
          </w:p>
        </w:tc>
        <w:tc>
          <w:tcPr>
            <w:tcW w:type="dxa" w:w="1134"/>
            <w:shd w:fill="1F3864"/>
          </w:tcPr>
          <w:p>
            <w:r/>
            <w:r>
              <w:rPr>
                <w:b/>
                <w:color w:val="FFFFFF"/>
                <w:sz w:val="18"/>
              </w:rPr>
              <w:t>Pertinence</w:t>
            </w:r>
          </w:p>
        </w:tc>
      </w:tr>
      <w:tr>
        <w:tc>
          <w:tcPr>
            <w:tcW w:type="dxa" w:w="850"/>
          </w:tcPr>
          <w:p>
            <w:r/>
            <w:r>
              <w:rPr>
                <w:sz w:val="18"/>
              </w:rPr>
              <w:t>SO1</w:t>
            </w:r>
          </w:p>
        </w:tc>
        <w:tc>
          <w:tcPr>
            <w:tcW w:type="dxa" w:w="1701"/>
          </w:tcPr>
          <w:p>
            <w:r/>
            <w:r>
              <w:rPr>
                <w:sz w:val="18"/>
              </w:rPr>
              <w:t>Activiste</w:t>
            </w:r>
          </w:p>
        </w:tc>
        <w:tc>
          <w:tcPr>
            <w:tcW w:type="dxa" w:w="5669"/>
          </w:tcPr>
          <w:p>
            <w:r/>
            <w:r>
              <w:rPr>
                <w:sz w:val="18"/>
              </w:rPr>
              <w:t>Saboter la campagne de vaccination</w:t>
            </w:r>
          </w:p>
        </w:tc>
        <w:tc>
          <w:tcPr>
            <w:tcW w:type="dxa" w:w="1134"/>
          </w:tcPr>
          <w:p>
            <w:r/>
            <w:r>
              <w:rPr>
                <w:sz w:val="18"/>
              </w:rPr>
              <w:t>Moyenne</w:t>
            </w:r>
          </w:p>
        </w:tc>
      </w:tr>
      <w:tr>
        <w:tc>
          <w:tcPr>
            <w:tcW w:type="dxa" w:w="850"/>
            <w:shd w:fill="F2F2F2"/>
          </w:tcPr>
          <w:p>
            <w:r/>
            <w:r>
              <w:rPr>
                <w:sz w:val="18"/>
              </w:rPr>
              <w:t>SO2</w:t>
            </w:r>
          </w:p>
        </w:tc>
        <w:tc>
          <w:tcPr>
            <w:tcW w:type="dxa" w:w="1701"/>
            <w:shd w:fill="F2F2F2"/>
          </w:tcPr>
          <w:p>
            <w:r/>
            <w:r>
              <w:rPr>
                <w:sz w:val="18"/>
              </w:rPr>
              <w:t>Concurrent</w:t>
            </w:r>
          </w:p>
        </w:tc>
        <w:tc>
          <w:tcPr>
            <w:tcW w:type="dxa" w:w="5669"/>
            <w:shd w:fill="F2F2F2"/>
          </w:tcPr>
          <w:p>
            <w:r/>
            <w:r>
              <w:rPr>
                <w:sz w:val="18"/>
              </w:rPr>
              <w:t>Voler des informations de R&amp;D</w:t>
            </w:r>
          </w:p>
        </w:tc>
        <w:tc>
          <w:tcPr>
            <w:tcW w:type="dxa" w:w="1134"/>
            <w:shd w:fill="F2F2F2"/>
          </w:tcPr>
          <w:p>
            <w:r/>
            <w:r>
              <w:rPr>
                <w:sz w:val="18"/>
              </w:rPr>
              <w:t>Élevée</w:t>
            </w:r>
          </w:p>
        </w:tc>
      </w:tr>
      <w:tr>
        <w:tc>
          <w:tcPr>
            <w:tcW w:type="dxa" w:w="850"/>
          </w:tcPr>
          <w:p>
            <w:r/>
            <w:r>
              <w:rPr>
                <w:sz w:val="18"/>
              </w:rPr>
              <w:t>SO5</w:t>
            </w:r>
          </w:p>
        </w:tc>
        <w:tc>
          <w:tcPr>
            <w:tcW w:type="dxa" w:w="1701"/>
          </w:tcPr>
          <w:p>
            <w:r/>
            <w:r>
              <w:rPr>
                <w:sz w:val="18"/>
              </w:rPr>
              <w:t>Cybercriminel</w:t>
            </w:r>
          </w:p>
        </w:tc>
        <w:tc>
          <w:tcPr>
            <w:tcW w:type="dxa" w:w="5669"/>
          </w:tcPr>
          <w:p>
            <w:r/>
            <w:r>
              <w:rPr>
                <w:sz w:val="18"/>
              </w:rPr>
              <w:t>Chiffrer les systèmes (rançongiciel) pour extorquer une rançon</w:t>
            </w:r>
          </w:p>
        </w:tc>
        <w:tc>
          <w:tcPr>
            <w:tcW w:type="dxa" w:w="1134"/>
          </w:tcPr>
          <w:p>
            <w:r/>
            <w:r>
              <w:rPr>
                <w:sz w:val="18"/>
              </w:rPr>
              <w:t>Élevée</w:t>
            </w:r>
          </w:p>
        </w:tc>
      </w:tr>
    </w:tbl>
    <w:p>
      <w:pPr>
        <w:spacing w:after="40"/>
      </w:pPr>
    </w:p>
    <w:tbl>
      <w:tblPr>
        <w:tblW w:type="auto" w:w="0"/>
        <w:jc w:val="center"/>
        <w:tblLook w:firstColumn="1" w:firstRow="1" w:lastColumn="0" w:lastRow="0" w:noHBand="0" w:noVBand="1" w:val="04A0"/>
      </w:tblPr>
      <w:tblGrid>
        <w:gridCol w:w="9632"/>
      </w:tblGrid>
      <w:tr>
        <w:tc>
          <w:tcPr>
            <w:tcW w:type="dxa" w:w="9632"/>
            <w:shd w:fill="EAF1FB"/>
            <w:tcBorders>
              <w:left w:val="single" w:sz="24" w:color="1F3864"/>
            </w:tcBorders>
          </w:tcPr>
          <w:p>
            <w:pPr>
              <w:spacing w:before="80" w:after="80"/>
            </w:pPr>
            <w:r>
              <w:rPr>
                <w:rFonts w:ascii="Calibri" w:hAnsi="Calibri"/>
              </w:rPr>
            </w:r>
            <w:r>
              <w:rPr>
                <w:rFonts w:ascii="Calibri" w:hAnsi="Calibri"/>
                <w:b/>
                <w:color w:val="2E74B5"/>
                <w:sz w:val="16"/>
              </w:rPr>
              <w:t>UN CHOIX ORIGINAL</w:t>
              <w:br/>
            </w:r>
            <w:r>
              <w:rPr>
                <w:rFonts w:ascii="Calibri" w:hAnsi="Calibri"/>
                <w:color w:val="1F3864"/>
                <w:sz w:val="20"/>
              </w:rPr>
              <w:t>SO5 n'est pas dans le guide : je l'ai ajouté. Le guide écarte la menace cybercriminelle au premier cycle, puis note en atelier 5 que la direction la juge « préoccupante » — sans lui donner de scénario. Le rançongiciel, la forme la plus courante de cette menace, restait donc un angle mort de l'étude.</w:t>
            </w:r>
          </w:p>
        </w:tc>
      </w:tr>
    </w:tbl>
    <w:p>
      <w:pPr>
        <w:spacing w:after="40"/>
      </w:pPr>
    </w:p>
    <w:p>
      <w:r>
        <w:br w:type="page"/>
      </w:r>
    </w:p>
    <w:p>
      <w:pPr>
        <w:pStyle w:val="Heading1"/>
      </w:pPr>
      <w:r>
        <w:t>Atelier 3 — Scénarios stratégiques</w:t>
      </w:r>
    </w:p>
    <w:p>
      <w:pPr>
        <w:spacing w:after="120"/>
      </w:pPr>
      <w:r>
        <w:rPr>
          <w:b w:val="0"/>
          <w:i w:val="0"/>
          <w:sz w:val="21"/>
        </w:rPr>
        <w:t>Trois parties prenantes externes concentrent le risque : plus une organisation dépend d'elles et plus elles ont accès au système, plus elles sont dangereuses — sauf si elles sont elles-mêmes matures et dignes de confiance.</w:t>
      </w:r>
    </w:p>
    <w:tbl>
      <w:tblPr>
        <w:tblStyle w:val="TableGrid"/>
        <w:tblW w:type="auto" w:w="0"/>
        <w:jc w:val="center"/>
        <w:tblLook w:firstColumn="1" w:firstRow="1" w:lastColumn="0" w:lastRow="0" w:noHBand="0" w:noVBand="1" w:val="04A0"/>
      </w:tblPr>
      <w:tblGrid>
        <w:gridCol w:w="3211"/>
        <w:gridCol w:w="3211"/>
        <w:gridCol w:w="3211"/>
      </w:tblGrid>
      <w:tr>
        <w:tc>
          <w:tcPr>
            <w:tcW w:type="dxa" w:w="3969"/>
            <w:shd w:fill="1F3864"/>
          </w:tcPr>
          <w:p>
            <w:r/>
            <w:r>
              <w:rPr>
                <w:b/>
                <w:color w:val="FFFFFF"/>
                <w:sz w:val="18"/>
              </w:rPr>
              <w:t>Partie prenante</w:t>
            </w:r>
          </w:p>
        </w:tc>
        <w:tc>
          <w:tcPr>
            <w:tcW w:type="dxa" w:w="2835"/>
            <w:shd w:fill="1F3864"/>
          </w:tcPr>
          <w:p>
            <w:r/>
            <w:r>
              <w:rPr>
                <w:b/>
                <w:color w:val="FFFFFF"/>
                <w:sz w:val="18"/>
              </w:rPr>
              <w:t>Dangerosité</w:t>
            </w:r>
          </w:p>
        </w:tc>
        <w:tc>
          <w:tcPr>
            <w:tcW w:type="dxa" w:w="2551"/>
            <w:shd w:fill="1F3864"/>
          </w:tcPr>
          <w:p>
            <w:r/>
            <w:r>
              <w:rPr>
                <w:b/>
                <w:color w:val="FFFFFF"/>
                <w:sz w:val="18"/>
              </w:rPr>
              <w:t>Zone</w:t>
            </w:r>
          </w:p>
        </w:tc>
      </w:tr>
      <w:tr>
        <w:tc>
          <w:tcPr>
            <w:tcW w:type="dxa" w:w="3969"/>
          </w:tcPr>
          <w:p>
            <w:r/>
            <w:r>
              <w:rPr>
                <w:sz w:val="18"/>
              </w:rPr>
              <w:t>Prestataire informatique</w:t>
            </w:r>
          </w:p>
        </w:tc>
        <w:tc>
          <w:tcPr>
            <w:tcW w:type="dxa" w:w="2835"/>
          </w:tcPr>
          <w:p>
            <w:r/>
            <w:r>
              <w:rPr>
                <w:sz w:val="18"/>
              </w:rPr>
              <w:t>3,00 (la plus élevée)</w:t>
            </w:r>
          </w:p>
        </w:tc>
        <w:tc>
          <w:tcPr>
            <w:tcW w:type="dxa" w:w="2551"/>
          </w:tcPr>
          <w:p>
            <w:r/>
            <w:r>
              <w:rPr>
                <w:sz w:val="18"/>
              </w:rPr>
              <w:t>Danger</w:t>
            </w:r>
          </w:p>
        </w:tc>
      </w:tr>
      <w:tr>
        <w:tc>
          <w:tcPr>
            <w:tcW w:type="dxa" w:w="3969"/>
            <w:shd w:fill="F2F2F2"/>
          </w:tcPr>
          <w:p>
            <w:r/>
            <w:r>
              <w:rPr>
                <w:sz w:val="18"/>
              </w:rPr>
              <w:t>Laboratoires partenaires</w:t>
            </w:r>
          </w:p>
        </w:tc>
        <w:tc>
          <w:tcPr>
            <w:tcW w:type="dxa" w:w="2835"/>
            <w:shd w:fill="F2F2F2"/>
          </w:tcPr>
          <w:p>
            <w:r/>
            <w:r>
              <w:rPr>
                <w:sz w:val="18"/>
              </w:rPr>
              <w:t>2,25</w:t>
            </w:r>
          </w:p>
        </w:tc>
        <w:tc>
          <w:tcPr>
            <w:tcW w:type="dxa" w:w="2551"/>
            <w:shd w:fill="F2F2F2"/>
          </w:tcPr>
          <w:p>
            <w:r/>
            <w:r>
              <w:rPr>
                <w:sz w:val="18"/>
              </w:rPr>
              <w:t>Contrôle</w:t>
            </w:r>
          </w:p>
        </w:tc>
      </w:tr>
      <w:tr>
        <w:tc>
          <w:tcPr>
            <w:tcW w:type="dxa" w:w="3969"/>
          </w:tcPr>
          <w:p>
            <w:r/>
            <w:r>
              <w:rPr>
                <w:sz w:val="18"/>
              </w:rPr>
              <w:t>Fournisseurs de matériel</w:t>
            </w:r>
          </w:p>
        </w:tc>
        <w:tc>
          <w:tcPr>
            <w:tcW w:type="dxa" w:w="2835"/>
          </w:tcPr>
          <w:p>
            <w:r/>
            <w:r>
              <w:rPr>
                <w:sz w:val="18"/>
              </w:rPr>
              <w:t>2,00</w:t>
            </w:r>
          </w:p>
        </w:tc>
        <w:tc>
          <w:tcPr>
            <w:tcW w:type="dxa" w:w="2551"/>
          </w:tcPr>
          <w:p>
            <w:r/>
            <w:r>
              <w:rPr>
                <w:sz w:val="18"/>
              </w:rPr>
              <w:t>Contrôle</w:t>
            </w:r>
          </w:p>
        </w:tc>
      </w:tr>
    </w:tbl>
    <w:p>
      <w:pPr>
        <w:spacing w:after="40"/>
      </w:pPr>
    </w:p>
    <w:p>
      <w:pPr>
        <w:spacing w:after="120"/>
      </w:pPr>
      <w:r>
        <w:rPr>
          <w:b w:val="0"/>
          <w:i w:val="0"/>
          <w:sz w:val="21"/>
        </w:rPr>
        <w:t>Trois scénarios stratégiques en découlent : un concurrent qui vole la R&amp;D (gravité 3), un activiste qui arrête la production (gravité 4), et un cybercriminel qui la paralyse par rançongiciel (gravité 4). Le prestataire informatique apparaît dans deux des trois — c'est le point de concentration du risque.</w:t>
      </w:r>
    </w:p>
    <w:p>
      <w:r>
        <w:br w:type="page"/>
      </w:r>
    </w:p>
    <w:p>
      <w:pPr>
        <w:pStyle w:val="Heading1"/>
      </w:pPr>
      <w:r>
        <w:t>Atelier 4 — Scénarios opérationnels</w:t>
      </w:r>
    </w:p>
    <w:p>
      <w:pPr>
        <w:spacing w:after="120"/>
      </w:pPr>
      <w:r>
        <w:rPr>
          <w:b w:val="0"/>
          <w:i w:val="0"/>
          <w:sz w:val="21"/>
        </w:rPr>
        <w:t>Chaque scénario stratégique se décompose en modes d'attaque concrets, cotés de V1 (peu vraisemblable) à V4 (quasi certain). Le guide donne cette cotation finale pour cinq risques, sans détailler le calcul — ce projet reconstruit le détail et vérifie, par script, qu'il retombe exactement sur les mêmes valeurs.</w:t>
      </w:r>
    </w:p>
    <w:tbl>
      <w:tblPr>
        <w:tblW w:type="auto" w:w="0"/>
        <w:jc w:val="center"/>
        <w:tblLook w:firstColumn="1" w:firstRow="1" w:lastColumn="0" w:lastRow="0" w:noHBand="0" w:noVBand="1" w:val="04A0"/>
      </w:tblPr>
      <w:tblGrid>
        <w:gridCol w:w="9632"/>
      </w:tblGrid>
      <w:tr>
        <w:tc>
          <w:tcPr>
            <w:tcW w:type="dxa" w:w="9632"/>
            <w:shd w:fill="EAF1FB"/>
            <w:tcBorders>
              <w:left w:val="single" w:sz="24" w:color="1F3864"/>
            </w:tcBorders>
          </w:tcPr>
          <w:p>
            <w:pPr>
              <w:spacing w:before="80" w:after="80"/>
            </w:pPr>
            <w:r>
              <w:rPr>
                <w:rFonts w:ascii="Calibri" w:hAnsi="Calibri"/>
              </w:rPr>
            </w:r>
            <w:r>
              <w:rPr>
                <w:rFonts w:ascii="Calibri" w:hAnsi="Calibri"/>
                <w:b/>
                <w:color w:val="2E74B5"/>
                <w:sz w:val="16"/>
              </w:rPr>
              <w:t>À RETENIR</w:t>
              <w:br/>
            </w:r>
            <w:r>
              <w:rPr>
                <w:rFonts w:ascii="Calibri" w:hAnsi="Calibri"/>
                <w:color w:val="1F3864"/>
                <w:sz w:val="20"/>
              </w:rPr>
              <w:t>Sur les 50 actions d'attaque étudiées, une seule règle de sécurité manquante revient le plus souvent : l'absence de cloisonnement du réseau. Elle facilite 6 scénarios sur 7. C'est la mesure la plus rentable à corriger en premier — un résultat qu'on ne voit qu'en réunissant les sept scénarios, pas en les regardant un par un.</w:t>
            </w:r>
          </w:p>
        </w:tc>
      </w:tr>
    </w:tbl>
    <w:p>
      <w:pPr>
        <w:spacing w:after="40"/>
      </w:pPr>
    </w:p>
    <w:p>
      <w:r>
        <w:br w:type="page"/>
      </w:r>
    </w:p>
    <w:p>
      <w:pPr>
        <w:pStyle w:val="Heading1"/>
      </w:pPr>
      <w:r>
        <w:t>Atelier 5 — Traitement du risque</w:t>
      </w:r>
    </w:p>
    <w:p>
      <w:pPr>
        <w:spacing w:after="120"/>
      </w:pPr>
      <w:r>
        <w:rPr>
          <w:b w:val="0"/>
          <w:i w:val="0"/>
          <w:sz w:val="21"/>
        </w:rPr>
        <w:t>Sept risques au total (cinq du guide, deux ajoutés). Cinq sont initialement élevés et doivent être réduits ; les deux liés au rançongiciel (R6, R7) partent des scores les plus hauts de toute l'étude.</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850"/>
            <w:shd w:fill="1F3864"/>
          </w:tcPr>
          <w:p>
            <w:r/>
            <w:r>
              <w:rPr>
                <w:b/>
                <w:color w:val="FFFFFF"/>
                <w:sz w:val="18"/>
              </w:rPr>
              <w:t>Réf.</w:t>
            </w:r>
          </w:p>
        </w:tc>
        <w:tc>
          <w:tcPr>
            <w:tcW w:type="dxa" w:w="5669"/>
            <w:shd w:fill="1F3864"/>
          </w:tcPr>
          <w:p>
            <w:r/>
            <w:r>
              <w:rPr>
                <w:b/>
                <w:color w:val="FFFFFF"/>
                <w:sz w:val="18"/>
              </w:rPr>
              <w:t>Scénario</w:t>
            </w:r>
          </w:p>
        </w:tc>
        <w:tc>
          <w:tcPr>
            <w:tcW w:type="dxa" w:w="1701"/>
            <w:shd w:fill="1F3864"/>
          </w:tcPr>
          <w:p>
            <w:r/>
            <w:r>
              <w:rPr>
                <w:b/>
                <w:color w:val="FFFFFF"/>
                <w:sz w:val="18"/>
              </w:rPr>
              <w:t>Initial</w:t>
            </w:r>
          </w:p>
        </w:tc>
        <w:tc>
          <w:tcPr>
            <w:tcW w:type="dxa" w:w="1984"/>
            <w:shd w:fill="1F3864"/>
          </w:tcPr>
          <w:p>
            <w:r/>
            <w:r>
              <w:rPr>
                <w:b/>
                <w:color w:val="FFFFFF"/>
                <w:sz w:val="18"/>
              </w:rPr>
              <w:t>Cible</w:t>
            </w:r>
          </w:p>
        </w:tc>
      </w:tr>
      <w:tr>
        <w:tc>
          <w:tcPr>
            <w:tcW w:type="dxa" w:w="850"/>
          </w:tcPr>
          <w:p>
            <w:r/>
            <w:r>
              <w:rPr>
                <w:sz w:val="18"/>
              </w:rPr>
              <w:t>R3</w:t>
            </w:r>
          </w:p>
        </w:tc>
        <w:tc>
          <w:tcPr>
            <w:tcW w:type="dxa" w:w="5669"/>
          </w:tcPr>
          <w:p>
            <w:r/>
            <w:r>
              <w:rPr>
                <w:sz w:val="18"/>
              </w:rPr>
              <w:t>Vol de R&amp;D via le prestataire informatique</w:t>
            </w:r>
          </w:p>
        </w:tc>
        <w:tc>
          <w:tcPr>
            <w:tcW w:type="dxa" w:w="1701"/>
          </w:tcPr>
          <w:p>
            <w:r/>
            <w:r>
              <w:rPr>
                <w:sz w:val="18"/>
              </w:rPr>
              <w:t>12 — Élevé</w:t>
            </w:r>
          </w:p>
        </w:tc>
        <w:tc>
          <w:tcPr>
            <w:tcW w:type="dxa" w:w="1984"/>
          </w:tcPr>
          <w:p>
            <w:r/>
            <w:r>
              <w:rPr>
                <w:sz w:val="18"/>
              </w:rPr>
              <w:t>9 — Élevé (accepté)</w:t>
            </w:r>
          </w:p>
        </w:tc>
      </w:tr>
      <w:tr>
        <w:tc>
          <w:tcPr>
            <w:tcW w:type="dxa" w:w="850"/>
            <w:shd w:fill="F2F2F2"/>
          </w:tcPr>
          <w:p>
            <w:r/>
            <w:r>
              <w:rPr>
                <w:sz w:val="18"/>
              </w:rPr>
              <w:t>R6</w:t>
            </w:r>
          </w:p>
        </w:tc>
        <w:tc>
          <w:tcPr>
            <w:tcW w:type="dxa" w:w="5669"/>
            <w:shd w:fill="F2F2F2"/>
          </w:tcPr>
          <w:p>
            <w:r/>
            <w:r>
              <w:rPr>
                <w:sz w:val="18"/>
              </w:rPr>
              <w:t>Rançongiciel déployé par le prestataire</w:t>
            </w:r>
          </w:p>
        </w:tc>
        <w:tc>
          <w:tcPr>
            <w:tcW w:type="dxa" w:w="1701"/>
            <w:shd w:fill="F2F2F2"/>
          </w:tcPr>
          <w:p>
            <w:r/>
            <w:r>
              <w:rPr>
                <w:sz w:val="18"/>
              </w:rPr>
              <w:t>16 — Élevé</w:t>
            </w:r>
          </w:p>
        </w:tc>
        <w:tc>
          <w:tcPr>
            <w:tcW w:type="dxa" w:w="1984"/>
            <w:shd w:fill="F2F2F2"/>
          </w:tcPr>
          <w:p>
            <w:r/>
            <w:r>
              <w:rPr>
                <w:sz w:val="18"/>
              </w:rPr>
              <w:t>6 — Moyen</w:t>
            </w:r>
          </w:p>
        </w:tc>
      </w:tr>
      <w:tr>
        <w:tc>
          <w:tcPr>
            <w:tcW w:type="dxa" w:w="850"/>
          </w:tcPr>
          <w:p>
            <w:r/>
            <w:r>
              <w:rPr>
                <w:sz w:val="18"/>
              </w:rPr>
              <w:t>R7</w:t>
            </w:r>
          </w:p>
        </w:tc>
        <w:tc>
          <w:tcPr>
            <w:tcW w:type="dxa" w:w="5669"/>
          </w:tcPr>
          <w:p>
            <w:r/>
            <w:r>
              <w:rPr>
                <w:sz w:val="18"/>
              </w:rPr>
              <w:t>Rançongiciel par hameçonnage direct</w:t>
            </w:r>
          </w:p>
        </w:tc>
        <w:tc>
          <w:tcPr>
            <w:tcW w:type="dxa" w:w="1701"/>
          </w:tcPr>
          <w:p>
            <w:r/>
            <w:r>
              <w:rPr>
                <w:sz w:val="18"/>
              </w:rPr>
              <w:t>12 — Élevé</w:t>
            </w:r>
          </w:p>
        </w:tc>
        <w:tc>
          <w:tcPr>
            <w:tcW w:type="dxa" w:w="1984"/>
          </w:tcPr>
          <w:p>
            <w:r/>
            <w:r>
              <w:rPr>
                <w:sz w:val="18"/>
              </w:rPr>
              <w:t>6 — Moyen</w:t>
            </w:r>
          </w:p>
        </w:tc>
      </w:tr>
    </w:tbl>
    <w:p>
      <w:pPr>
        <w:spacing w:after="40"/>
      </w:pPr>
    </w:p>
    <w:p>
      <w:pPr>
        <w:spacing w:after="120"/>
      </w:pPr>
      <w:r>
        <w:rPr>
          <w:b w:val="0"/>
          <w:i w:val="0"/>
          <w:sz w:val="21"/>
        </w:rPr>
        <w:t>Vingt-six mesures de traitement, dont treize ajoutées par ce projet pour couvrir les écarts du socle et les risques du rançongiciel. La plus rentable : le cloisonnement du réseau, qui traite six scénarios sur sept à elle seule.</w:t>
      </w:r>
    </w:p>
    <w:tbl>
      <w:tblPr>
        <w:tblW w:type="auto" w:w="0"/>
        <w:jc w:val="center"/>
        <w:tblLook w:firstColumn="1" w:firstRow="1" w:lastColumn="0" w:lastRow="0" w:noHBand="0" w:noVBand="1" w:val="04A0"/>
      </w:tblPr>
      <w:tblGrid>
        <w:gridCol w:w="9632"/>
      </w:tblGrid>
      <w:tr>
        <w:tc>
          <w:tcPr>
            <w:tcW w:type="dxa" w:w="9632"/>
            <w:shd w:fill="EAF1FB"/>
            <w:tcBorders>
              <w:left w:val="single" w:sz="24" w:color="1F3864"/>
            </w:tcBorders>
          </w:tcPr>
          <w:p>
            <w:pPr>
              <w:spacing w:before="80" w:after="80"/>
            </w:pPr>
            <w:r>
              <w:rPr>
                <w:rFonts w:ascii="Calibri" w:hAnsi="Calibri"/>
              </w:rPr>
            </w:r>
            <w:r>
              <w:rPr>
                <w:rFonts w:ascii="Calibri" w:hAnsi="Calibri"/>
                <w:b/>
                <w:color w:val="2E74B5"/>
                <w:sz w:val="16"/>
              </w:rPr>
              <w:t>UNE DÉCISION ASSUMÉE, PAS UN OUBLI</w:t>
              <w:br/>
            </w:r>
            <w:r>
              <w:rPr>
                <w:rFonts w:ascii="Calibri" w:hAnsi="Calibri"/>
                <w:color w:val="1F3864"/>
                <w:sz w:val="20"/>
              </w:rPr>
              <w:t>R3 reste volontairement à un niveau élevé après traitement. Le prestataire informatique refuse les mesures de sécurité proposées, et changer de prestataire n'est pas une décision immédiate. C'est l'ISO 27001 qui impose ce que j'ai fait ici : formaliser cette acceptation par la direction, avec une date de revue — ne pas la laisser en risque « oublié ».</w:t>
            </w:r>
          </w:p>
        </w:tc>
      </w:tr>
    </w:tbl>
    <w:p>
      <w:pPr>
        <w:spacing w:after="40"/>
      </w:pPr>
    </w:p>
    <w:sectPr w:rsidR="00FC693F" w:rsidRPr="0006063C" w:rsidSect="00034616">
      <w:footerReference w:type="default" r:id="rId9"/>
      <w:pgSz w:w="12240" w:h="15840"/>
      <w:pgMar w:top="1247" w:right="1304" w:bottom="113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 xml:space="preserve">Étude EBIOS Risk Manager — Cas de référence ANSSI, à usage de démonstration  ·  Page </w:t>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