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rPr>
          <w:rFonts w:ascii="Arial" w:cs="Arial" w:eastAsia="Arial" w:hAnsi="Arial"/>
        </w:rPr>
        <w:t xml:space="preserve"/>
      </w:r>
    </w:p>
    <w:p>
      <w:pPr>
        <w:spacing w:after="160" w:before="0"/>
        <w:jc w:val="center"/>
      </w:pPr>
      <w:r>
        <w:rPr>
          <w:rFonts w:ascii="Arial" w:cs="Arial" w:eastAsia="Arial" w:hAnsi="Arial"/>
          <w:b/>
          <w:bCs/>
          <w:color w:val="1B3A6B"/>
          <w:sz w:val="56"/>
          <w:szCs w:val="56"/>
        </w:rPr>
        <w:t xml:space="preserve">SETTLEMENT PORTFOLIO</w:t>
      </w:r>
    </w:p>
    <w:p>
      <w:pPr>
        <w:spacing w:after="80" w:before="0"/>
        <w:jc w:val="center"/>
      </w:pPr>
      <w:r>
        <w:rPr>
          <w:rFonts w:ascii="Arial" w:cs="Arial" w:eastAsia="Arial" w:hAnsi="Arial"/>
          <w:b/>
          <w:bCs/>
          <w:color w:val="2E75B6"/>
          <w:sz w:val="48"/>
          <w:szCs w:val="48"/>
        </w:rPr>
        <w:t xml:space="preserve">DECISION INTELLIGENCE AGENT</w:t>
      </w:r>
    </w:p>
    <w:p>
      <w:pPr>
        <w:pBdr>
          <w:bottom w:val="single" w:color="2E75B6" w:sz="12" w:space="2"/>
        </w:pBdr>
        <w:spacing w:after="400" w:before="0"/>
        <w:jc w:val="center"/>
      </w:pPr>
      <w:r>
        <w:rPr>
          <w:rFonts w:ascii="Arial" w:cs="Arial" w:eastAsia="Arial" w:hAnsi="Arial"/>
        </w:rPr>
        <w:t xml:space="preserve"/>
      </w:r>
    </w:p>
    <w:p>
      <w:pPr>
        <w:spacing w:after="80" w:before="400"/>
        <w:jc w:val="center"/>
      </w:pPr>
      <w:r>
        <w:rPr>
          <w:rFonts w:ascii="Arial" w:cs="Arial" w:eastAsia="Arial" w:hAnsi="Arial"/>
          <w:color w:val="595959"/>
          <w:sz w:val="28"/>
          <w:szCs w:val="28"/>
        </w:rPr>
        <w:t xml:space="preserve">Complete Solution Architecture &amp; Project Report</w:t>
      </w:r>
    </w:p>
    <w:p>
      <w:pPr>
        <w:spacing w:after="80" w:before="0"/>
        <w:jc w:val="center"/>
      </w:pPr>
      <w:r>
        <w:rPr>
          <w:rFonts w:ascii="Arial" w:cs="Arial" w:eastAsia="Arial" w:hAnsi="Arial"/>
          <w:color w:val="595959"/>
          <w:sz w:val="22"/>
          <w:szCs w:val="22"/>
        </w:rPr>
        <w:t xml:space="preserve">Confidential — For Client Use Only</w:t>
      </w:r>
    </w:p>
    <w:p>
      <w:pPr>
        <w:spacing w:after="80" w:before="0"/>
        <w:jc w:val="center"/>
      </w:pPr>
      <w:r>
        <w:rPr>
          <w:rFonts w:ascii="Arial" w:cs="Arial" w:eastAsia="Arial" w:hAnsi="Arial"/>
          <w:color w:val="595959"/>
          <w:sz w:val="22"/>
          <w:szCs w:val="22"/>
        </w:rPr>
        <w:t xml:space="preserve">Document Version 1.0  |  June 2026</w:t>
      </w:r>
    </w:p>
    <w:p>
      <w:pPr>
        <w:spacing w:after="80" w:before="0"/>
        <w:jc w:val="center"/>
      </w:pPr>
      <w:r>
        <w:rPr>
          <w:rFonts w:ascii="Arial" w:cs="Arial" w:eastAsia="Arial" w:hAnsi="Arial"/>
          <w:color w:val="595959"/>
          <w:sz w:val="22"/>
          <w:szCs w:val="22"/>
        </w:rPr>
        <w:t xml:space="preserve">Prepared by: Senior Solution Architecture &amp; AI Engineering Team</w:t>
      </w:r>
    </w:p>
    <w:p>
      <w:r>
        <w:br w:type="page"/>
      </w:r>
    </w:p>
    <w:p>
      <w:pPr>
        <w:pStyle w:val="Heading1"/>
        <w:spacing w:after="160" w:before="320"/>
      </w:pPr>
      <w:r>
        <w:rPr>
          <w:rFonts w:ascii="Arial" w:cs="Arial" w:eastAsia="Arial" w:hAnsi="Arial"/>
          <w:b/>
          <w:bCs/>
          <w:color w:val="1B3A6B"/>
          <w:sz w:val="32"/>
          <w:szCs w:val="32"/>
        </w:rPr>
        <w:t xml:space="preserve">Table of Contents</w:t>
      </w:r>
    </w:p>
    <w:p>
      <w:pPr>
        <w:pBdr>
          <w:bottom w:val="single" w:color="2E75B6" w:sz="6" w:space="1"/>
        </w:pBdr>
        <w:spacing w:after="120" w:before="120"/>
      </w:pPr>
      <w:r>
        <w:rPr>
          <w:rFonts w:ascii="Arial" w:cs="Arial" w:eastAsia="Arial" w:hAnsi="Arial"/>
        </w:rPr>
        <w:t xml:space="preserve"/>
      </w:r>
    </w:p>
    <w:p>
      <w:pPr>
        <w:spacing w:after="0" w:before="0"/>
      </w:pPr>
      <w:r>
        <w:rPr>
          <w:rFonts w:ascii="Arial" w:cs="Arial" w:eastAsia="Arial" w:hAnsi="Arial"/>
        </w:rPr>
        <w:t xml:space="preserve"/>
      </w:r>
    </w:p>
    <w:p>
      <w:pPr>
        <w:tabs>
          <w:tab w:val="right" w:pos="9360"/>
        </w:tabs>
        <w:spacing w:after="80" w:before="80"/>
      </w:pPr>
      <w:r>
        <w:rPr>
          <w:rFonts w:ascii="Arial" w:cs="Arial" w:eastAsia="Arial" w:hAnsi="Arial"/>
          <w:sz w:val="20"/>
          <w:szCs w:val="20"/>
        </w:rPr>
        <w:t xml:space="preserve">1.  Executive Summary</w:t>
      </w:r>
      <w:r>
        <w:rPr>
          <w:rFonts w:ascii="Arial" w:cs="Arial" w:eastAsia="Arial" w:hAnsi="Arial"/>
        </w:rPr>
        <w:t xml:space="preserve">	</w:t>
      </w:r>
      <w:r>
        <w:rPr>
          <w:rFonts w:ascii="Arial" w:cs="Arial" w:eastAsia="Arial" w:hAnsi="Arial"/>
          <w:sz w:val="20"/>
          <w:szCs w:val="20"/>
        </w:rPr>
        <w:t xml:space="preserve">3</w:t>
      </w:r>
    </w:p>
    <w:p>
      <w:pPr>
        <w:tabs>
          <w:tab w:val="right" w:pos="9360"/>
        </w:tabs>
        <w:spacing w:after="80" w:before="80"/>
      </w:pPr>
      <w:r>
        <w:rPr>
          <w:rFonts w:ascii="Arial" w:cs="Arial" w:eastAsia="Arial" w:hAnsi="Arial"/>
          <w:sz w:val="20"/>
          <w:szCs w:val="20"/>
        </w:rPr>
        <w:t xml:space="preserve">2.  Functional Analysis</w:t>
      </w:r>
      <w:r>
        <w:rPr>
          <w:rFonts w:ascii="Arial" w:cs="Arial" w:eastAsia="Arial" w:hAnsi="Arial"/>
        </w:rPr>
        <w:t xml:space="preserve">	</w:t>
      </w:r>
      <w:r>
        <w:rPr>
          <w:rFonts w:ascii="Arial" w:cs="Arial" w:eastAsia="Arial" w:hAnsi="Arial"/>
          <w:sz w:val="20"/>
          <w:szCs w:val="20"/>
        </w:rPr>
        <w:t xml:space="preserve">4</w:t>
      </w:r>
    </w:p>
    <w:p>
      <w:pPr>
        <w:tabs>
          <w:tab w:val="right" w:pos="9360"/>
        </w:tabs>
        <w:spacing w:after="80" w:before="80"/>
      </w:pPr>
      <w:r>
        <w:rPr>
          <w:rFonts w:ascii="Arial" w:cs="Arial" w:eastAsia="Arial" w:hAnsi="Arial"/>
          <w:sz w:val="20"/>
          <w:szCs w:val="20"/>
        </w:rPr>
        <w:t xml:space="preserve">3.  Technical Architecture</w:t>
      </w:r>
      <w:r>
        <w:rPr>
          <w:rFonts w:ascii="Arial" w:cs="Arial" w:eastAsia="Arial" w:hAnsi="Arial"/>
        </w:rPr>
        <w:t xml:space="preserve">	</w:t>
      </w:r>
      <w:r>
        <w:rPr>
          <w:rFonts w:ascii="Arial" w:cs="Arial" w:eastAsia="Arial" w:hAnsi="Arial"/>
          <w:sz w:val="20"/>
          <w:szCs w:val="20"/>
        </w:rPr>
        <w:t xml:space="preserve">6</w:t>
      </w:r>
    </w:p>
    <w:p>
      <w:pPr>
        <w:tabs>
          <w:tab w:val="right" w:pos="9360"/>
        </w:tabs>
        <w:spacing w:after="80" w:before="80"/>
      </w:pPr>
      <w:r>
        <w:rPr>
          <w:rFonts w:ascii="Arial" w:cs="Arial" w:eastAsia="Arial" w:hAnsi="Arial"/>
          <w:sz w:val="20"/>
          <w:szCs w:val="20"/>
        </w:rPr>
        <w:t xml:space="preserve">4.  Technology Stack Recommendations</w:t>
      </w:r>
      <w:r>
        <w:rPr>
          <w:rFonts w:ascii="Arial" w:cs="Arial" w:eastAsia="Arial" w:hAnsi="Arial"/>
        </w:rPr>
        <w:t xml:space="preserve">	</w:t>
      </w:r>
      <w:r>
        <w:rPr>
          <w:rFonts w:ascii="Arial" w:cs="Arial" w:eastAsia="Arial" w:hAnsi="Arial"/>
          <w:sz w:val="20"/>
          <w:szCs w:val="20"/>
        </w:rPr>
        <w:t xml:space="preserve">9</w:t>
      </w:r>
    </w:p>
    <w:p>
      <w:pPr>
        <w:tabs>
          <w:tab w:val="right" w:pos="9360"/>
        </w:tabs>
        <w:spacing w:after="80" w:before="80"/>
      </w:pPr>
      <w:r>
        <w:rPr>
          <w:rFonts w:ascii="Arial" w:cs="Arial" w:eastAsia="Arial" w:hAnsi="Arial"/>
          <w:sz w:val="20"/>
          <w:szCs w:val="20"/>
        </w:rPr>
        <w:t xml:space="preserve">5.  Detailed Development Roadmap</w:t>
      </w:r>
      <w:r>
        <w:rPr>
          <w:rFonts w:ascii="Arial" w:cs="Arial" w:eastAsia="Arial" w:hAnsi="Arial"/>
        </w:rPr>
        <w:t xml:space="preserve">	</w:t>
      </w:r>
      <w:r>
        <w:rPr>
          <w:rFonts w:ascii="Arial" w:cs="Arial" w:eastAsia="Arial" w:hAnsi="Arial"/>
          <w:sz w:val="20"/>
          <w:szCs w:val="20"/>
        </w:rPr>
        <w:t xml:space="preserve">11</w:t>
      </w:r>
    </w:p>
    <w:p>
      <w:pPr>
        <w:tabs>
          <w:tab w:val="right" w:pos="9360"/>
        </w:tabs>
        <w:spacing w:after="80" w:before="80"/>
      </w:pPr>
      <w:r>
        <w:rPr>
          <w:rFonts w:ascii="Arial" w:cs="Arial" w:eastAsia="Arial" w:hAnsi="Arial"/>
          <w:sz w:val="20"/>
          <w:szCs w:val="20"/>
        </w:rPr>
        <w:t xml:space="preserve">6.  AI Implementation Guide</w:t>
      </w:r>
      <w:r>
        <w:rPr>
          <w:rFonts w:ascii="Arial" w:cs="Arial" w:eastAsia="Arial" w:hAnsi="Arial"/>
        </w:rPr>
        <w:t xml:space="preserve">	</w:t>
      </w:r>
      <w:r>
        <w:rPr>
          <w:rFonts w:ascii="Arial" w:cs="Arial" w:eastAsia="Arial" w:hAnsi="Arial"/>
          <w:sz w:val="20"/>
          <w:szCs w:val="20"/>
        </w:rPr>
        <w:t xml:space="preserve">13</w:t>
      </w:r>
    </w:p>
    <w:p>
      <w:pPr>
        <w:tabs>
          <w:tab w:val="right" w:pos="9360"/>
        </w:tabs>
        <w:spacing w:after="80" w:before="80"/>
      </w:pPr>
      <w:r>
        <w:rPr>
          <w:rFonts w:ascii="Arial" w:cs="Arial" w:eastAsia="Arial" w:hAnsi="Arial"/>
          <w:sz w:val="20"/>
          <w:szCs w:val="20"/>
        </w:rPr>
        <w:t xml:space="preserve">7.  Security &amp; Compliance</w:t>
      </w:r>
      <w:r>
        <w:rPr>
          <w:rFonts w:ascii="Arial" w:cs="Arial" w:eastAsia="Arial" w:hAnsi="Arial"/>
        </w:rPr>
        <w:t xml:space="preserve">	</w:t>
      </w:r>
      <w:r>
        <w:rPr>
          <w:rFonts w:ascii="Arial" w:cs="Arial" w:eastAsia="Arial" w:hAnsi="Arial"/>
          <w:sz w:val="20"/>
          <w:szCs w:val="20"/>
        </w:rPr>
        <w:t xml:space="preserve">17</w:t>
      </w:r>
    </w:p>
    <w:p>
      <w:pPr>
        <w:tabs>
          <w:tab w:val="right" w:pos="9360"/>
        </w:tabs>
        <w:spacing w:after="80" w:before="80"/>
      </w:pPr>
      <w:r>
        <w:rPr>
          <w:rFonts w:ascii="Arial" w:cs="Arial" w:eastAsia="Arial" w:hAnsi="Arial"/>
          <w:sz w:val="20"/>
          <w:szCs w:val="20"/>
        </w:rPr>
        <w:t xml:space="preserve">8.  DevOps &amp; Deployment Strategy</w:t>
      </w:r>
      <w:r>
        <w:rPr>
          <w:rFonts w:ascii="Arial" w:cs="Arial" w:eastAsia="Arial" w:hAnsi="Arial"/>
        </w:rPr>
        <w:t xml:space="preserve">	</w:t>
      </w:r>
      <w:r>
        <w:rPr>
          <w:rFonts w:ascii="Arial" w:cs="Arial" w:eastAsia="Arial" w:hAnsi="Arial"/>
          <w:sz w:val="20"/>
          <w:szCs w:val="20"/>
        </w:rPr>
        <w:t xml:space="preserve">19</w:t>
      </w:r>
    </w:p>
    <w:p>
      <w:pPr>
        <w:tabs>
          <w:tab w:val="right" w:pos="9360"/>
        </w:tabs>
        <w:spacing w:after="80" w:before="80"/>
      </w:pPr>
      <w:r>
        <w:rPr>
          <w:rFonts w:ascii="Arial" w:cs="Arial" w:eastAsia="Arial" w:hAnsi="Arial"/>
          <w:sz w:val="20"/>
          <w:szCs w:val="20"/>
        </w:rPr>
        <w:t xml:space="preserve">9.  Testing Strategy</w:t>
      </w:r>
      <w:r>
        <w:rPr>
          <w:rFonts w:ascii="Arial" w:cs="Arial" w:eastAsia="Arial" w:hAnsi="Arial"/>
        </w:rPr>
        <w:t xml:space="preserve">	</w:t>
      </w:r>
      <w:r>
        <w:rPr>
          <w:rFonts w:ascii="Arial" w:cs="Arial" w:eastAsia="Arial" w:hAnsi="Arial"/>
          <w:sz w:val="20"/>
          <w:szCs w:val="20"/>
        </w:rPr>
        <w:t xml:space="preserve">21</w:t>
      </w:r>
    </w:p>
    <w:p>
      <w:pPr>
        <w:tabs>
          <w:tab w:val="right" w:pos="9360"/>
        </w:tabs>
        <w:spacing w:after="80" w:before="80"/>
      </w:pPr>
      <w:r>
        <w:rPr>
          <w:rFonts w:ascii="Arial" w:cs="Arial" w:eastAsia="Arial" w:hAnsi="Arial"/>
          <w:sz w:val="20"/>
          <w:szCs w:val="20"/>
        </w:rPr>
        <w:t xml:space="preserve">10.  Risk Assessment</w:t>
      </w:r>
      <w:r>
        <w:rPr>
          <w:rFonts w:ascii="Arial" w:cs="Arial" w:eastAsia="Arial" w:hAnsi="Arial"/>
        </w:rPr>
        <w:t xml:space="preserve">	</w:t>
      </w:r>
      <w:r>
        <w:rPr>
          <w:rFonts w:ascii="Arial" w:cs="Arial" w:eastAsia="Arial" w:hAnsi="Arial"/>
          <w:sz w:val="20"/>
          <w:szCs w:val="20"/>
        </w:rPr>
        <w:t xml:space="preserve">23</w:t>
      </w:r>
    </w:p>
    <w:p>
      <w:pPr>
        <w:tabs>
          <w:tab w:val="right" w:pos="9360"/>
        </w:tabs>
        <w:spacing w:after="80" w:before="80"/>
      </w:pPr>
      <w:r>
        <w:rPr>
          <w:rFonts w:ascii="Arial" w:cs="Arial" w:eastAsia="Arial" w:hAnsi="Arial"/>
          <w:sz w:val="20"/>
          <w:szCs w:val="20"/>
        </w:rPr>
        <w:t xml:space="preserve">11.  Project Deliverables</w:t>
      </w:r>
      <w:r>
        <w:rPr>
          <w:rFonts w:ascii="Arial" w:cs="Arial" w:eastAsia="Arial" w:hAnsi="Arial"/>
        </w:rPr>
        <w:t xml:space="preserve">	</w:t>
      </w:r>
      <w:r>
        <w:rPr>
          <w:rFonts w:ascii="Arial" w:cs="Arial" w:eastAsia="Arial" w:hAnsi="Arial"/>
          <w:sz w:val="20"/>
          <w:szCs w:val="20"/>
        </w:rPr>
        <w:t xml:space="preserve">25</w:t>
      </w:r>
    </w:p>
    <w:p>
      <w:r>
        <w:br w:type="page"/>
      </w:r>
    </w:p>
    <w:p>
      <w:pPr>
        <w:pStyle w:val="Heading1"/>
        <w:spacing w:after="160" w:before="320"/>
      </w:pPr>
      <w:r>
        <w:rPr>
          <w:rFonts w:ascii="Arial" w:cs="Arial" w:eastAsia="Arial" w:hAnsi="Arial"/>
          <w:b/>
          <w:bCs/>
          <w:color w:val="1B3A6B"/>
          <w:sz w:val="32"/>
          <w:szCs w:val="32"/>
        </w:rPr>
        <w:t xml:space="preserve">1. Executive Summary</w:t>
      </w:r>
    </w:p>
    <w:p>
      <w:pPr>
        <w:pBdr>
          <w:bottom w:val="single" w:color="2E75B6" w:sz="6" w:space="1"/>
        </w:pBdr>
        <w:spacing w:after="120" w:before="120"/>
      </w:pPr>
      <w:r>
        <w:rPr>
          <w:rFonts w:ascii="Arial" w:cs="Arial" w:eastAsia="Arial" w:hAnsi="Arial"/>
        </w:rPr>
        <w:t xml:space="preserve"/>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00"/>
              <w:bottom w:type="dxa" w:w="140"/>
              <w:right w:type="dxa" w:w="200"/>
            </w:tcMar>
          </w:tcPr>
          <w:p>
            <w:pPr>
              <w:spacing w:after="0" w:before="0"/>
            </w:pPr>
            <w:r>
              <w:rPr>
                <w:rFonts w:ascii="Arial" w:cs="Arial" w:eastAsia="Arial" w:hAnsi="Arial"/>
                <w:color w:val="1B3A6B"/>
                <w:sz w:val="20"/>
                <w:szCs w:val="20"/>
              </w:rPr>
              <w:t xml:space="preserve">The Settlement Portfolio Decision Intelligence Agent transforms an organisation's existing ML modelling infrastructure into a natural-language accessible, compliance-aware, and fully auditable decision layer — eliminating ad-hoc notebook runs and enabling instant model-grounded answers for analysts, managers, and executives alike.</w:t>
            </w:r>
          </w:p>
        </w:tc>
      </w:tr>
    </w:tbl>
    <w:p>
      <w:pPr>
        <w:spacing w:after="0" w:before="0"/>
      </w:pPr>
      <w:r>
        <w:rPr>
          <w:rFonts w:ascii="Arial" w:cs="Arial" w:eastAsia="Arial" w:hAnsi="Arial"/>
        </w:rPr>
        <w:t xml:space="preserve"/>
      </w:r>
    </w:p>
    <w:p>
      <w:pPr>
        <w:spacing w:after="80" w:before="80"/>
      </w:pPr>
      <w:r>
        <w:rPr>
          <w:rFonts w:ascii="Arial" w:cs="Arial" w:eastAsia="Arial" w:hAnsi="Arial"/>
          <w:b w:val="false"/>
          <w:bCs w:val="false"/>
          <w:color w:val="000000"/>
          <w:sz w:val="20"/>
          <w:szCs w:val="20"/>
        </w:rPr>
        <w:t xml:space="preserve">This document presents the complete Solution Architecture, Technology Stack, Phased Roadmap, AI Implementation Guide, Security Framework, and Risk Assessment for the Settlement Portfolio Intelligence Agent.  The system described here does not introduce new predictive models; instead, it provides an intelligent conversational interface that orchestrates existing assets — PoAPP, PoA/PoC, PoF survival models, and MILP optimiser — into a coherent, enterprise-grade Decision Intelligence platform.</w:t>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Business Problem</w:t>
      </w:r>
    </w:p>
    <w:p>
      <w:pPr>
        <w:spacing w:after="80" w:before="80"/>
      </w:pPr>
      <w:r>
        <w:rPr>
          <w:rFonts w:ascii="Arial" w:cs="Arial" w:eastAsia="Arial" w:hAnsi="Arial"/>
          <w:b w:val="false"/>
          <w:bCs w:val="false"/>
          <w:color w:val="000000"/>
          <w:sz w:val="20"/>
          <w:szCs w:val="20"/>
        </w:rPr>
        <w:t xml:space="preserve">The client manages a significant portfolio of borrowers across multiple product lines (Secured/Unsecured personal credit, Credit Cards, Small Business).  Determining the optimal settlement strategy for each borrower currently requires:</w:t>
      </w:r>
    </w:p>
    <w:p>
      <w:pPr>
        <w:pStyle w:val="ListParagraph"/>
        <w:numPr>
          <w:ilvl w:val="0"/>
          <w:numId w:val="2"/>
        </w:numPr>
        <w:spacing w:after="40" w:before="40"/>
      </w:pPr>
      <w:r>
        <w:rPr>
          <w:rFonts w:ascii="Arial" w:cs="Arial" w:eastAsia="Arial" w:hAnsi="Arial"/>
          <w:sz w:val="20"/>
          <w:szCs w:val="20"/>
        </w:rPr>
        <w:t xml:space="preserve">Quant analysts running Python notebooks ad hoc</w:t>
      </w:r>
    </w:p>
    <w:p>
      <w:pPr>
        <w:pStyle w:val="ListParagraph"/>
        <w:numPr>
          <w:ilvl w:val="0"/>
          <w:numId w:val="2"/>
        </w:numPr>
        <w:spacing w:after="40" w:before="40"/>
      </w:pPr>
      <w:r>
        <w:rPr>
          <w:rFonts w:ascii="Arial" w:cs="Arial" w:eastAsia="Arial" w:hAnsi="Arial"/>
          <w:sz w:val="20"/>
          <w:szCs w:val="20"/>
        </w:rPr>
        <w:t xml:space="preserve">Monthly batch optimisation cycles with no intra-cycle flexibility</w:t>
      </w:r>
    </w:p>
    <w:p>
      <w:pPr>
        <w:pStyle w:val="ListParagraph"/>
        <w:numPr>
          <w:ilvl w:val="0"/>
          <w:numId w:val="2"/>
        </w:numPr>
        <w:spacing w:after="40" w:before="40"/>
      </w:pPr>
      <w:r>
        <w:rPr>
          <w:rFonts w:ascii="Arial" w:cs="Arial" w:eastAsia="Arial" w:hAnsi="Arial"/>
          <w:sz w:val="20"/>
          <w:szCs w:val="20"/>
        </w:rPr>
        <w:t xml:space="preserve">Siloed data across Settlements, Accounts, Applications, and Payments datasets</w:t>
      </w:r>
    </w:p>
    <w:p>
      <w:pPr>
        <w:pStyle w:val="ListParagraph"/>
        <w:numPr>
          <w:ilvl w:val="0"/>
          <w:numId w:val="2"/>
        </w:numPr>
        <w:spacing w:after="40" w:before="40"/>
      </w:pPr>
      <w:r>
        <w:rPr>
          <w:rFonts w:ascii="Arial" w:cs="Arial" w:eastAsia="Arial" w:hAnsi="Arial"/>
          <w:sz w:val="20"/>
          <w:szCs w:val="20"/>
        </w:rPr>
        <w:t xml:space="preserve">Manual extraction of model outputs and SHAP explanations for compliance reviews</w:t>
      </w:r>
    </w:p>
    <w:p>
      <w:pPr>
        <w:spacing w:after="0" w:before="0"/>
      </w:pPr>
      <w:r>
        <w:rPr>
          <w:rFonts w:ascii="Arial" w:cs="Arial" w:eastAsia="Arial" w:hAnsi="Arial"/>
        </w:rPr>
        <w:t xml:space="preserve"/>
      </w:r>
    </w:p>
    <w:p>
      <w:pPr>
        <w:spacing w:after="80" w:before="80"/>
      </w:pPr>
      <w:r>
        <w:rPr>
          <w:rFonts w:ascii="Arial" w:cs="Arial" w:eastAsia="Arial" w:hAnsi="Arial"/>
          <w:b w:val="false"/>
          <w:bCs w:val="false"/>
          <w:color w:val="000000"/>
          <w:sz w:val="20"/>
          <w:szCs w:val="20"/>
        </w:rPr>
        <w:t xml:space="preserve">This creates latency, inconsistency, and compliance risk. The cost of delay in settlement assignment is measurable in lost Expected Value (EV) across the portfolio.</w:t>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Proposed Solution</w:t>
      </w:r>
    </w:p>
    <w:p>
      <w:pPr>
        <w:spacing w:after="80" w:before="80"/>
      </w:pPr>
      <w:r>
        <w:rPr>
          <w:rFonts w:ascii="Arial" w:cs="Arial" w:eastAsia="Arial" w:hAnsi="Arial"/>
          <w:b w:val="false"/>
          <w:bCs w:val="false"/>
          <w:color w:val="000000"/>
          <w:sz w:val="20"/>
          <w:szCs w:val="20"/>
        </w:rPr>
        <w:t xml:space="preserve">A Bloomberg Terminal for Collections: a conversational AI agent that any stakeholder — from contact-centre agent to CFO — can query in plain English to receive model-backed, explainable, compliance-checked recommendations instantly.</w:t>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Metric</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Current State</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Target State (Phase 3)</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Value Driver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Time to settlement decision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1–5 days (notebook run)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3 seconds (on-demand)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Faster EV realisation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Analyst query resolution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Manual, async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Instant, conversational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Analyst productivity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Compliance audit readiness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Post-hoc reconstruction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Real-time audit trail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Regulatory resilience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Scenario analysis turnaround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Seconds (what-if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Strategy agility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Model explainability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Separate SHAP notebooks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Embedded in every answer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Defensible recommendations</w:t>
            </w:r>
          </w:p>
        </w:tc>
      </w:tr>
    </w:tbl>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Recommended Delivery Approach</w:t>
      </w:r>
    </w:p>
    <w:p>
      <w:pPr>
        <w:spacing w:after="80" w:before="80"/>
      </w:pPr>
      <w:r>
        <w:rPr>
          <w:rFonts w:ascii="Arial" w:cs="Arial" w:eastAsia="Arial" w:hAnsi="Arial"/>
          <w:b w:val="false"/>
          <w:bCs w:val="false"/>
          <w:color w:val="000000"/>
          <w:sz w:val="20"/>
          <w:szCs w:val="20"/>
        </w:rPr>
        <w:t xml:space="preserve">Three phases over 12–14 weeks.  Phase 1 delivers immediate value via read-only portfolio interrogation.  Phase 2 enables on-demand single-borrower optimisation.  Phase 3 completes the platform with scenario analysis, explainability, and document intelligence.</w:t>
      </w:r>
    </w:p>
    <w:p>
      <w:r>
        <w:br w:type="page"/>
      </w:r>
    </w:p>
    <w:p>
      <w:pPr>
        <w:pStyle w:val="Heading1"/>
        <w:spacing w:after="160" w:before="320"/>
      </w:pPr>
      <w:r>
        <w:rPr>
          <w:rFonts w:ascii="Arial" w:cs="Arial" w:eastAsia="Arial" w:hAnsi="Arial"/>
          <w:b/>
          <w:bCs/>
          <w:color w:val="1B3A6B"/>
          <w:sz w:val="32"/>
          <w:szCs w:val="32"/>
        </w:rPr>
        <w:t xml:space="preserve">2. Functional Analysis</w:t>
      </w:r>
    </w:p>
    <w:p>
      <w:pPr>
        <w:pBdr>
          <w:bottom w:val="single" w:color="2E75B6" w:sz="6" w:space="1"/>
        </w:pBdr>
        <w:spacing w:after="120" w:before="120"/>
      </w:pPr>
      <w:r>
        <w:rPr>
          <w:rFonts w:ascii="Arial" w:cs="Arial" w:eastAsia="Arial" w:hAnsi="Arial"/>
        </w:rPr>
        <w:t xml:space="preserve"/>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2.1  Stakeholder Map &amp;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Stakeholder</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Domain</w:t>
            </w:r>
          </w:p>
        </w:tc>
        <w:tc>
          <w:tcPr>
            <w:tcW w:type="dxa" w:w="25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Primary Use Cases</w:t>
            </w:r>
          </w:p>
        </w:tc>
        <w:tc>
          <w:tcPr>
            <w:tcW w:type="dxa" w:w="25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Key Questions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Collections Analyst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Settlement Assignment</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Borrower lookups, offer review, what-if</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What is the optimal offer for borrower 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Contact Centre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Settlement Assignment</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Quick offer reference, guardrail checks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Is this borrower eligible for 60% RR?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Portfolio Manager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Portfolio Performance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KPI dashboards, trend analysis, drift alerts</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How has realisation rate moved this month?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Quant / Strategy Team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Economic Terms Analysis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Frontier analysis, constraint simulations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Show efficient frontier at P(Fulfill)≥0.70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Risk / Compliance Officer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All Domains</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Audit trail, model explainability, drift review</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Why was this offer made? Show SHAP drivers.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Executive / Director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Portfolio Performance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Executive summaries, portfolio health</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Current 3L EV vs actual — executive view</w:t>
            </w:r>
          </w:p>
        </w:tc>
      </w:tr>
    </w:tbl>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2.2  Three Capability Domains</w:t>
      </w:r>
    </w:p>
    <w:p>
      <w:pPr>
        <w:pStyle w:val="Heading3"/>
        <w:spacing w:after="80" w:before="180"/>
      </w:pPr>
      <w:r>
        <w:rPr>
          <w:rFonts w:ascii="Arial" w:cs="Arial" w:eastAsia="Arial" w:hAnsi="Arial"/>
          <w:b/>
          <w:bCs/>
          <w:color w:val="1B3A6B"/>
          <w:sz w:val="22"/>
          <w:szCs w:val="22"/>
        </w:rPr>
        <w:t xml:space="preserve">Domain 1 — Portfolio Performance (Executive &amp; Management Layer)</w:t>
      </w:r>
    </w:p>
    <w:p>
      <w:pPr>
        <w:spacing w:after="80" w:before="80"/>
      </w:pPr>
      <w:r>
        <w:rPr>
          <w:rFonts w:ascii="Arial" w:cs="Arial" w:eastAsia="Arial" w:hAnsi="Arial"/>
          <w:b w:val="false"/>
          <w:bCs w:val="false"/>
          <w:color w:val="000000"/>
          <w:sz w:val="20"/>
          <w:szCs w:val="20"/>
        </w:rPr>
        <w:t xml:space="preserve">This domain provides aggregated, time-series portfolio intelligence.  It draws from monitoring_baselines, recommended_offers_3l_v3, and CRM contact outcomes.</w:t>
      </w:r>
    </w:p>
    <w:p>
      <w:pPr>
        <w:pStyle w:val="ListParagraph"/>
        <w:numPr>
          <w:ilvl w:val="0"/>
          <w:numId w:val="2"/>
        </w:numPr>
        <w:spacing w:after="40" w:before="40"/>
      </w:pPr>
      <w:r>
        <w:rPr>
          <w:rFonts w:ascii="Arial" w:cs="Arial" w:eastAsia="Arial" w:hAnsi="Arial"/>
          <w:sz w:val="20"/>
          <w:szCs w:val="20"/>
        </w:rPr>
        <w:t xml:space="preserve">Current EV vs actual collections — 3L (three-letter) portfolio view</w:t>
      </w:r>
    </w:p>
    <w:p>
      <w:pPr>
        <w:pStyle w:val="ListParagraph"/>
        <w:numPr>
          <w:ilvl w:val="0"/>
          <w:numId w:val="2"/>
        </w:numPr>
        <w:spacing w:after="40" w:before="40"/>
      </w:pPr>
      <w:r>
        <w:rPr>
          <w:rFonts w:ascii="Arial" w:cs="Arial" w:eastAsia="Arial" w:hAnsi="Arial"/>
          <w:sz w:val="20"/>
          <w:szCs w:val="20"/>
        </w:rPr>
        <w:t xml:space="preserve">Realisation rate trend — month-over-month movement with statistical significance</w:t>
      </w:r>
    </w:p>
    <w:p>
      <w:pPr>
        <w:pStyle w:val="ListParagraph"/>
        <w:numPr>
          <w:ilvl w:val="0"/>
          <w:numId w:val="2"/>
        </w:numPr>
        <w:spacing w:after="40" w:before="40"/>
      </w:pPr>
      <w:r>
        <w:rPr>
          <w:rFonts w:ascii="Arial" w:cs="Arial" w:eastAsia="Arial" w:hAnsi="Arial"/>
          <w:sz w:val="20"/>
          <w:szCs w:val="20"/>
        </w:rPr>
        <w:t xml:space="preserve">Segment-level underperformance detection — which buckets are drifting from baseline</w:t>
      </w:r>
    </w:p>
    <w:p>
      <w:pPr>
        <w:pStyle w:val="ListParagraph"/>
        <w:numPr>
          <w:ilvl w:val="0"/>
          <w:numId w:val="2"/>
        </w:numPr>
        <w:spacing w:after="40" w:before="40"/>
      </w:pPr>
      <w:r>
        <w:rPr>
          <w:rFonts w:ascii="Arial" w:cs="Arial" w:eastAsia="Arial" w:hAnsi="Arial"/>
          <w:sz w:val="20"/>
          <w:szCs w:val="20"/>
        </w:rPr>
        <w:t xml:space="preserve">KPI drift alerts — PSI (Population Stability Index) and model calibration monitoring</w:t>
      </w:r>
    </w:p>
    <w:p>
      <w:pPr>
        <w:pStyle w:val="ListParagraph"/>
        <w:numPr>
          <w:ilvl w:val="0"/>
          <w:numId w:val="2"/>
        </w:numPr>
        <w:spacing w:after="40" w:before="40"/>
      </w:pPr>
      <w:r>
        <w:rPr>
          <w:rFonts w:ascii="Arial" w:cs="Arial" w:eastAsia="Arial" w:hAnsi="Arial"/>
          <w:sz w:val="20"/>
          <w:szCs w:val="20"/>
        </w:rPr>
        <w:t xml:space="preserve">Contact-to-application conversion rate monitoring by channel and segment</w:t>
      </w:r>
    </w:p>
    <w:p>
      <w:pPr>
        <w:spacing w:after="0" w:before="0"/>
      </w:pPr>
      <w:r>
        <w:rPr>
          <w:rFonts w:ascii="Arial" w:cs="Arial" w:eastAsia="Arial" w:hAnsi="Arial"/>
        </w:rPr>
        <w:t xml:space="preserve"/>
      </w:r>
    </w:p>
    <w:p>
      <w:pPr>
        <w:pStyle w:val="Heading3"/>
        <w:spacing w:after="80" w:before="180"/>
      </w:pPr>
      <w:r>
        <w:rPr>
          <w:rFonts w:ascii="Arial" w:cs="Arial" w:eastAsia="Arial" w:hAnsi="Arial"/>
          <w:b/>
          <w:bCs/>
          <w:color w:val="1B3A6B"/>
          <w:sz w:val="22"/>
          <w:szCs w:val="22"/>
        </w:rPr>
        <w:t xml:space="preserve">Domain 2 — Settlement Assignment (Operational Layer)</w:t>
      </w:r>
    </w:p>
    <w:p>
      <w:pPr>
        <w:spacing w:after="80" w:before="80"/>
      </w:pPr>
      <w:r>
        <w:rPr>
          <w:rFonts w:ascii="Arial" w:cs="Arial" w:eastAsia="Arial" w:hAnsi="Arial"/>
          <w:b w:val="false"/>
          <w:bCs w:val="false"/>
          <w:color w:val="000000"/>
          <w:sz w:val="20"/>
          <w:szCs w:val="20"/>
        </w:rPr>
        <w:t xml:space="preserve">This is the core operational intelligence.  It serves collections analysts and contact centre teams in real time, replacing ad-hoc notebook execution.</w:t>
      </w:r>
    </w:p>
    <w:p>
      <w:pPr>
        <w:pStyle w:val="ListParagraph"/>
        <w:numPr>
          <w:ilvl w:val="0"/>
          <w:numId w:val="2"/>
        </w:numPr>
        <w:spacing w:after="40" w:before="40"/>
      </w:pPr>
      <w:r>
        <w:rPr>
          <w:rFonts w:ascii="Arial" w:cs="Arial" w:eastAsia="Arial" w:hAnsi="Arial"/>
          <w:sz w:val="20"/>
          <w:szCs w:val="20"/>
        </w:rPr>
        <w:t xml:space="preserve">Borrower profile retrieval — settlement status, balance, flags (deceased, legal entity, vulnerability, AML risk)</w:t>
      </w:r>
    </w:p>
    <w:p>
      <w:pPr>
        <w:pStyle w:val="ListParagraph"/>
        <w:numPr>
          <w:ilvl w:val="0"/>
          <w:numId w:val="2"/>
        </w:numPr>
        <w:spacing w:after="40" w:before="40"/>
      </w:pPr>
      <w:r>
        <w:rPr>
          <w:rFonts w:ascii="Arial" w:cs="Arial" w:eastAsia="Arial" w:hAnsi="Arial"/>
          <w:sz w:val="20"/>
          <w:szCs w:val="20"/>
        </w:rPr>
        <w:t xml:space="preserve">Optimal offer recommendation — calls OfferOptimiserTool which wraps the MILP solver</w:t>
      </w:r>
    </w:p>
    <w:p>
      <w:pPr>
        <w:pStyle w:val="ListParagraph"/>
        <w:numPr>
          <w:ilvl w:val="0"/>
          <w:numId w:val="2"/>
        </w:numPr>
        <w:spacing w:after="40" w:before="40"/>
      </w:pPr>
      <w:r>
        <w:rPr>
          <w:rFonts w:ascii="Arial" w:cs="Arial" w:eastAsia="Arial" w:hAnsi="Arial"/>
          <w:sz w:val="20"/>
          <w:szCs w:val="20"/>
        </w:rPr>
        <w:t xml:space="preserve">Offer grid inspection — shows EV for all (RR, Installments) combinations for a given borrower</w:t>
      </w:r>
    </w:p>
    <w:p>
      <w:pPr>
        <w:pStyle w:val="ListParagraph"/>
        <w:numPr>
          <w:ilvl w:val="0"/>
          <w:numId w:val="2"/>
        </w:numPr>
        <w:spacing w:after="40" w:before="40"/>
      </w:pPr>
      <w:r>
        <w:rPr>
          <w:rFonts w:ascii="Arial" w:cs="Arial" w:eastAsia="Arial" w:hAnsi="Arial"/>
          <w:sz w:val="20"/>
          <w:szCs w:val="20"/>
        </w:rPr>
        <w:t xml:space="preserve">Counterfactual analysis — 'What if we move from 2 to 1 installment?' recalculates EV in &lt; 2s</w:t>
      </w:r>
    </w:p>
    <w:p>
      <w:pPr>
        <w:pStyle w:val="ListParagraph"/>
        <w:numPr>
          <w:ilvl w:val="0"/>
          <w:numId w:val="2"/>
        </w:numPr>
        <w:spacing w:after="40" w:before="40"/>
      </w:pPr>
      <w:r>
        <w:rPr>
          <w:rFonts w:ascii="Arial" w:cs="Arial" w:eastAsia="Arial" w:hAnsi="Arial"/>
          <w:sz w:val="20"/>
          <w:szCs w:val="20"/>
        </w:rPr>
        <w:t xml:space="preserve">Guardrail enforcement — regulatory RR limits, deceased/legal-entity blocks executed as deterministic code, not LLM reasoning</w:t>
      </w:r>
    </w:p>
    <w:p>
      <w:pPr>
        <w:spacing w:after="0" w:before="0"/>
      </w:pPr>
      <w:r>
        <w:rPr>
          <w:rFonts w:ascii="Arial" w:cs="Arial" w:eastAsia="Arial" w:hAnsi="Arial"/>
        </w:rPr>
        <w:t xml:space="preserve"/>
      </w:r>
    </w:p>
    <w:p>
      <w:pPr>
        <w:pStyle w:val="Heading3"/>
        <w:spacing w:after="80" w:before="180"/>
      </w:pPr>
      <w:r>
        <w:rPr>
          <w:rFonts w:ascii="Arial" w:cs="Arial" w:eastAsia="Arial" w:hAnsi="Arial"/>
          <w:b/>
          <w:bCs/>
          <w:color w:val="1B3A6B"/>
          <w:sz w:val="22"/>
          <w:szCs w:val="22"/>
        </w:rPr>
        <w:t xml:space="preserve">Domain 3 — Economic Terms Analysis (Strategic Layer)</w:t>
      </w:r>
    </w:p>
    <w:p>
      <w:pPr>
        <w:spacing w:after="80" w:before="80"/>
      </w:pPr>
      <w:r>
        <w:rPr>
          <w:rFonts w:ascii="Arial" w:cs="Arial" w:eastAsia="Arial" w:hAnsi="Arial"/>
          <w:b w:val="false"/>
          <w:bCs w:val="false"/>
          <w:color w:val="000000"/>
          <w:sz w:val="20"/>
          <w:szCs w:val="20"/>
        </w:rPr>
        <w:t xml:space="preserve">This domain supports the Quant and Strategy teams in portfolio-wide scenario modelling.</w:t>
      </w:r>
    </w:p>
    <w:p>
      <w:pPr>
        <w:pStyle w:val="ListParagraph"/>
        <w:numPr>
          <w:ilvl w:val="0"/>
          <w:numId w:val="2"/>
        </w:numPr>
        <w:spacing w:after="40" w:before="40"/>
      </w:pPr>
      <w:r>
        <w:rPr>
          <w:rFonts w:ascii="Arial" w:cs="Arial" w:eastAsia="Arial" w:hAnsi="Arial"/>
          <w:sz w:val="20"/>
          <w:szCs w:val="20"/>
        </w:rPr>
        <w:t xml:space="preserve">Efficient frontier visualisation — pre-computed risk/reward curve from efficient_frontier_3l_v3.csv</w:t>
      </w:r>
    </w:p>
    <w:p>
      <w:pPr>
        <w:pStyle w:val="ListParagraph"/>
        <w:numPr>
          <w:ilvl w:val="0"/>
          <w:numId w:val="2"/>
        </w:numPr>
        <w:spacing w:after="40" w:before="40"/>
      </w:pPr>
      <w:r>
        <w:rPr>
          <w:rFonts w:ascii="Arial" w:cs="Arial" w:eastAsia="Arial" w:hAnsi="Arial"/>
          <w:sz w:val="20"/>
          <w:szCs w:val="20"/>
        </w:rPr>
        <w:t xml:space="preserve">Constraint simulation — 'Apply P(Fulfill) ≥ 0.70 floor across all assignments' and show EV impact</w:t>
      </w:r>
    </w:p>
    <w:p>
      <w:pPr>
        <w:pStyle w:val="ListParagraph"/>
        <w:numPr>
          <w:ilvl w:val="0"/>
          <w:numId w:val="2"/>
        </w:numPr>
        <w:spacing w:after="40" w:before="40"/>
      </w:pPr>
      <w:r>
        <w:rPr>
          <w:rFonts w:ascii="Arial" w:cs="Arial" w:eastAsia="Arial" w:hAnsi="Arial"/>
          <w:sz w:val="20"/>
          <w:szCs w:val="20"/>
        </w:rPr>
        <w:t xml:space="preserve">Recovery Rate cap analysis — 'What if max RR is 50%?' and resulting portfolio EV shift</w:t>
      </w:r>
    </w:p>
    <w:p>
      <w:pPr>
        <w:pStyle w:val="ListParagraph"/>
        <w:numPr>
          <w:ilvl w:val="0"/>
          <w:numId w:val="2"/>
        </w:numPr>
        <w:spacing w:after="40" w:before="40"/>
      </w:pPr>
      <w:r>
        <w:rPr>
          <w:rFonts w:ascii="Arial" w:cs="Arial" w:eastAsia="Arial" w:hAnsi="Arial"/>
          <w:sz w:val="20"/>
          <w:szCs w:val="20"/>
        </w:rPr>
        <w:t xml:space="preserve">Segment-level strategy comparison — conservative vs balanced vs aggressive allocation</w:t>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2.3  Data Entity Relationships</w:t>
      </w:r>
    </w:p>
    <w:p>
      <w:pPr>
        <w:spacing w:after="80" w:before="80"/>
      </w:pPr>
      <w:r>
        <w:rPr>
          <w:rFonts w:ascii="Arial" w:cs="Arial" w:eastAsia="Arial" w:hAnsi="Arial"/>
          <w:b w:val="false"/>
          <w:bCs w:val="false"/>
          <w:color w:val="000000"/>
          <w:sz w:val="20"/>
          <w:szCs w:val="20"/>
        </w:rPr>
        <w:t xml:space="preserve">Based on the Quant_data_layout_08062026.xlsx specification, the data model follows a clear hierarchy with the following key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Dataset</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Primary Key</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Cardinality</w:t>
            </w:r>
          </w:p>
        </w:tc>
        <w:tc>
          <w:tcPr>
            <w:tcW w:type="dxa" w:w="2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Role in Agent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DatasetSettlements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SettlementCode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1-to-1 with CustomerCode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Core settlement terms, status, amounts, flags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DatasetAccounts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AccountCode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Many-to-1 with CustomerCode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Account balances, DPD, product type, channel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DatasetApplications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ApplicationCode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Many-to-many with CustomerID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Application pipeline, committee results, tenure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MappingDataset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SettlementCode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Bridge table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Joins SettlementCode → CustomerCode → AccountCode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prescored_borrower_offer_grid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CustomerCode + Offer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One row per (borrower, offer) pair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Pre-scored EV grid, PoAPP, PoA, PoF outputs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recommended_offers_3l_v3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CustomerCode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One row per borrower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Monthly MILP optimal assignment</w:t>
            </w:r>
          </w:p>
        </w:tc>
      </w:tr>
    </w:tbl>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2.4  Critical Guardrail Requirements</w:t>
      </w:r>
    </w:p>
    <w:p>
      <w:pPr>
        <w:spacing w:after="80" w:before="80"/>
      </w:pPr>
      <w:r>
        <w:rPr>
          <w:rFonts w:ascii="Arial" w:cs="Arial" w:eastAsia="Arial" w:hAnsi="Arial"/>
          <w:b w:val="false"/>
          <w:bCs w:val="false"/>
          <w:color w:val="000000"/>
          <w:sz w:val="20"/>
          <w:szCs w:val="20"/>
        </w:rPr>
        <w:t xml:space="preserve">The following rules are non-negotiable hard-coded constraints. They must execute as deterministic Python code before any LLM-generated recommendation reaches the user:</w:t>
      </w:r>
    </w:p>
    <w:p>
      <w:pPr>
        <w:pStyle w:val="ListParagraph"/>
        <w:numPr>
          <w:ilvl w:val="0"/>
          <w:numId w:val="2"/>
        </w:numPr>
        <w:spacing w:after="40" w:before="40"/>
      </w:pPr>
      <w:r>
        <w:rPr>
          <w:rFonts w:ascii="Arial" w:cs="Arial" w:eastAsia="Arial" w:hAnsi="Arial"/>
          <w:sz w:val="20"/>
          <w:szCs w:val="20"/>
        </w:rPr>
        <w:t xml:space="preserve">FlagDeceased = 1 → block all recommendations; escalate to specialist workflow</w:t>
      </w:r>
    </w:p>
    <w:p>
      <w:pPr>
        <w:pStyle w:val="ListParagraph"/>
        <w:numPr>
          <w:ilvl w:val="0"/>
          <w:numId w:val="2"/>
        </w:numPr>
        <w:spacing w:after="40" w:before="40"/>
      </w:pPr>
      <w:r>
        <w:rPr>
          <w:rFonts w:ascii="Arial" w:cs="Arial" w:eastAsia="Arial" w:hAnsi="Arial"/>
          <w:sz w:val="20"/>
          <w:szCs w:val="20"/>
        </w:rPr>
        <w:t xml:space="preserve">FlagLegalEntity = 1 → route to corporate collections workflow; no retail settlement logic</w:t>
      </w:r>
    </w:p>
    <w:p>
      <w:pPr>
        <w:pStyle w:val="ListParagraph"/>
        <w:numPr>
          <w:ilvl w:val="0"/>
          <w:numId w:val="2"/>
        </w:numPr>
        <w:spacing w:after="40" w:before="40"/>
      </w:pPr>
      <w:r>
        <w:rPr>
          <w:rFonts w:ascii="Arial" w:cs="Arial" w:eastAsia="Arial" w:hAnsi="Arial"/>
          <w:sz w:val="20"/>
          <w:szCs w:val="20"/>
        </w:rPr>
        <w:t xml:space="preserve">FlagUnderLawProtection = 1 → route to legal team; restrict automated recommendations</w:t>
      </w:r>
    </w:p>
    <w:p>
      <w:pPr>
        <w:pStyle w:val="ListParagraph"/>
        <w:numPr>
          <w:ilvl w:val="0"/>
          <w:numId w:val="2"/>
        </w:numPr>
        <w:spacing w:after="40" w:before="40"/>
      </w:pPr>
      <w:r>
        <w:rPr>
          <w:rFonts w:ascii="Arial" w:cs="Arial" w:eastAsia="Arial" w:hAnsi="Arial"/>
          <w:sz w:val="20"/>
          <w:szCs w:val="20"/>
        </w:rPr>
        <w:t xml:space="preserve">VulnerabilityStatus ≠ NULL → apply enhanced care protocol; require human oversight</w:t>
      </w:r>
    </w:p>
    <w:p>
      <w:pPr>
        <w:pStyle w:val="ListParagraph"/>
        <w:numPr>
          <w:ilvl w:val="0"/>
          <w:numId w:val="2"/>
        </w:numPr>
        <w:spacing w:after="40" w:before="40"/>
      </w:pPr>
      <w:r>
        <w:rPr>
          <w:rFonts w:ascii="Arial" w:cs="Arial" w:eastAsia="Arial" w:hAnsi="Arial"/>
          <w:sz w:val="20"/>
          <w:szCs w:val="20"/>
        </w:rPr>
        <w:t xml:space="preserve">AMLRisk = HIGH → freeze automated recommendation; require compliance sign-off</w:t>
      </w:r>
    </w:p>
    <w:p>
      <w:pPr>
        <w:pStyle w:val="ListParagraph"/>
        <w:numPr>
          <w:ilvl w:val="0"/>
          <w:numId w:val="2"/>
        </w:numPr>
        <w:spacing w:after="40" w:before="40"/>
      </w:pPr>
      <w:r>
        <w:rPr>
          <w:rFonts w:ascii="Arial" w:cs="Arial" w:eastAsia="Arial" w:hAnsi="Arial"/>
          <w:sz w:val="20"/>
          <w:szCs w:val="20"/>
        </w:rPr>
        <w:t xml:space="preserve">Recovery Rate must satisfy: 20% ≤ RR ≤ 80% (regulatory limits; configurable)</w:t>
      </w:r>
    </w:p>
    <w:p>
      <w:r>
        <w:br w:type="page"/>
      </w:r>
    </w:p>
    <w:p>
      <w:pPr>
        <w:pStyle w:val="Heading1"/>
        <w:spacing w:after="160" w:before="320"/>
      </w:pPr>
      <w:r>
        <w:rPr>
          <w:rFonts w:ascii="Arial" w:cs="Arial" w:eastAsia="Arial" w:hAnsi="Arial"/>
          <w:b/>
          <w:bCs/>
          <w:color w:val="1B3A6B"/>
          <w:sz w:val="32"/>
          <w:szCs w:val="32"/>
        </w:rPr>
        <w:t xml:space="preserve">3. Technical Architecture</w:t>
      </w:r>
    </w:p>
    <w:p>
      <w:pPr>
        <w:pBdr>
          <w:bottom w:val="single" w:color="2E75B6" w:sz="6" w:space="1"/>
        </w:pBdr>
        <w:spacing w:after="120" w:before="120"/>
      </w:pPr>
      <w:r>
        <w:rPr>
          <w:rFonts w:ascii="Arial" w:cs="Arial" w:eastAsia="Arial" w:hAnsi="Arial"/>
        </w:rPr>
        <w:t xml:space="preserve"/>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3.1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00"/>
              <w:bottom w:type="dxa" w:w="140"/>
              <w:right w:type="dxa" w:w="200"/>
            </w:tcMar>
          </w:tcPr>
          <w:p>
            <w:pPr>
              <w:spacing w:after="0" w:before="0"/>
            </w:pPr>
            <w:r>
              <w:rPr>
                <w:rFonts w:ascii="Arial" w:cs="Arial" w:eastAsia="Arial" w:hAnsi="Arial"/>
                <w:color w:val="1B3A6B"/>
                <w:sz w:val="20"/>
                <w:szCs w:val="20"/>
              </w:rPr>
              <w:t xml:space="preserve">The architecture follows a layered agentic AI pattern: the LLM acts as an intelligent orchestrator — it never calculates, never infers compliance rules, and never directly queries data. All computation is delegated to typed, audited tool microservices.</w:t>
            </w:r>
          </w:p>
        </w:tc>
      </w:tr>
    </w:tbl>
    <w:p>
      <w:pPr>
        <w:spacing w:after="0" w:before="0"/>
      </w:pPr>
      <w:r>
        <w:rPr>
          <w:rFonts w:ascii="Arial" w:cs="Arial" w:eastAsia="Arial" w:hAnsi="Arial"/>
        </w:rPr>
        <w:t xml:space="preserve"/>
      </w:r>
    </w:p>
    <w:p>
      <w:pPr>
        <w:pStyle w:val="Heading3"/>
        <w:spacing w:after="80" w:before="180"/>
      </w:pPr>
      <w:r>
        <w:rPr>
          <w:rFonts w:ascii="Arial" w:cs="Arial" w:eastAsia="Arial" w:hAnsi="Arial"/>
          <w:b/>
          <w:bCs/>
          <w:color w:val="1B3A6B"/>
          <w:sz w:val="22"/>
          <w:szCs w:val="22"/>
        </w:rPr>
        <w:t xml:space="preserve">Layer Stack</w:t>
      </w:r>
    </w:p>
    <w:p>
      <w:pPr>
        <w:pStyle w:val="ListParagraph"/>
        <w:numPr>
          <w:ilvl w:val="0"/>
          <w:numId w:val="2"/>
        </w:numPr>
        <w:spacing w:after="40" w:before="40"/>
      </w:pPr>
      <w:r>
        <w:rPr>
          <w:rFonts w:ascii="Arial" w:cs="Arial" w:eastAsia="Arial" w:hAnsi="Arial"/>
          <w:sz w:val="20"/>
          <w:szCs w:val="20"/>
        </w:rPr>
        <w:t xml:space="preserve">Presentation Layer — React/Next.js Chat UI + Slack Bot + Parquet/CSV export</w:t>
      </w:r>
    </w:p>
    <w:p>
      <w:pPr>
        <w:pStyle w:val="ListParagraph"/>
        <w:numPr>
          <w:ilvl w:val="0"/>
          <w:numId w:val="2"/>
        </w:numPr>
        <w:spacing w:after="40" w:before="40"/>
      </w:pPr>
      <w:r>
        <w:rPr>
          <w:rFonts w:ascii="Arial" w:cs="Arial" w:eastAsia="Arial" w:hAnsi="Arial"/>
          <w:sz w:val="20"/>
          <w:szCs w:val="20"/>
        </w:rPr>
        <w:t xml:space="preserve">Agent Layer — LangGraph workflow engine + Claude Sonnet (function-calling) + conversation memory</w:t>
      </w:r>
    </w:p>
    <w:p>
      <w:pPr>
        <w:pStyle w:val="ListParagraph"/>
        <w:numPr>
          <w:ilvl w:val="0"/>
          <w:numId w:val="2"/>
        </w:numPr>
        <w:spacing w:after="40" w:before="40"/>
      </w:pPr>
      <w:r>
        <w:rPr>
          <w:rFonts w:ascii="Arial" w:cs="Arial" w:eastAsia="Arial" w:hAnsi="Arial"/>
          <w:sz w:val="20"/>
          <w:szCs w:val="20"/>
        </w:rPr>
        <w:t xml:space="preserve">Guardrail Layer — deterministic Python rules evaluated before every LLM response</w:t>
      </w:r>
    </w:p>
    <w:p>
      <w:pPr>
        <w:pStyle w:val="ListParagraph"/>
        <w:numPr>
          <w:ilvl w:val="0"/>
          <w:numId w:val="2"/>
        </w:numPr>
        <w:spacing w:after="40" w:before="40"/>
      </w:pPr>
      <w:r>
        <w:rPr>
          <w:rFonts w:ascii="Arial" w:cs="Arial" w:eastAsia="Arial" w:hAnsi="Arial"/>
          <w:sz w:val="20"/>
          <w:szCs w:val="20"/>
        </w:rPr>
        <w:t xml:space="preserve">Tool Layer — 6 FastAPI microservices (T1–T6) + async MILP solver</w:t>
      </w:r>
    </w:p>
    <w:p>
      <w:pPr>
        <w:pStyle w:val="ListParagraph"/>
        <w:numPr>
          <w:ilvl w:val="0"/>
          <w:numId w:val="2"/>
        </w:numPr>
        <w:spacing w:after="40" w:before="40"/>
      </w:pPr>
      <w:r>
        <w:rPr>
          <w:rFonts w:ascii="Arial" w:cs="Arial" w:eastAsia="Arial" w:hAnsi="Arial"/>
          <w:sz w:val="20"/>
          <w:szCs w:val="20"/>
        </w:rPr>
        <w:t xml:space="preserve">Data Layer — Parquet lakehouse + PostgreSQL metadata store + vector store (RAG)</w:t>
      </w:r>
    </w:p>
    <w:p>
      <w:pPr>
        <w:pStyle w:val="ListParagraph"/>
        <w:numPr>
          <w:ilvl w:val="0"/>
          <w:numId w:val="2"/>
        </w:numPr>
        <w:spacing w:after="40" w:before="40"/>
      </w:pPr>
      <w:r>
        <w:rPr>
          <w:rFonts w:ascii="Arial" w:cs="Arial" w:eastAsia="Arial" w:hAnsi="Arial"/>
          <w:sz w:val="20"/>
          <w:szCs w:val="20"/>
        </w:rPr>
        <w:t xml:space="preserve">Model Layer — pkl bundles (PoAPP, PoA/PoC GBM, PoF RSF) + SHAP cache + HiGHS solver</w:t>
      </w:r>
    </w:p>
    <w:p>
      <w:pPr>
        <w:pStyle w:val="ListParagraph"/>
        <w:numPr>
          <w:ilvl w:val="0"/>
          <w:numId w:val="2"/>
        </w:numPr>
        <w:spacing w:after="40" w:before="40"/>
      </w:pPr>
      <w:r>
        <w:rPr>
          <w:rFonts w:ascii="Arial" w:cs="Arial" w:eastAsia="Arial" w:hAnsi="Arial"/>
          <w:sz w:val="20"/>
          <w:szCs w:val="20"/>
        </w:rPr>
        <w:t xml:space="preserve">Governance Layer — full audit log, prompt logging, tool-call logging, RBAC</w:t>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3.2  The Six Agent Tools (T1–T6)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200"/>
        <w:gridCol w:w="2200"/>
        <w:gridCol w:w="2460"/>
      </w:tblGrid>
      <w:tr>
        <w:trPr>
          <w:tblHeader/>
        </w:trPr>
        <w:tc>
          <w:tcPr>
            <w:tcW w:type="dxa" w:w="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ID</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Tool Name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Input</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Output</w:t>
            </w:r>
          </w:p>
        </w:tc>
        <w:tc>
          <w:tcPr>
            <w:tcW w:type="dxa" w:w="24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Data Sources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BorrowerLookupTool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CustomerCode or SettlementCode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Profile, balance, flags, predicted probabilities, current offer</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DatasetSettlements, DatasetAccounts, prescored_borrower_offer_grid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OfferOptimiserTool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CustomerCode, optional constraints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Optimal RR, installments, EV, MIP gap, offer grid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prescored_borrower_offer_grid, recommended_offers_3l_v3, HiGHS solver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PortfolioAnalyticsTool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 range, segment filters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KPIs, trends, drift metrics, EV vs actuals</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monitoring_baselines, CRM, recommended_offers_3l_v3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FrontierAnalyserTool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Constraint set (P(Fulfill) floor, RR cap)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EV impact, risk metrics, frontier curve data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efficient_frontier_3l_v3, prescored_borrower_offer_grid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ModelMonitoringTool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Model name, date range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Drift metrics, PSI, calibration scores, vintage flags</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monitoring_baselines, model bundles metadata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ExplainerTool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CustomerCode, offer, model 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Top SHAP features, confidence intervals, OOS flags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SHAP cache, prescored_borrower_offer_grid</w:t>
            </w:r>
          </w:p>
        </w:tc>
      </w:tr>
    </w:tbl>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3.3  Data Flow Architecture</w:t>
      </w:r>
    </w:p>
    <w:p>
      <w:pPr>
        <w:pStyle w:val="Heading3"/>
        <w:spacing w:after="80" w:before="180"/>
      </w:pPr>
      <w:r>
        <w:rPr>
          <w:rFonts w:ascii="Arial" w:cs="Arial" w:eastAsia="Arial" w:hAnsi="Arial"/>
          <w:b/>
          <w:bCs/>
          <w:color w:val="1B3A6B"/>
          <w:sz w:val="22"/>
          <w:szCs w:val="22"/>
        </w:rPr>
        <w:t xml:space="preserve">Synchronous Path (Single Borrower Query &lt; 3s)</w:t>
      </w:r>
    </w:p>
    <w:p>
      <w:pPr>
        <w:pStyle w:val="ListParagraph"/>
        <w:numPr>
          <w:ilvl w:val="0"/>
          <w:numId w:val="3"/>
        </w:numPr>
        <w:spacing w:after="40" w:before="40"/>
      </w:pPr>
      <w:r>
        <w:rPr>
          <w:rFonts w:ascii="Arial" w:cs="Arial" w:eastAsia="Arial" w:hAnsi="Arial"/>
          <w:sz w:val="20"/>
          <w:szCs w:val="20"/>
        </w:rPr>
        <w:t xml:space="preserve">User submits natural language query via Chat UI</w:t>
      </w:r>
    </w:p>
    <w:p>
      <w:pPr>
        <w:pStyle w:val="ListParagraph"/>
        <w:numPr>
          <w:ilvl w:val="0"/>
          <w:numId w:val="3"/>
        </w:numPr>
        <w:spacing w:after="40" w:before="40"/>
      </w:pPr>
      <w:r>
        <w:rPr>
          <w:rFonts w:ascii="Arial" w:cs="Arial" w:eastAsia="Arial" w:hAnsi="Arial"/>
          <w:sz w:val="20"/>
          <w:szCs w:val="20"/>
        </w:rPr>
        <w:t xml:space="preserve">Query hits FastAPI Agent Gateway (auth, rate limit, PII scrub)</w:t>
      </w:r>
    </w:p>
    <w:p>
      <w:pPr>
        <w:pStyle w:val="ListParagraph"/>
        <w:numPr>
          <w:ilvl w:val="0"/>
          <w:numId w:val="3"/>
        </w:numPr>
        <w:spacing w:after="40" w:before="40"/>
      </w:pPr>
      <w:r>
        <w:rPr>
          <w:rFonts w:ascii="Arial" w:cs="Arial" w:eastAsia="Arial" w:hAnsi="Arial"/>
          <w:sz w:val="20"/>
          <w:szCs w:val="20"/>
        </w:rPr>
        <w:t xml:space="preserve">LangGraph workflow engine receives sanitised query</w:t>
      </w:r>
    </w:p>
    <w:p>
      <w:pPr>
        <w:pStyle w:val="ListParagraph"/>
        <w:numPr>
          <w:ilvl w:val="0"/>
          <w:numId w:val="3"/>
        </w:numPr>
        <w:spacing w:after="40" w:before="40"/>
      </w:pPr>
      <w:r>
        <w:rPr>
          <w:rFonts w:ascii="Arial" w:cs="Arial" w:eastAsia="Arial" w:hAnsi="Arial"/>
          <w:sz w:val="20"/>
          <w:szCs w:val="20"/>
        </w:rPr>
        <w:t xml:space="preserve">LLM (Claude Sonnet) analyses intent and selects tool(s) via function-calling</w:t>
      </w:r>
    </w:p>
    <w:p>
      <w:pPr>
        <w:pStyle w:val="ListParagraph"/>
        <w:numPr>
          <w:ilvl w:val="0"/>
          <w:numId w:val="3"/>
        </w:numPr>
        <w:spacing w:after="40" w:before="40"/>
      </w:pPr>
      <w:r>
        <w:rPr>
          <w:rFonts w:ascii="Arial" w:cs="Arial" w:eastAsia="Arial" w:hAnsi="Arial"/>
          <w:sz w:val="20"/>
          <w:szCs w:val="20"/>
        </w:rPr>
        <w:t xml:space="preserve">Guardrail layer pre-validates borrower flags — blocks if necessary</w:t>
      </w:r>
    </w:p>
    <w:p>
      <w:pPr>
        <w:pStyle w:val="ListParagraph"/>
        <w:numPr>
          <w:ilvl w:val="0"/>
          <w:numId w:val="3"/>
        </w:numPr>
        <w:spacing w:after="40" w:before="40"/>
      </w:pPr>
      <w:r>
        <w:rPr>
          <w:rFonts w:ascii="Arial" w:cs="Arial" w:eastAsia="Arial" w:hAnsi="Arial"/>
          <w:sz w:val="20"/>
          <w:szCs w:val="20"/>
        </w:rPr>
        <w:t xml:space="preserve">Selected tools execute against data layer (&lt; 100ms for pre-computed data)</w:t>
      </w:r>
    </w:p>
    <w:p>
      <w:pPr>
        <w:pStyle w:val="ListParagraph"/>
        <w:numPr>
          <w:ilvl w:val="0"/>
          <w:numId w:val="3"/>
        </w:numPr>
        <w:spacing w:after="40" w:before="40"/>
      </w:pPr>
      <w:r>
        <w:rPr>
          <w:rFonts w:ascii="Arial" w:cs="Arial" w:eastAsia="Arial" w:hAnsi="Arial"/>
          <w:sz w:val="20"/>
          <w:szCs w:val="20"/>
        </w:rPr>
        <w:t xml:space="preserve">If MILP required: HiGHS solver runs single-borrower optimisation (~1–2s)</w:t>
      </w:r>
    </w:p>
    <w:p>
      <w:pPr>
        <w:pStyle w:val="ListParagraph"/>
        <w:numPr>
          <w:ilvl w:val="0"/>
          <w:numId w:val="3"/>
        </w:numPr>
        <w:spacing w:after="40" w:before="40"/>
      </w:pPr>
      <w:r>
        <w:rPr>
          <w:rFonts w:ascii="Arial" w:cs="Arial" w:eastAsia="Arial" w:hAnsi="Arial"/>
          <w:sz w:val="20"/>
          <w:szCs w:val="20"/>
        </w:rPr>
        <w:t xml:space="preserve">SHAP cache checked; if miss, explainer runs against cached pkl model</w:t>
      </w:r>
    </w:p>
    <w:p>
      <w:pPr>
        <w:pStyle w:val="ListParagraph"/>
        <w:numPr>
          <w:ilvl w:val="0"/>
          <w:numId w:val="3"/>
        </w:numPr>
        <w:spacing w:after="40" w:before="40"/>
      </w:pPr>
      <w:r>
        <w:rPr>
          <w:rFonts w:ascii="Arial" w:cs="Arial" w:eastAsia="Arial" w:hAnsi="Arial"/>
          <w:sz w:val="20"/>
          <w:szCs w:val="20"/>
        </w:rPr>
        <w:t xml:space="preserve">LLM synthesises tool outputs into structured natural-language response</w:t>
      </w:r>
    </w:p>
    <w:p>
      <w:pPr>
        <w:pStyle w:val="ListParagraph"/>
        <w:numPr>
          <w:ilvl w:val="0"/>
          <w:numId w:val="3"/>
        </w:numPr>
        <w:spacing w:after="40" w:before="40"/>
      </w:pPr>
      <w:r>
        <w:rPr>
          <w:rFonts w:ascii="Arial" w:cs="Arial" w:eastAsia="Arial" w:hAnsi="Arial"/>
          <w:sz w:val="20"/>
          <w:szCs w:val="20"/>
        </w:rPr>
        <w:t xml:space="preserve">Response includes model version, confidence intervals, vintage flag, audit token</w:t>
      </w:r>
    </w:p>
    <w:p>
      <w:pPr>
        <w:pStyle w:val="ListParagraph"/>
        <w:numPr>
          <w:ilvl w:val="0"/>
          <w:numId w:val="3"/>
        </w:numPr>
        <w:spacing w:after="40" w:before="40"/>
      </w:pPr>
      <w:r>
        <w:rPr>
          <w:rFonts w:ascii="Arial" w:cs="Arial" w:eastAsia="Arial" w:hAnsi="Arial"/>
          <w:sz w:val="20"/>
          <w:szCs w:val="20"/>
        </w:rPr>
        <w:t xml:space="preserve">Audit log writes: user_id, tool_calls, inputs, outputs, LLM prompt+response, timestamp</w:t>
      </w:r>
    </w:p>
    <w:p>
      <w:pPr>
        <w:pStyle w:val="ListParagraph"/>
        <w:numPr>
          <w:ilvl w:val="0"/>
          <w:numId w:val="3"/>
        </w:numPr>
        <w:spacing w:after="40" w:before="40"/>
      </w:pPr>
      <w:r>
        <w:rPr>
          <w:rFonts w:ascii="Arial" w:cs="Arial" w:eastAsia="Arial" w:hAnsi="Arial"/>
          <w:sz w:val="20"/>
          <w:szCs w:val="20"/>
        </w:rPr>
        <w:t xml:space="preserve">Response rendered in Chat UI with structured tables + download option</w:t>
      </w:r>
    </w:p>
    <w:p>
      <w:pPr>
        <w:spacing w:after="0" w:before="0"/>
      </w:pPr>
      <w:r>
        <w:rPr>
          <w:rFonts w:ascii="Arial" w:cs="Arial" w:eastAsia="Arial" w:hAnsi="Arial"/>
        </w:rPr>
        <w:t xml:space="preserve"/>
      </w:r>
    </w:p>
    <w:p>
      <w:pPr>
        <w:pStyle w:val="Heading3"/>
        <w:spacing w:after="80" w:before="180"/>
      </w:pPr>
      <w:r>
        <w:rPr>
          <w:rFonts w:ascii="Arial" w:cs="Arial" w:eastAsia="Arial" w:hAnsi="Arial"/>
          <w:b/>
          <w:bCs/>
          <w:color w:val="1B3A6B"/>
          <w:sz w:val="22"/>
          <w:szCs w:val="22"/>
        </w:rPr>
        <w:t xml:space="preserve">Asynchronous Path (Portfolio-Wide Analysis)</w:t>
      </w:r>
    </w:p>
    <w:p>
      <w:pPr>
        <w:spacing w:after="80" w:before="80"/>
      </w:pPr>
      <w:r>
        <w:rPr>
          <w:rFonts w:ascii="Arial" w:cs="Arial" w:eastAsia="Arial" w:hAnsi="Arial"/>
          <w:b w:val="false"/>
          <w:bCs w:val="false"/>
          <w:color w:val="000000"/>
          <w:sz w:val="20"/>
          <w:szCs w:val="20"/>
        </w:rPr>
        <w:t xml:space="preserve">For queries requiring portfolio-wide MILP re-optimisation (e.g. efficient frontier recalculation with new constraints), the agent submits a job to the async queue.  A webhook notifies the user when results are ready, with a progress indicator in the UI.  Expected turnaround: 5–30 minutes depending on sub-portfolio size.</w:t>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3.4  Multi-Turn Reasoning Example</w:t>
      </w:r>
    </w:p>
    <w:p>
      <w:pPr>
        <w:spacing w:after="80" w:before="80"/>
      </w:pPr>
      <w:r>
        <w:rPr>
          <w:rFonts w:ascii="Arial" w:cs="Arial" w:eastAsia="Arial" w:hAnsi="Arial"/>
          <w:b w:val="false"/>
          <w:bCs w:val="false"/>
          <w:color w:val="000000"/>
          <w:sz w:val="20"/>
          <w:szCs w:val="20"/>
        </w:rPr>
        <w:t xml:space="preserve">Example: 'Show me the top 5 borrowers where switching from 2 installments to 1 installment would gain the most EV.'</w:t>
      </w:r>
    </w:p>
    <w:p>
      <w:pPr>
        <w:pStyle w:val="ListParagraph"/>
        <w:numPr>
          <w:ilvl w:val="0"/>
          <w:numId w:val="2"/>
        </w:numPr>
        <w:spacing w:after="40" w:before="40"/>
      </w:pPr>
      <w:r>
        <w:rPr>
          <w:rFonts w:ascii="Arial" w:cs="Arial" w:eastAsia="Arial" w:hAnsi="Arial"/>
          <w:sz w:val="20"/>
          <w:szCs w:val="20"/>
        </w:rPr>
        <w:t xml:space="preserve">Turn 1 intent: Agent recognises multi-step reasoning requirement</w:t>
      </w:r>
    </w:p>
    <w:p>
      <w:pPr>
        <w:pStyle w:val="ListParagraph"/>
        <w:numPr>
          <w:ilvl w:val="0"/>
          <w:numId w:val="2"/>
        </w:numPr>
        <w:spacing w:after="40" w:before="40"/>
      </w:pPr>
      <w:r>
        <w:rPr>
          <w:rFonts w:ascii="Arial" w:cs="Arial" w:eastAsia="Arial" w:hAnsi="Arial"/>
          <w:sz w:val="20"/>
          <w:szCs w:val="20"/>
        </w:rPr>
        <w:t xml:space="preserve">Step 1 → T3 (PortfolioAnalyticsTool): retrieve active borrowers with current 2-installment assignments</w:t>
      </w:r>
    </w:p>
    <w:p>
      <w:pPr>
        <w:pStyle w:val="ListParagraph"/>
        <w:numPr>
          <w:ilvl w:val="0"/>
          <w:numId w:val="2"/>
        </w:numPr>
        <w:spacing w:after="40" w:before="40"/>
      </w:pPr>
      <w:r>
        <w:rPr>
          <w:rFonts w:ascii="Arial" w:cs="Arial" w:eastAsia="Arial" w:hAnsi="Arial"/>
          <w:sz w:val="20"/>
          <w:szCs w:val="20"/>
        </w:rPr>
        <w:t xml:space="preserve">Step 2 → T2 (OfferOptimiserTool): batch-query EV for 1-installment alternative for each candidate</w:t>
      </w:r>
    </w:p>
    <w:p>
      <w:pPr>
        <w:pStyle w:val="ListParagraph"/>
        <w:numPr>
          <w:ilvl w:val="0"/>
          <w:numId w:val="2"/>
        </w:numPr>
        <w:spacing w:after="40" w:before="40"/>
      </w:pPr>
      <w:r>
        <w:rPr>
          <w:rFonts w:ascii="Arial" w:cs="Arial" w:eastAsia="Arial" w:hAnsi="Arial"/>
          <w:sz w:val="20"/>
          <w:szCs w:val="20"/>
        </w:rPr>
        <w:t xml:space="preserve">Step 3 → Sort by EV delta descending; take top 5</w:t>
      </w:r>
    </w:p>
    <w:p>
      <w:pPr>
        <w:pStyle w:val="ListParagraph"/>
        <w:numPr>
          <w:ilvl w:val="0"/>
          <w:numId w:val="2"/>
        </w:numPr>
        <w:spacing w:after="40" w:before="40"/>
      </w:pPr>
      <w:r>
        <w:rPr>
          <w:rFonts w:ascii="Arial" w:cs="Arial" w:eastAsia="Arial" w:hAnsi="Arial"/>
          <w:sz w:val="20"/>
          <w:szCs w:val="20"/>
        </w:rPr>
        <w:t xml:space="preserve">Step 4 → T6 (ExplainerTool): surface key SHAP drivers for each switch recommendation</w:t>
      </w:r>
    </w:p>
    <w:p>
      <w:pPr>
        <w:pStyle w:val="ListParagraph"/>
        <w:numPr>
          <w:ilvl w:val="0"/>
          <w:numId w:val="2"/>
        </w:numPr>
        <w:spacing w:after="40" w:before="40"/>
      </w:pPr>
      <w:r>
        <w:rPr>
          <w:rFonts w:ascii="Arial" w:cs="Arial" w:eastAsia="Arial" w:hAnsi="Arial"/>
          <w:sz w:val="20"/>
          <w:szCs w:val="20"/>
        </w:rPr>
        <w:t xml:space="preserve">Response: ranked table with borrower IDs, current EV, projected EV, delta, and top explanatory feature</w:t>
      </w:r>
    </w:p>
    <w:p>
      <w:r>
        <w:br w:type="page"/>
      </w:r>
    </w:p>
    <w:p>
      <w:pPr>
        <w:pStyle w:val="Heading1"/>
        <w:spacing w:after="160" w:before="320"/>
      </w:pPr>
      <w:r>
        <w:rPr>
          <w:rFonts w:ascii="Arial" w:cs="Arial" w:eastAsia="Arial" w:hAnsi="Arial"/>
          <w:b/>
          <w:bCs/>
          <w:color w:val="1B3A6B"/>
          <w:sz w:val="32"/>
          <w:szCs w:val="32"/>
        </w:rPr>
        <w:t xml:space="preserve">4. Technology Stack Recommendations</w:t>
      </w:r>
    </w:p>
    <w:p>
      <w:pPr>
        <w:pBdr>
          <w:bottom w:val="single" w:color="2E75B6" w:sz="6" w:space="1"/>
        </w:pBdr>
        <w:spacing w:after="120" w:before="120"/>
      </w:pPr>
      <w:r>
        <w:rPr>
          <w:rFonts w:ascii="Arial" w:cs="Arial" w:eastAsia="Arial" w:hAnsi="Arial"/>
        </w:rPr>
        <w:t xml:space="preserve"/>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4.1  Full Stack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Layer</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Recommended Technology</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Alternative</w:t>
            </w:r>
          </w:p>
        </w:tc>
        <w:tc>
          <w:tcPr>
            <w:tcW w:type="dxa" w:w="2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LLM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Claude Sonnet 4.x (Anthropic)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GPT-4o (OpenAI)</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Superior function-calling reliability, built-in uncertainty signalling, strong numerical reasoning, GDPR data residency options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Agent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LangGraph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LangChain / CrewAI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LangGraph's stateful graph execution gives precise control over multi-step workflows, critical for compliance-governed financial agents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API Gateway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FastAPI + Pydantic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Django REST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Async-native, typed tool schemas, sub-millisecond overhead, ideal for agentic microservices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MILP Solver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HiGHS (single borrower), OR-Tools / Pyomo (batch)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GLPK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HiGHS is fastest open-source MILP solver; sub-2s for single-borrower; MIP gap directly surfaced to agent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Explainability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SHAP (TreeExplainer for GBM, KernelExplainer for RSF)</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LIME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SHAP values are additive and auditable; pre-compute at score time and cache per borrower per cycle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ML Model Serving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Custom FastAPI pkl loader + SHAP 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MLflow / BentoML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Client uses open-source batch pkl bundles; lightweight custom serving avoids platform lock-in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Vector Store (RAG)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pgvector (PostgreSQL extension)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Pinecone / Weaviate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Colocates with existing PostgreSQL; no additional managed service; sufficient for document corpus size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Data Format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Apache Parquet + DuckDB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PostgreSQL tables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Parquet is the existing format; DuckDB provides in-process SQL on Parquet with &lt; 50ms query latency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Cloud Platform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Azure (assumed) — Azure Blob Storage + AKS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AWS S3 + EKS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Client likely uses Azure; AKS provides managed Kubernetes for tool microservices; Azure AD for RBAC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React + Next.js + AG Grid + Recharts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Streamlit (MVP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Production-grade UI; AG Grid for tabular data export; Recharts for frontier visualisation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Secondary Interface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Slack Bot (Bolt SDK)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Teams Bot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Quick KPI lookups and alerts for collections team without opening the full UI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Audit &amp; Logging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PostgreSQL structured audit log + Azure Monitor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Elasticsearch + Kibana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Every tool call, input, output, LLM prompt, and response stored with immutable audit token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Model Monitoring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Evidently AI (open-source) + custom PSI calculator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WhyLabs / Arize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Evidently integrates with existing Python stack; produces HTML drift reports compatible with RAG ingestion</w:t>
            </w:r>
          </w:p>
        </w:tc>
      </w:tr>
    </w:tbl>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4.2  Why LangGraph Over LangChain</w:t>
      </w:r>
    </w:p>
    <w:p>
      <w:pPr>
        <w:spacing w:after="80" w:before="80"/>
      </w:pPr>
      <w:r>
        <w:rPr>
          <w:rFonts w:ascii="Arial" w:cs="Arial" w:eastAsia="Arial" w:hAnsi="Arial"/>
          <w:b w:val="false"/>
          <w:bCs w:val="false"/>
          <w:color w:val="000000"/>
          <w:sz w:val="20"/>
          <w:szCs w:val="20"/>
        </w:rPr>
        <w:t xml:space="preserve">LangGraph models the agent workflow as a directed graph with typed state nodes.  This gives three critical advantages for a compliance-governed financial agent:</w:t>
      </w:r>
    </w:p>
    <w:p>
      <w:pPr>
        <w:pStyle w:val="ListParagraph"/>
        <w:numPr>
          <w:ilvl w:val="0"/>
          <w:numId w:val="2"/>
        </w:numPr>
        <w:spacing w:after="40" w:before="40"/>
      </w:pPr>
      <w:r>
        <w:rPr>
          <w:rFonts w:ascii="Arial" w:cs="Arial" w:eastAsia="Arial" w:hAnsi="Arial"/>
          <w:sz w:val="20"/>
          <w:szCs w:val="20"/>
        </w:rPr>
        <w:t xml:space="preserve">Deterministic routing — guardrail nodes execute as hardcoded graph edges, not as LLM prompt logic.  A deceased borrower flag routes to the BLOCK node unconditionally.</w:t>
      </w:r>
    </w:p>
    <w:p>
      <w:pPr>
        <w:pStyle w:val="ListParagraph"/>
        <w:numPr>
          <w:ilvl w:val="0"/>
          <w:numId w:val="2"/>
        </w:numPr>
        <w:spacing w:after="40" w:before="40"/>
      </w:pPr>
      <w:r>
        <w:rPr>
          <w:rFonts w:ascii="Arial" w:cs="Arial" w:eastAsia="Arial" w:hAnsi="Arial"/>
          <w:sz w:val="20"/>
          <w:szCs w:val="20"/>
        </w:rPr>
        <w:t xml:space="preserve">Auditability — every node transition is logged with its input/output state, producing a complete reconstruction path for compliance reviewers.</w:t>
      </w:r>
    </w:p>
    <w:p>
      <w:pPr>
        <w:pStyle w:val="ListParagraph"/>
        <w:numPr>
          <w:ilvl w:val="0"/>
          <w:numId w:val="2"/>
        </w:numPr>
        <w:spacing w:after="40" w:before="40"/>
      </w:pPr>
      <w:r>
        <w:rPr>
          <w:rFonts w:ascii="Arial" w:cs="Arial" w:eastAsia="Arial" w:hAnsi="Arial"/>
          <w:sz w:val="20"/>
          <w:szCs w:val="20"/>
        </w:rPr>
        <w:t xml:space="preserve">Controlled multi-turn context — the graph state object carries conversation history, tool outputs, and active constraints explicitly, preventing context drift across turns.</w:t>
      </w:r>
    </w:p>
    <w:p>
      <w:r>
        <w:br w:type="page"/>
      </w:r>
    </w:p>
    <w:p>
      <w:pPr>
        <w:pStyle w:val="Heading1"/>
        <w:spacing w:after="160" w:before="320"/>
      </w:pPr>
      <w:r>
        <w:rPr>
          <w:rFonts w:ascii="Arial" w:cs="Arial" w:eastAsia="Arial" w:hAnsi="Arial"/>
          <w:b/>
          <w:bCs/>
          <w:color w:val="1B3A6B"/>
          <w:sz w:val="32"/>
          <w:szCs w:val="32"/>
        </w:rPr>
        <w:t xml:space="preserve">5. Detailed Development Roadmap</w:t>
      </w:r>
    </w:p>
    <w:p>
      <w:pPr>
        <w:pBdr>
          <w:bottom w:val="single" w:color="2E75B6" w:sz="6" w:space="1"/>
        </w:pBdr>
        <w:spacing w:after="120" w:before="120"/>
      </w:pPr>
      <w:r>
        <w:rPr>
          <w:rFonts w:ascii="Arial" w:cs="Arial" w:eastAsia="Arial" w:hAnsi="Arial"/>
        </w:rPr>
        <w:t xml:space="preserve"/>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Phase 1 — Foundation &amp; Read-Only Intelligence (Weeks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00"/>
              <w:bottom w:type="dxa" w:w="140"/>
              <w:right w:type="dxa" w:w="200"/>
            </w:tcMar>
          </w:tcPr>
          <w:p>
            <w:pPr>
              <w:spacing w:after="0" w:before="0"/>
            </w:pPr>
            <w:r>
              <w:rPr>
                <w:rFonts w:ascii="Arial" w:cs="Arial" w:eastAsia="Arial" w:hAnsi="Arial"/>
                <w:color w:val="1B3A6B"/>
                <w:sz w:val="20"/>
                <w:szCs w:val="20"/>
              </w:rPr>
              <w:t xml:space="preserve">Objective: Prove the conversational interface against pre-computed outputs, with zero risk of touching the solver.  Delivers immediate analyst value on Day 1 of deployment.</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000"/>
        <w:gridCol w:w="3000"/>
        <w:gridCol w:w="2580"/>
      </w:tblGrid>
      <w:tr>
        <w:trPr>
          <w:tblHeader/>
        </w:trPr>
        <w:tc>
          <w:tcPr>
            <w:tcW w:type="dxa" w:w="7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Week</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Deliverable</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Technical Work</w:t>
            </w:r>
          </w:p>
        </w:tc>
        <w:tc>
          <w:tcPr>
            <w:tcW w:type="dxa" w:w="25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Acceptance Criteria</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Data Layer Setup + T1 BorrowerLookupTool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DuckDB over Parquet files; schema validation; PII masking; T1 FastAPI endpoint</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Borrower lookup returns profile in &lt; 100ms; all guardrail flags correctly surfaced</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T3 PortfolioAnalyticsTool + monitoring_baselines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KPI aggregation queries; drift metric calculation; EV vs actuals computation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Portfolio KPIs accurate to &lt; 0.1% vs manual notebook run</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3–4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Agent Layer — LangGraph workflow + Claude Sonnet integration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Tool routing graph; guardrail nodes; conversation memory; prompt templates</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Agent correctly routes borrower and portfolio queries to T1/T3; guardrails block deceased/legal-entity</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4–5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Streamlit MVP Chat UI + Audit Logging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Chat interface; structured audit log schema; session management</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End-to-end query resolves in &lt; 3s; audit log captures all tool calls with reconstruction token</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5–6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T5 ModelMonitoringTool + internal testing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PSI calculator; calibration checks; drift alerts; UAT with 3 analysts</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Drift alerts correctly fire on seeded test data; 90%+ analyst satisfaction in UAT</w:t>
            </w:r>
          </w:p>
        </w:tc>
      </w:tr>
    </w:tbl>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Phase 2 — On-Demand Optimisation (Weeks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00"/>
              <w:bottom w:type="dxa" w:w="140"/>
              <w:right w:type="dxa" w:w="200"/>
            </w:tcMar>
          </w:tcPr>
          <w:p>
            <w:pPr>
              <w:spacing w:after="0" w:before="0"/>
            </w:pPr>
            <w:r>
              <w:rPr>
                <w:rFonts w:ascii="Arial" w:cs="Arial" w:eastAsia="Arial" w:hAnsi="Arial"/>
                <w:color w:val="1B3A6B"/>
                <w:sz w:val="20"/>
                <w:szCs w:val="20"/>
              </w:rPr>
              <w:t xml:space="preserve">Objective: Enable 'what is the right offer for this customer today' queries — on-demand MILP scoring between monthly batch cycles, dramatically reducing decision latency.</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000"/>
        <w:gridCol w:w="3000"/>
        <w:gridCol w:w="2580"/>
      </w:tblGrid>
      <w:tr>
        <w:trPr>
          <w:tblHeader/>
        </w:trPr>
        <w:tc>
          <w:tcPr>
            <w:tcW w:type="dxa" w:w="7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Week</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Deliverable</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Technical Work</w:t>
            </w:r>
          </w:p>
        </w:tc>
        <w:tc>
          <w:tcPr>
            <w:tcW w:type="dxa" w:w="25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Acceptance Criteria</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7–8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T2 OfferOptimiserTool — single-borrower MILP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HiGHS solver integration; async job queue for batch; MIP gap reporting; offer grid cache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Single-borrower optimisation completes in &lt; 2s; MIP gap &lt; 0.1%; results match monthly batch within 0.5%</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8–9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Counterfactual Analysis &amp; Offer Grid Inspection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EV delta computation; installment comparison API; constraint override interface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Counterfactual queries return accurate EV delta; constraints correctly applied</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9–10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React/Next.js Production UI + Slack Bot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Replace Streamlit; AG Grid integration; Recharts; Slack Bolt SDK; webhook notifications</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UI load time &lt; 2s; Slack bot responds to KPI queries in &lt; 5s; AG Grid export to Parquet working</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Security hardening + Phase 2 UAT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RBAC enforcement; API key rotation; penetration test scope; load testing (100 concurrent users)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Zero critical security findings; 100 concurrent users at &lt; 3s P95 response time</w:t>
            </w:r>
          </w:p>
        </w:tc>
      </w:tr>
    </w:tbl>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Phase 3 — Full Intelligence Platform (Weeks 11–14)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00"/>
              <w:bottom w:type="dxa" w:w="140"/>
              <w:right w:type="dxa" w:w="200"/>
            </w:tcMar>
          </w:tcPr>
          <w:p>
            <w:pPr>
              <w:spacing w:after="0" w:before="0"/>
            </w:pPr>
            <w:r>
              <w:rPr>
                <w:rFonts w:ascii="Arial" w:cs="Arial" w:eastAsia="Arial" w:hAnsi="Arial"/>
                <w:color w:val="1B3A6B"/>
                <w:sz w:val="20"/>
                <w:szCs w:val="20"/>
              </w:rPr>
              <w:t xml:space="preserve">Objective: Complete the agent capability with scenario analysis, explainability, and document intelligence — making the system fully self-contained for quant and compliance teams.</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000"/>
        <w:gridCol w:w="3000"/>
        <w:gridCol w:w="2580"/>
      </w:tblGrid>
      <w:tr>
        <w:trPr>
          <w:tblHeader/>
        </w:trPr>
        <w:tc>
          <w:tcPr>
            <w:tcW w:type="dxa" w:w="7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Week</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Deliverable</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Technical Work</w:t>
            </w:r>
          </w:p>
        </w:tc>
        <w:tc>
          <w:tcPr>
            <w:tcW w:type="dxa" w:w="25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Acceptance Criteria</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T4 FrontierAnalyserTool + scenario simulation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Constraint application engine; efficient frontier data API; EV impact modelling</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Frontier recalculation with P(Fulfill) constraint matches offline notebook within 1%</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T6 ExplainerTool — SHAP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SHAP cache warm-up at score time; top-N feature extraction; out-of-distribution detection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SHAP explanations match standalone SHAP library outputs exactly; OOS flag correctly fires</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RAG Layer — document intelligence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pgvector indexing; model documentation + policy ingestion; semantic search; citation generation</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RAG retrieves correct policy clause for 95%+ of policy-related queries in test set</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Production hardening + full UAT + go-live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End-to-end regression; compliance review; disaster recovery test; go-live runbook</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All acceptance criteria from Phases 1–3 pass; compliance sign-off obtained</w:t>
            </w:r>
          </w:p>
        </w:tc>
      </w:tr>
    </w:tbl>
    <w:p>
      <w:r>
        <w:br w:type="page"/>
      </w:r>
    </w:p>
    <w:p>
      <w:pPr>
        <w:pStyle w:val="Heading1"/>
        <w:spacing w:after="160" w:before="320"/>
      </w:pPr>
      <w:r>
        <w:rPr>
          <w:rFonts w:ascii="Arial" w:cs="Arial" w:eastAsia="Arial" w:hAnsi="Arial"/>
          <w:b/>
          <w:bCs/>
          <w:color w:val="1B3A6B"/>
          <w:sz w:val="32"/>
          <w:szCs w:val="32"/>
        </w:rPr>
        <w:t xml:space="preserve">6. AI Implementation Guide</w:t>
      </w:r>
    </w:p>
    <w:p>
      <w:pPr>
        <w:pBdr>
          <w:bottom w:val="single" w:color="2E75B6" w:sz="6" w:space="1"/>
        </w:pBdr>
        <w:spacing w:after="120" w:before="120"/>
      </w:pPr>
      <w:r>
        <w:rPr>
          <w:rFonts w:ascii="Arial" w:cs="Arial" w:eastAsia="Arial" w:hAnsi="Arial"/>
        </w:rPr>
        <w:t xml:space="preserve"/>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6.1  AI Architecture</w:t>
      </w:r>
    </w:p>
    <w:p>
      <w:pPr>
        <w:spacing w:after="80" w:before="80"/>
      </w:pPr>
      <w:r>
        <w:rPr>
          <w:rFonts w:ascii="Arial" w:cs="Arial" w:eastAsia="Arial" w:hAnsi="Arial"/>
          <w:b w:val="false"/>
          <w:bCs w:val="false"/>
          <w:color w:val="000000"/>
          <w:sz w:val="20"/>
          <w:szCs w:val="20"/>
        </w:rPr>
        <w:t xml:space="preserve">The AI layer follows a Retrieval-Augmented Generation (RAG) + Tool-Use hybrid pattern.  The LLM is never the source of truth — it is the orchestration intelligence that selects tools, synthesises outputs, and expresses uncertainty appropriately.</w:t>
      </w:r>
    </w:p>
    <w:p>
      <w:pPr>
        <w:spacing w:after="0" w:before="0"/>
      </w:pPr>
      <w:r>
        <w:rPr>
          <w:rFonts w:ascii="Arial" w:cs="Arial" w:eastAsia="Arial" w:hAnsi="Arial"/>
        </w:rPr>
        <w:t xml:space="preserve"/>
      </w:r>
    </w:p>
    <w:p>
      <w:pPr>
        <w:pStyle w:val="Heading3"/>
        <w:spacing w:after="80" w:before="180"/>
      </w:pPr>
      <w:r>
        <w:rPr>
          <w:rFonts w:ascii="Arial" w:cs="Arial" w:eastAsia="Arial" w:hAnsi="Arial"/>
          <w:b/>
          <w:bCs/>
          <w:color w:val="1B3A6B"/>
          <w:sz w:val="22"/>
          <w:szCs w:val="22"/>
        </w:rPr>
        <w:t xml:space="preserve">Agent State Machine (LangGraph Nodes)</w:t>
      </w:r>
    </w:p>
    <w:p>
      <w:pPr>
        <w:pStyle w:val="ListParagraph"/>
        <w:numPr>
          <w:ilvl w:val="0"/>
          <w:numId w:val="2"/>
        </w:numPr>
        <w:spacing w:after="40" w:before="40"/>
      </w:pPr>
      <w:r>
        <w:rPr>
          <w:rFonts w:ascii="Arial" w:cs="Arial" w:eastAsia="Arial" w:hAnsi="Arial"/>
          <w:sz w:val="20"/>
          <w:szCs w:val="20"/>
        </w:rPr>
        <w:t xml:space="preserve">INTAKE: receive and sanitise user query; detect intent category (portfolio / settlement / frontier / policy)</w:t>
      </w:r>
    </w:p>
    <w:p>
      <w:pPr>
        <w:pStyle w:val="ListParagraph"/>
        <w:numPr>
          <w:ilvl w:val="0"/>
          <w:numId w:val="2"/>
        </w:numPr>
        <w:spacing w:after="40" w:before="40"/>
      </w:pPr>
      <w:r>
        <w:rPr>
          <w:rFonts w:ascii="Arial" w:cs="Arial" w:eastAsia="Arial" w:hAnsi="Arial"/>
          <w:sz w:val="20"/>
          <w:szCs w:val="20"/>
        </w:rPr>
        <w:t xml:space="preserve">GUARDRAIL: deterministic Python checks on borrower flags before any tool execution</w:t>
      </w:r>
    </w:p>
    <w:p>
      <w:pPr>
        <w:pStyle w:val="ListParagraph"/>
        <w:numPr>
          <w:ilvl w:val="0"/>
          <w:numId w:val="2"/>
        </w:numPr>
        <w:spacing w:after="40" w:before="40"/>
      </w:pPr>
      <w:r>
        <w:rPr>
          <w:rFonts w:ascii="Arial" w:cs="Arial" w:eastAsia="Arial" w:hAnsi="Arial"/>
          <w:sz w:val="20"/>
          <w:szCs w:val="20"/>
        </w:rPr>
        <w:t xml:space="preserve">TOOL_SELECT: LLM selects one or more tools via structured function-calling; extracts parameters</w:t>
      </w:r>
    </w:p>
    <w:p>
      <w:pPr>
        <w:pStyle w:val="ListParagraph"/>
        <w:numPr>
          <w:ilvl w:val="0"/>
          <w:numId w:val="2"/>
        </w:numPr>
        <w:spacing w:after="40" w:before="40"/>
      </w:pPr>
      <w:r>
        <w:rPr>
          <w:rFonts w:ascii="Arial" w:cs="Arial" w:eastAsia="Arial" w:hAnsi="Arial"/>
          <w:sz w:val="20"/>
          <w:szCs w:val="20"/>
        </w:rPr>
        <w:t xml:space="preserve">TOOL_EXEC: parallel or sequential execution of selected tools against data/model layer</w:t>
      </w:r>
    </w:p>
    <w:p>
      <w:pPr>
        <w:pStyle w:val="ListParagraph"/>
        <w:numPr>
          <w:ilvl w:val="0"/>
          <w:numId w:val="2"/>
        </w:numPr>
        <w:spacing w:after="40" w:before="40"/>
      </w:pPr>
      <w:r>
        <w:rPr>
          <w:rFonts w:ascii="Arial" w:cs="Arial" w:eastAsia="Arial" w:hAnsi="Arial"/>
          <w:sz w:val="20"/>
          <w:szCs w:val="20"/>
        </w:rPr>
        <w:t xml:space="preserve">UNCERTAINTY_CHECK: verify model vintage, confidence intervals, OOS detection — add warnings if required</w:t>
      </w:r>
    </w:p>
    <w:p>
      <w:pPr>
        <w:pStyle w:val="ListParagraph"/>
        <w:numPr>
          <w:ilvl w:val="0"/>
          <w:numId w:val="2"/>
        </w:numPr>
        <w:spacing w:after="40" w:before="40"/>
      </w:pPr>
      <w:r>
        <w:rPr>
          <w:rFonts w:ascii="Arial" w:cs="Arial" w:eastAsia="Arial" w:hAnsi="Arial"/>
          <w:sz w:val="20"/>
          <w:szCs w:val="20"/>
        </w:rPr>
        <w:t xml:space="preserve">SYNTHESISE: LLM composes response from tool outputs with required metadata (version, CI, MIP gap)</w:t>
      </w:r>
    </w:p>
    <w:p>
      <w:pPr>
        <w:pStyle w:val="ListParagraph"/>
        <w:numPr>
          <w:ilvl w:val="0"/>
          <w:numId w:val="2"/>
        </w:numPr>
        <w:spacing w:after="40" w:before="40"/>
      </w:pPr>
      <w:r>
        <w:rPr>
          <w:rFonts w:ascii="Arial" w:cs="Arial" w:eastAsia="Arial" w:hAnsi="Arial"/>
          <w:sz w:val="20"/>
          <w:szCs w:val="20"/>
        </w:rPr>
        <w:t xml:space="preserve">AUDIT_WRITE: immutable audit log entry with reconstruction token</w:t>
      </w:r>
    </w:p>
    <w:p>
      <w:pPr>
        <w:pStyle w:val="ListParagraph"/>
        <w:numPr>
          <w:ilvl w:val="0"/>
          <w:numId w:val="2"/>
        </w:numPr>
        <w:spacing w:after="40" w:before="40"/>
      </w:pPr>
      <w:r>
        <w:rPr>
          <w:rFonts w:ascii="Arial" w:cs="Arial" w:eastAsia="Arial" w:hAnsi="Arial"/>
          <w:sz w:val="20"/>
          <w:szCs w:val="20"/>
        </w:rPr>
        <w:t xml:space="preserve">DELIVER: formatted response to UI with optional download payload</w:t>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6.2  Model Selection Rationale</w:t>
      </w:r>
    </w:p>
    <w:p>
      <w:pPr>
        <w:pStyle w:val="Heading3"/>
        <w:spacing w:after="80" w:before="180"/>
      </w:pPr>
      <w:r>
        <w:rPr>
          <w:rFonts w:ascii="Arial" w:cs="Arial" w:eastAsia="Arial" w:hAnsi="Arial"/>
          <w:b/>
          <w:bCs/>
          <w:color w:val="1B3A6B"/>
          <w:sz w:val="22"/>
          <w:szCs w:val="22"/>
        </w:rPr>
        <w:t xml:space="preserve">Primary LLM: Claude Sonnet 4.x</w:t>
      </w:r>
    </w:p>
    <w:p>
      <w:pPr>
        <w:pStyle w:val="ListParagraph"/>
        <w:numPr>
          <w:ilvl w:val="0"/>
          <w:numId w:val="2"/>
        </w:numPr>
        <w:spacing w:after="40" w:before="40"/>
      </w:pPr>
      <w:r>
        <w:rPr>
          <w:rFonts w:ascii="Arial" w:cs="Arial" w:eastAsia="Arial" w:hAnsi="Arial"/>
          <w:sz w:val="20"/>
          <w:szCs w:val="20"/>
        </w:rPr>
        <w:t xml:space="preserve">Structured output reliability — Claude Sonnet consistently returns valid JSON tool calls without hallucinating parameter values, critical when tool inputs feed a live MILP solver</w:t>
      </w:r>
    </w:p>
    <w:p>
      <w:pPr>
        <w:pStyle w:val="ListParagraph"/>
        <w:numPr>
          <w:ilvl w:val="0"/>
          <w:numId w:val="2"/>
        </w:numPr>
        <w:spacing w:after="40" w:before="40"/>
      </w:pPr>
      <w:r>
        <w:rPr>
          <w:rFonts w:ascii="Arial" w:cs="Arial" w:eastAsia="Arial" w:hAnsi="Arial"/>
          <w:sz w:val="20"/>
          <w:szCs w:val="20"/>
        </w:rPr>
        <w:t xml:space="preserve">Numerical reasoning — strong performance on financial calculations and EV interpretation</w:t>
      </w:r>
    </w:p>
    <w:p>
      <w:pPr>
        <w:pStyle w:val="ListParagraph"/>
        <w:numPr>
          <w:ilvl w:val="0"/>
          <w:numId w:val="2"/>
        </w:numPr>
        <w:spacing w:after="40" w:before="40"/>
      </w:pPr>
      <w:r>
        <w:rPr>
          <w:rFonts w:ascii="Arial" w:cs="Arial" w:eastAsia="Arial" w:hAnsi="Arial"/>
          <w:sz w:val="20"/>
          <w:szCs w:val="20"/>
        </w:rPr>
        <w:t xml:space="preserve">Uncertainty language — naturally expresses predictions as probabilities with caveats, aligned with the system's uncertainty-signalling requirement</w:t>
      </w:r>
    </w:p>
    <w:p>
      <w:pPr>
        <w:pStyle w:val="ListParagraph"/>
        <w:numPr>
          <w:ilvl w:val="0"/>
          <w:numId w:val="2"/>
        </w:numPr>
        <w:spacing w:after="40" w:before="40"/>
      </w:pPr>
      <w:r>
        <w:rPr>
          <w:rFonts w:ascii="Arial" w:cs="Arial" w:eastAsia="Arial" w:hAnsi="Arial"/>
          <w:sz w:val="20"/>
          <w:szCs w:val="20"/>
        </w:rPr>
        <w:t xml:space="preserve">Context window — 200K tokens supports full conversation history plus large tool output contexts</w:t>
      </w:r>
    </w:p>
    <w:p>
      <w:pPr>
        <w:pStyle w:val="ListParagraph"/>
        <w:numPr>
          <w:ilvl w:val="0"/>
          <w:numId w:val="2"/>
        </w:numPr>
        <w:spacing w:after="40" w:before="40"/>
      </w:pPr>
      <w:r>
        <w:rPr>
          <w:rFonts w:ascii="Arial" w:cs="Arial" w:eastAsia="Arial" w:hAnsi="Arial"/>
          <w:sz w:val="20"/>
          <w:szCs w:val="20"/>
        </w:rPr>
        <w:t xml:space="preserve">Anthropic API function-calling — direct tool schema registration; no adapter layer needed</w:t>
      </w:r>
    </w:p>
    <w:p>
      <w:pPr>
        <w:spacing w:after="0" w:before="0"/>
      </w:pPr>
      <w:r>
        <w:rPr>
          <w:rFonts w:ascii="Arial" w:cs="Arial" w:eastAsia="Arial" w:hAnsi="Arial"/>
        </w:rPr>
        <w:t xml:space="preserve"/>
      </w:r>
    </w:p>
    <w:p>
      <w:pPr>
        <w:pStyle w:val="Heading3"/>
        <w:spacing w:after="80" w:before="180"/>
      </w:pPr>
      <w:r>
        <w:rPr>
          <w:rFonts w:ascii="Arial" w:cs="Arial" w:eastAsia="Arial" w:hAnsi="Arial"/>
          <w:b/>
          <w:bCs/>
          <w:color w:val="1B3A6B"/>
          <w:sz w:val="22"/>
          <w:szCs w:val="22"/>
        </w:rPr>
        <w:t xml:space="preserve">Fallback: GPT-4o</w:t>
      </w:r>
    </w:p>
    <w:p>
      <w:pPr>
        <w:spacing w:after="80" w:before="80"/>
      </w:pPr>
      <w:r>
        <w:rPr>
          <w:rFonts w:ascii="Arial" w:cs="Arial" w:eastAsia="Arial" w:hAnsi="Arial"/>
          <w:b w:val="false"/>
          <w:bCs w:val="false"/>
          <w:color w:val="000000"/>
          <w:sz w:val="20"/>
          <w:szCs w:val="20"/>
        </w:rPr>
        <w:t xml:space="preserve">If Anthropic API availability falls below SLA, the system fails over to GPT-4o.  Both models use identical tool schemas (OpenAI-compatible function-calling JSON).  The failover is transparent to users; audit logs record the model version used for each response.</w:t>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6.3  RAG Implementation</w:t>
      </w:r>
    </w:p>
    <w:p>
      <w:pPr>
        <w:pStyle w:val="Heading3"/>
        <w:spacing w:after="80" w:before="180"/>
      </w:pPr>
      <w:r>
        <w:rPr>
          <w:rFonts w:ascii="Arial" w:cs="Arial" w:eastAsia="Arial" w:hAnsi="Arial"/>
          <w:b/>
          <w:bCs/>
          <w:color w:val="1B3A6B"/>
          <w:sz w:val="22"/>
          <w:szCs w:val="22"/>
        </w:rPr>
        <w:t xml:space="preserve">Corpus Structure</w:t>
      </w:r>
    </w:p>
    <w:p>
      <w:pPr>
        <w:spacing w:after="80" w:before="80"/>
      </w:pPr>
      <w:r>
        <w:rPr>
          <w:rFonts w:ascii="Arial" w:cs="Arial" w:eastAsia="Arial" w:hAnsi="Arial"/>
          <w:b w:val="false"/>
          <w:bCs w:val="false"/>
          <w:color w:val="000000"/>
          <w:sz w:val="20"/>
          <w:szCs w:val="20"/>
        </w:rPr>
        <w:t xml:space="preserve">The RAG layer indexes three document types, each chunked and embedded separately for clean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Document Type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Source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Chunk Strategy</w:t>
            </w:r>
          </w:p>
        </w:tc>
        <w:tc>
          <w:tcPr>
            <w:tcW w:type="dxa" w:w="2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Model Documentation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Model cards, training reports, feature dictionaries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By section (300–500 tokens)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Answer 'why is P(App) high for this borrower?' questions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Policy &amp; Regulatory Docs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Recovery rate limits, vulnerability policies, AML rules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By clause (100–200 tokens)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Guardrail rule citations; 'why was this blocked?' explanations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Historical Q&amp;A Log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Past analyst queries + agent answers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Full QA pair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Fast retrieval of repeated queries; consistency across sessions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Monitoring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Evidently drift reports, calibration summaries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By metric block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'Has PoA model drifted this quarter?' answers</w:t>
            </w:r>
          </w:p>
        </w:tc>
      </w:tr>
    </w:tbl>
    <w:p>
      <w:pPr>
        <w:spacing w:after="0" w:before="0"/>
      </w:pPr>
      <w:r>
        <w:rPr>
          <w:rFonts w:ascii="Arial" w:cs="Arial" w:eastAsia="Arial" w:hAnsi="Arial"/>
        </w:rPr>
        <w:t xml:space="preserve"/>
      </w:r>
    </w:p>
    <w:p>
      <w:pPr>
        <w:pStyle w:val="Heading3"/>
        <w:spacing w:after="80" w:before="180"/>
      </w:pPr>
      <w:r>
        <w:rPr>
          <w:rFonts w:ascii="Arial" w:cs="Arial" w:eastAsia="Arial" w:hAnsi="Arial"/>
          <w:b/>
          <w:bCs/>
          <w:color w:val="1B3A6B"/>
          <w:sz w:val="22"/>
          <w:szCs w:val="22"/>
        </w:rPr>
        <w:t xml:space="preserve">Embedding &amp; Retrieval</w:t>
      </w:r>
    </w:p>
    <w:p>
      <w:pPr>
        <w:pStyle w:val="ListParagraph"/>
        <w:numPr>
          <w:ilvl w:val="0"/>
          <w:numId w:val="2"/>
        </w:numPr>
        <w:spacing w:after="40" w:before="40"/>
      </w:pPr>
      <w:r>
        <w:rPr>
          <w:rFonts w:ascii="Arial" w:cs="Arial" w:eastAsia="Arial" w:hAnsi="Arial"/>
          <w:sz w:val="20"/>
          <w:szCs w:val="20"/>
        </w:rPr>
        <w:t xml:space="preserve">Embedding model: text-embedding-3-large (OpenAI) or voyage-large-2 (Anthropic) — cosine similarity on pgvector index</w:t>
      </w:r>
    </w:p>
    <w:p>
      <w:pPr>
        <w:pStyle w:val="ListParagraph"/>
        <w:numPr>
          <w:ilvl w:val="0"/>
          <w:numId w:val="2"/>
        </w:numPr>
        <w:spacing w:after="40" w:before="40"/>
      </w:pPr>
      <w:r>
        <w:rPr>
          <w:rFonts w:ascii="Arial" w:cs="Arial" w:eastAsia="Arial" w:hAnsi="Arial"/>
          <w:sz w:val="20"/>
          <w:szCs w:val="20"/>
        </w:rPr>
        <w:t xml:space="preserve">Retrieval: top-K = 5 chunks; MMR (Maximal Marginal Relevance) reranking to reduce redundancy</w:t>
      </w:r>
    </w:p>
    <w:p>
      <w:pPr>
        <w:pStyle w:val="ListParagraph"/>
        <w:numPr>
          <w:ilvl w:val="0"/>
          <w:numId w:val="2"/>
        </w:numPr>
        <w:spacing w:after="40" w:before="40"/>
      </w:pPr>
      <w:r>
        <w:rPr>
          <w:rFonts w:ascii="Arial" w:cs="Arial" w:eastAsia="Arial" w:hAnsi="Arial"/>
          <w:sz w:val="20"/>
          <w:szCs w:val="20"/>
        </w:rPr>
        <w:t xml:space="preserve">Hybrid search: BM25 keyword search + dense vector search, results fused with Reciprocal Rank Fusion (RRF)</w:t>
      </w:r>
    </w:p>
    <w:p>
      <w:pPr>
        <w:pStyle w:val="ListParagraph"/>
        <w:numPr>
          <w:ilvl w:val="0"/>
          <w:numId w:val="2"/>
        </w:numPr>
        <w:spacing w:after="40" w:before="40"/>
      </w:pPr>
      <w:r>
        <w:rPr>
          <w:rFonts w:ascii="Arial" w:cs="Arial" w:eastAsia="Arial" w:hAnsi="Arial"/>
          <w:sz w:val="20"/>
          <w:szCs w:val="20"/>
        </w:rPr>
        <w:t xml:space="preserve">Re-index trigger: automatic on model retraining cycle (quarterly) and policy document update</w:t>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6.4  Prompt Engineering Strategy</w:t>
      </w:r>
    </w:p>
    <w:p>
      <w:pPr>
        <w:pStyle w:val="Heading3"/>
        <w:spacing w:after="80" w:before="180"/>
      </w:pPr>
      <w:r>
        <w:rPr>
          <w:rFonts w:ascii="Arial" w:cs="Arial" w:eastAsia="Arial" w:hAnsi="Arial"/>
          <w:b/>
          <w:bCs/>
          <w:color w:val="1B3A6B"/>
          <w:sz w:val="22"/>
          <w:szCs w:val="22"/>
        </w:rPr>
        <w:t xml:space="preserve">System Prompt Architecture</w:t>
      </w:r>
    </w:p>
    <w:p>
      <w:pPr>
        <w:spacing w:after="80" w:before="80"/>
      </w:pPr>
      <w:r>
        <w:rPr>
          <w:rFonts w:ascii="Arial" w:cs="Arial" w:eastAsia="Arial" w:hAnsi="Arial"/>
          <w:b w:val="false"/>
          <w:bCs w:val="false"/>
          <w:color w:val="000000"/>
          <w:sz w:val="20"/>
          <w:szCs w:val="20"/>
        </w:rPr>
        <w:t xml:space="preserve">The system prompt is structured in four sections delivered to the LLM at session initialisation:</w:t>
      </w:r>
    </w:p>
    <w:p>
      <w:pPr>
        <w:pStyle w:val="ListParagraph"/>
        <w:numPr>
          <w:ilvl w:val="0"/>
          <w:numId w:val="2"/>
        </w:numPr>
        <w:spacing w:after="40" w:before="40"/>
      </w:pPr>
      <w:r>
        <w:rPr>
          <w:rFonts w:ascii="Arial" w:cs="Arial" w:eastAsia="Arial" w:hAnsi="Arial"/>
          <w:sz w:val="20"/>
          <w:szCs w:val="20"/>
        </w:rPr>
        <w:t xml:space="preserve">ROLE DEFINITION: 'You are a Settlement Portfolio Intelligence Agent.  You orchestrate tools to answer questions about a debt settlement portfolio.  You never calculate probabilities yourself — you always call the appropriate tool.'</w:t>
      </w:r>
    </w:p>
    <w:p>
      <w:pPr>
        <w:pStyle w:val="ListParagraph"/>
        <w:numPr>
          <w:ilvl w:val="0"/>
          <w:numId w:val="2"/>
        </w:numPr>
        <w:spacing w:after="40" w:before="40"/>
      </w:pPr>
      <w:r>
        <w:rPr>
          <w:rFonts w:ascii="Arial" w:cs="Arial" w:eastAsia="Arial" w:hAnsi="Arial"/>
          <w:sz w:val="20"/>
          <w:szCs w:val="20"/>
        </w:rPr>
        <w:t xml:space="preserve">UNCERTAINTY CONTRACT: 'Every prediction you surface must include: probability value, confidence interval, model version, vintage date, and training distribution status.  Never present a prediction as a fact.'</w:t>
      </w:r>
    </w:p>
    <w:p>
      <w:pPr>
        <w:pStyle w:val="ListParagraph"/>
        <w:numPr>
          <w:ilvl w:val="0"/>
          <w:numId w:val="2"/>
        </w:numPr>
        <w:spacing w:after="40" w:before="40"/>
      </w:pPr>
      <w:r>
        <w:rPr>
          <w:rFonts w:ascii="Arial" w:cs="Arial" w:eastAsia="Arial" w:hAnsi="Arial"/>
          <w:sz w:val="20"/>
          <w:szCs w:val="20"/>
        </w:rPr>
        <w:t xml:space="preserve">GUARDRAIL ACKNOWLEDGEMENT: 'Before returning any recommendation, you must confirm the guardrail_check tool returned CLEARED.  If it returned BLOCKED, explain the reason and escalate.'</w:t>
      </w:r>
    </w:p>
    <w:p>
      <w:pPr>
        <w:pStyle w:val="ListParagraph"/>
        <w:numPr>
          <w:ilvl w:val="0"/>
          <w:numId w:val="2"/>
        </w:numPr>
        <w:spacing w:after="40" w:before="40"/>
      </w:pPr>
      <w:r>
        <w:rPr>
          <w:rFonts w:ascii="Arial" w:cs="Arial" w:eastAsia="Arial" w:hAnsi="Arial"/>
          <w:sz w:val="20"/>
          <w:szCs w:val="20"/>
        </w:rPr>
        <w:t xml:space="preserve">OUTPUT FORMAT CONTRACT: 'Structure all responses as: [1] Direct Answer, [2] Supporting Evidence (from tools), [3] Caveats &amp; Confidence, [4] Model Metadata.'</w:t>
      </w:r>
    </w:p>
    <w:p>
      <w:pPr>
        <w:spacing w:after="0" w:before="0"/>
      </w:pPr>
      <w:r>
        <w:rPr>
          <w:rFonts w:ascii="Arial" w:cs="Arial" w:eastAsia="Arial" w:hAnsi="Arial"/>
        </w:rPr>
        <w:t xml:space="preserve"/>
      </w:r>
    </w:p>
    <w:p>
      <w:pPr>
        <w:pStyle w:val="Heading3"/>
        <w:spacing w:after="80" w:before="180"/>
      </w:pPr>
      <w:r>
        <w:rPr>
          <w:rFonts w:ascii="Arial" w:cs="Arial" w:eastAsia="Arial" w:hAnsi="Arial"/>
          <w:b/>
          <w:bCs/>
          <w:color w:val="1B3A6B"/>
          <w:sz w:val="22"/>
          <w:szCs w:val="22"/>
        </w:rPr>
        <w:t xml:space="preserve">Tool Call Chaining Prompt</w:t>
      </w:r>
    </w:p>
    <w:p>
      <w:pPr>
        <w:spacing w:after="80" w:before="80"/>
      </w:pPr>
      <w:r>
        <w:rPr>
          <w:rFonts w:ascii="Arial" w:cs="Arial" w:eastAsia="Arial" w:hAnsi="Arial"/>
          <w:b w:val="false"/>
          <w:bCs w:val="false"/>
          <w:color w:val="000000"/>
          <w:sz w:val="20"/>
          <w:szCs w:val="20"/>
        </w:rPr>
        <w:t xml:space="preserve">For multi-step queries, the LLM receives an explicit chain-of-thought prompt: 'Think step by step about which tools you need and in what order.  State your plan before executing any tool calls.'  This surfaces the reasoning path for audit purposes and reduces tool-call errors.</w:t>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6.5  Uncertainty Signalling Implementation</w:t>
      </w:r>
    </w:p>
    <w:p>
      <w:pPr>
        <w:spacing w:after="80" w:before="80"/>
      </w:pPr>
      <w:r>
        <w:rPr>
          <w:rFonts w:ascii="Arial" w:cs="Arial" w:eastAsia="Arial" w:hAnsi="Arial"/>
          <w:b w:val="false"/>
          <w:bCs w:val="false"/>
          <w:color w:val="000000"/>
          <w:sz w:val="20"/>
          <w:szCs w:val="20"/>
        </w:rPr>
        <w:t xml:space="preserve">Every T1/T2 tool response includes a structured uncertainty envelope:</w:t>
      </w:r>
    </w:p>
    <w:p>
      <w:pPr>
        <w:pStyle w:val="ListParagraph"/>
        <w:numPr>
          <w:ilvl w:val="0"/>
          <w:numId w:val="2"/>
        </w:numPr>
        <w:spacing w:after="40" w:before="40"/>
      </w:pPr>
      <w:r>
        <w:rPr>
          <w:rFonts w:ascii="Arial" w:cs="Arial" w:eastAsia="Arial" w:hAnsi="Arial"/>
          <w:sz w:val="20"/>
          <w:szCs w:val="20"/>
        </w:rPr>
        <w:t xml:space="preserve">P(App) ± 1 standard deviation from bootstrap resampling of the GBM ensemble</w:t>
      </w:r>
    </w:p>
    <w:p>
      <w:pPr>
        <w:pStyle w:val="ListParagraph"/>
        <w:numPr>
          <w:ilvl w:val="0"/>
          <w:numId w:val="2"/>
        </w:numPr>
        <w:spacing w:after="40" w:before="40"/>
      </w:pPr>
      <w:r>
        <w:rPr>
          <w:rFonts w:ascii="Arial" w:cs="Arial" w:eastAsia="Arial" w:hAnsi="Arial"/>
          <w:sz w:val="20"/>
          <w:szCs w:val="20"/>
        </w:rPr>
        <w:t xml:space="preserve">MIP gap from HiGHS solver (target &lt; 0.1% for single-borrower; reported to 4 decimal places)</w:t>
      </w:r>
    </w:p>
    <w:p>
      <w:pPr>
        <w:pStyle w:val="ListParagraph"/>
        <w:numPr>
          <w:ilvl w:val="0"/>
          <w:numId w:val="2"/>
        </w:numPr>
        <w:spacing w:after="40" w:before="40"/>
      </w:pPr>
      <w:r>
        <w:rPr>
          <w:rFonts w:ascii="Arial" w:cs="Arial" w:eastAsia="Arial" w:hAnsi="Arial"/>
          <w:sz w:val="20"/>
          <w:szCs w:val="20"/>
        </w:rPr>
        <w:t xml:space="preserve">Model vintage: training date + performance metrics at training vs current</w:t>
      </w:r>
    </w:p>
    <w:p>
      <w:pPr>
        <w:pStyle w:val="ListParagraph"/>
        <w:numPr>
          <w:ilvl w:val="0"/>
          <w:numId w:val="2"/>
        </w:numPr>
        <w:spacing w:after="40" w:before="40"/>
      </w:pPr>
      <w:r>
        <w:rPr>
          <w:rFonts w:ascii="Arial" w:cs="Arial" w:eastAsia="Arial" w:hAnsi="Arial"/>
          <w:sz w:val="20"/>
          <w:szCs w:val="20"/>
        </w:rPr>
        <w:t xml:space="preserve">OOS detection: Mahalanobis distance of borrower feature vector from training distribution centroid; flag if distance &gt; 3σ</w:t>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6.6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Metric</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Target</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Measurement Method</w:t>
            </w:r>
          </w:p>
        </w:tc>
        <w:tc>
          <w:tcPr>
            <w:tcW w:type="dxa" w:w="2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Frequency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Tool call accuracy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&gt; 95% correct tool selection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Human-labelled intent test set (n=500)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Weekly CI run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EV match vs notebook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0.5% absolute difference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Parallel run against existing Python notebooks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Monthly batch cycle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Guardrail false negative rate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0% (zero tolerance)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Seeded test cases with all flag combinations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Every deployment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Response latency P95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3s (read-only), &lt; 5s (MILP)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Load test with 100 concurrent users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Weekly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RAG retrieval precision@5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&gt; 90%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Human-labelled retrieval test set (n=200)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Per RAG re-index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Analyst satisfaction (UAT)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&gt; 85% 'very useful'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Structured UAT survey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Per phase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SHAP match vs standalone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Exact match (floating point)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Unit test against reference SHAP outputs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Every deployment</w:t>
            </w:r>
          </w:p>
        </w:tc>
      </w:tr>
    </w:tbl>
    <w:p>
      <w:r>
        <w:br w:type="page"/>
      </w:r>
    </w:p>
    <w:p>
      <w:pPr>
        <w:pStyle w:val="Heading1"/>
        <w:spacing w:after="160" w:before="320"/>
      </w:pPr>
      <w:r>
        <w:rPr>
          <w:rFonts w:ascii="Arial" w:cs="Arial" w:eastAsia="Arial" w:hAnsi="Arial"/>
          <w:b/>
          <w:bCs/>
          <w:color w:val="1B3A6B"/>
          <w:sz w:val="32"/>
          <w:szCs w:val="32"/>
        </w:rPr>
        <w:t xml:space="preserve">7. Security &amp; Compliance</w:t>
      </w:r>
    </w:p>
    <w:p>
      <w:pPr>
        <w:pBdr>
          <w:bottom w:val="single" w:color="2E75B6" w:sz="6" w:space="1"/>
        </w:pBdr>
        <w:spacing w:after="120" w:before="120"/>
      </w:pPr>
      <w:r>
        <w:rPr>
          <w:rFonts w:ascii="Arial" w:cs="Arial" w:eastAsia="Arial" w:hAnsi="Arial"/>
        </w:rPr>
        <w:t xml:space="preserve"/>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7.1  Data Classification &amp; PII Handling</w:t>
      </w:r>
    </w:p>
    <w:p>
      <w:pPr>
        <w:spacing w:after="80" w:before="80"/>
      </w:pPr>
      <w:r>
        <w:rPr>
          <w:rFonts w:ascii="Arial" w:cs="Arial" w:eastAsia="Arial" w:hAnsi="Arial"/>
          <w:b w:val="false"/>
          <w:bCs w:val="false"/>
          <w:color w:val="000000"/>
          <w:sz w:val="20"/>
          <w:szCs w:val="20"/>
        </w:rPr>
        <w:t xml:space="preserve">The datasets contain significant personal and sensitive financial data.  The following classification and handling rules apply:</w:t>
      </w:r>
    </w:p>
    <w:p>
      <w:pPr>
        <w:pStyle w:val="ListParagraph"/>
        <w:numPr>
          <w:ilvl w:val="0"/>
          <w:numId w:val="2"/>
        </w:numPr>
        <w:spacing w:after="40" w:before="40"/>
      </w:pPr>
      <w:r>
        <w:rPr>
          <w:rFonts w:ascii="Arial" w:cs="Arial" w:eastAsia="Arial" w:hAnsi="Arial"/>
          <w:sz w:val="20"/>
          <w:szCs w:val="20"/>
        </w:rPr>
        <w:t xml:space="preserve">CONFIDENTIAL: BirthDate, postCode, Occupation, CustomerType, VulnerabilityStatus — masked in LLM prompt; only referenced by coded flag</w:t>
      </w:r>
    </w:p>
    <w:p>
      <w:pPr>
        <w:pStyle w:val="ListParagraph"/>
        <w:numPr>
          <w:ilvl w:val="0"/>
          <w:numId w:val="2"/>
        </w:numPr>
        <w:spacing w:after="40" w:before="40"/>
      </w:pPr>
      <w:r>
        <w:rPr>
          <w:rFonts w:ascii="Arial" w:cs="Arial" w:eastAsia="Arial" w:hAnsi="Arial"/>
          <w:sz w:val="20"/>
          <w:szCs w:val="20"/>
        </w:rPr>
        <w:t xml:space="preserve">RESTRICTED: AMLRisk, FlagDeceased, FlagLegalEntity, FlagUnderLawProtection — never sent to external LLM API; evaluated in local guardrail node only</w:t>
      </w:r>
    </w:p>
    <w:p>
      <w:pPr>
        <w:pStyle w:val="ListParagraph"/>
        <w:numPr>
          <w:ilvl w:val="0"/>
          <w:numId w:val="2"/>
        </w:numPr>
        <w:spacing w:after="40" w:before="40"/>
      </w:pPr>
      <w:r>
        <w:rPr>
          <w:rFonts w:ascii="Arial" w:cs="Arial" w:eastAsia="Arial" w:hAnsi="Arial"/>
          <w:sz w:val="20"/>
          <w:szCs w:val="20"/>
        </w:rPr>
        <w:t xml:space="preserve">INTERNAL: SettlementCode, CustomerCode, AccountCode — pseudonymised in LLM context; resolved by T1 internally</w:t>
      </w:r>
    </w:p>
    <w:p>
      <w:pPr>
        <w:pStyle w:val="ListParagraph"/>
        <w:numPr>
          <w:ilvl w:val="0"/>
          <w:numId w:val="2"/>
        </w:numPr>
        <w:spacing w:after="40" w:before="40"/>
      </w:pPr>
      <w:r>
        <w:rPr>
          <w:rFonts w:ascii="Arial" w:cs="Arial" w:eastAsia="Arial" w:hAnsi="Arial"/>
          <w:sz w:val="20"/>
          <w:szCs w:val="20"/>
        </w:rPr>
        <w:t xml:space="preserve">PUBLIC: Portfolio KPIs, aggregate EV metrics — safe to surface in LLM responses and dashboards</w:t>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6CC" w:val="clear"/>
            <w:tcMar>
              <w:top w:type="dxa" w:w="140"/>
              <w:left w:type="dxa" w:w="200"/>
              <w:bottom w:type="dxa" w:w="140"/>
              <w:right w:type="dxa" w:w="200"/>
            </w:tcMar>
          </w:tcPr>
          <w:p>
            <w:pPr>
              <w:spacing w:after="0" w:before="0"/>
            </w:pPr>
            <w:r>
              <w:rPr>
                <w:rFonts w:ascii="Arial" w:cs="Arial" w:eastAsia="Arial" w:hAnsi="Arial"/>
                <w:color w:val="C55A11"/>
                <w:sz w:val="20"/>
                <w:szCs w:val="20"/>
              </w:rPr>
              <w:t xml:space="preserve">CRITICAL: AMLRisk and vulnerability flags must NEVER appear in the LLM prompt payload sent to external API endpoints.  These are evaluated exclusively in the local guardrail Python service before any LLM call.</w:t>
            </w:r>
          </w:p>
        </w:tc>
      </w:tr>
    </w:tbl>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7.2  Authentication &amp; Authorisation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Role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Domains Accessible</w:t>
            </w:r>
          </w:p>
        </w:tc>
        <w:tc>
          <w:tcPr>
            <w:tcW w:type="dxa" w:w="2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Tool Access</w:t>
            </w:r>
          </w:p>
        </w:tc>
        <w:tc>
          <w:tcPr>
            <w:tcW w:type="dxa" w:w="2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Restriction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Contact Centre Agent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Settlement Assignment only</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T1, T2 (read-only recommended offers)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Cannot see AML/Vulnerability raw data; no frontier or monitoring tools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Collections Analyst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Settlement + Portfolio Performance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T1, T2, T3, T5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Cannot override regulatory RR limits; cannot access raw model pkl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Portfolio Manager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All Domains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T1, T2, T3, T4, T5</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Cannot modify guardrail parameters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Quant / Strategy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All Domains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T1, T2, T3, T4, T5, T6</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Full access; can run frontier simulations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Compliance Officer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All Domains + Audit Log</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All tools + audit query API</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Read-only across all; full audit log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Admin Panel only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Config; RBAC management; log export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 data access; no LLM access</w:t>
            </w:r>
          </w:p>
        </w:tc>
      </w:tr>
    </w:tbl>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7.3  Audit Trail Architecture</w:t>
      </w:r>
    </w:p>
    <w:p>
      <w:pPr>
        <w:spacing w:after="80" w:before="80"/>
      </w:pPr>
      <w:r>
        <w:rPr>
          <w:rFonts w:ascii="Arial" w:cs="Arial" w:eastAsia="Arial" w:hAnsi="Arial"/>
          <w:b w:val="false"/>
          <w:bCs w:val="false"/>
          <w:color w:val="000000"/>
          <w:sz w:val="20"/>
          <w:szCs w:val="20"/>
        </w:rPr>
        <w:t xml:space="preserve">Every interaction generates an immutable audit record with the following fields, stored in PostgreSQL with a cryptographic hash chain (SHA-256) to prevent tampering:</w:t>
      </w:r>
    </w:p>
    <w:p>
      <w:pPr>
        <w:pStyle w:val="ListParagraph"/>
        <w:numPr>
          <w:ilvl w:val="0"/>
          <w:numId w:val="2"/>
        </w:numPr>
        <w:spacing w:after="40" w:before="40"/>
      </w:pPr>
      <w:r>
        <w:rPr>
          <w:rFonts w:ascii="Arial" w:cs="Arial" w:eastAsia="Arial" w:hAnsi="Arial"/>
          <w:sz w:val="20"/>
          <w:szCs w:val="20"/>
        </w:rPr>
        <w:t xml:space="preserve">audit_id: UUID v4</w:t>
      </w:r>
    </w:p>
    <w:p>
      <w:pPr>
        <w:pStyle w:val="ListParagraph"/>
        <w:numPr>
          <w:ilvl w:val="0"/>
          <w:numId w:val="2"/>
        </w:numPr>
        <w:spacing w:after="40" w:before="40"/>
      </w:pPr>
      <w:r>
        <w:rPr>
          <w:rFonts w:ascii="Arial" w:cs="Arial" w:eastAsia="Arial" w:hAnsi="Arial"/>
          <w:sz w:val="20"/>
          <w:szCs w:val="20"/>
        </w:rPr>
        <w:t xml:space="preserve">timestamp: UTC with millisecond precision</w:t>
      </w:r>
    </w:p>
    <w:p>
      <w:pPr>
        <w:pStyle w:val="ListParagraph"/>
        <w:numPr>
          <w:ilvl w:val="0"/>
          <w:numId w:val="2"/>
        </w:numPr>
        <w:spacing w:after="40" w:before="40"/>
      </w:pPr>
      <w:r>
        <w:rPr>
          <w:rFonts w:ascii="Arial" w:cs="Arial" w:eastAsia="Arial" w:hAnsi="Arial"/>
          <w:sz w:val="20"/>
          <w:szCs w:val="20"/>
        </w:rPr>
        <w:t xml:space="preserve">user_id: Azure AD object ID</w:t>
      </w:r>
    </w:p>
    <w:p>
      <w:pPr>
        <w:pStyle w:val="ListParagraph"/>
        <w:numPr>
          <w:ilvl w:val="0"/>
          <w:numId w:val="2"/>
        </w:numPr>
        <w:spacing w:after="40" w:before="40"/>
      </w:pPr>
      <w:r>
        <w:rPr>
          <w:rFonts w:ascii="Arial" w:cs="Arial" w:eastAsia="Arial" w:hAnsi="Arial"/>
          <w:sz w:val="20"/>
          <w:szCs w:val="20"/>
        </w:rPr>
        <w:t xml:space="preserve">user_role: RBAC role at time of query</w:t>
      </w:r>
    </w:p>
    <w:p>
      <w:pPr>
        <w:pStyle w:val="ListParagraph"/>
        <w:numPr>
          <w:ilvl w:val="0"/>
          <w:numId w:val="2"/>
        </w:numPr>
        <w:spacing w:after="40" w:before="40"/>
      </w:pPr>
      <w:r>
        <w:rPr>
          <w:rFonts w:ascii="Arial" w:cs="Arial" w:eastAsia="Arial" w:hAnsi="Arial"/>
          <w:sz w:val="20"/>
          <w:szCs w:val="20"/>
        </w:rPr>
        <w:t xml:space="preserve">raw_query: original user query (PII-scrubbed)</w:t>
      </w:r>
    </w:p>
    <w:p>
      <w:pPr>
        <w:pStyle w:val="ListParagraph"/>
        <w:numPr>
          <w:ilvl w:val="0"/>
          <w:numId w:val="2"/>
        </w:numPr>
        <w:spacing w:after="40" w:before="40"/>
      </w:pPr>
      <w:r>
        <w:rPr>
          <w:rFonts w:ascii="Arial" w:cs="Arial" w:eastAsia="Arial" w:hAnsi="Arial"/>
          <w:sz w:val="20"/>
          <w:szCs w:val="20"/>
        </w:rPr>
        <w:t xml:space="preserve">llm_prompt: full system + user prompt sent to LLM</w:t>
      </w:r>
    </w:p>
    <w:p>
      <w:pPr>
        <w:pStyle w:val="ListParagraph"/>
        <w:numPr>
          <w:ilvl w:val="0"/>
          <w:numId w:val="2"/>
        </w:numPr>
        <w:spacing w:after="40" w:before="40"/>
      </w:pPr>
      <w:r>
        <w:rPr>
          <w:rFonts w:ascii="Arial" w:cs="Arial" w:eastAsia="Arial" w:hAnsi="Arial"/>
          <w:sz w:val="20"/>
          <w:szCs w:val="20"/>
        </w:rPr>
        <w:t xml:space="preserve">tool_calls: array of {tool_name, input_params, output, duration_ms}</w:t>
      </w:r>
    </w:p>
    <w:p>
      <w:pPr>
        <w:pStyle w:val="ListParagraph"/>
        <w:numPr>
          <w:ilvl w:val="0"/>
          <w:numId w:val="2"/>
        </w:numPr>
        <w:spacing w:after="40" w:before="40"/>
      </w:pPr>
      <w:r>
        <w:rPr>
          <w:rFonts w:ascii="Arial" w:cs="Arial" w:eastAsia="Arial" w:hAnsi="Arial"/>
          <w:sz w:val="20"/>
          <w:szCs w:val="20"/>
        </w:rPr>
        <w:t xml:space="preserve">llm_response: full LLM response text</w:t>
      </w:r>
    </w:p>
    <w:p>
      <w:pPr>
        <w:pStyle w:val="ListParagraph"/>
        <w:numPr>
          <w:ilvl w:val="0"/>
          <w:numId w:val="2"/>
        </w:numPr>
        <w:spacing w:after="40" w:before="40"/>
      </w:pPr>
      <w:r>
        <w:rPr>
          <w:rFonts w:ascii="Arial" w:cs="Arial" w:eastAsia="Arial" w:hAnsi="Arial"/>
          <w:sz w:val="20"/>
          <w:szCs w:val="20"/>
        </w:rPr>
        <w:t xml:space="preserve">model_versions: {PoAPP_version, PoA_version, PoF_version, optimiser_version}</w:t>
      </w:r>
    </w:p>
    <w:p>
      <w:pPr>
        <w:pStyle w:val="ListParagraph"/>
        <w:numPr>
          <w:ilvl w:val="0"/>
          <w:numId w:val="2"/>
        </w:numPr>
        <w:spacing w:after="40" w:before="40"/>
      </w:pPr>
      <w:r>
        <w:rPr>
          <w:rFonts w:ascii="Arial" w:cs="Arial" w:eastAsia="Arial" w:hAnsi="Arial"/>
          <w:sz w:val="20"/>
          <w:szCs w:val="20"/>
        </w:rPr>
        <w:t xml:space="preserve">guardrail_result: CLEARED / BLOCKED + reason code</w:t>
      </w:r>
    </w:p>
    <w:p>
      <w:pPr>
        <w:pStyle w:val="ListParagraph"/>
        <w:numPr>
          <w:ilvl w:val="0"/>
          <w:numId w:val="2"/>
        </w:numPr>
        <w:spacing w:after="40" w:before="40"/>
      </w:pPr>
      <w:r>
        <w:rPr>
          <w:rFonts w:ascii="Arial" w:cs="Arial" w:eastAsia="Arial" w:hAnsi="Arial"/>
          <w:sz w:val="20"/>
          <w:szCs w:val="20"/>
        </w:rPr>
        <w:t xml:space="preserve">mip_gap: solver optimality gap (if T2 called)</w:t>
      </w:r>
    </w:p>
    <w:p>
      <w:pPr>
        <w:pStyle w:val="ListParagraph"/>
        <w:numPr>
          <w:ilvl w:val="0"/>
          <w:numId w:val="2"/>
        </w:numPr>
        <w:spacing w:after="40" w:before="40"/>
      </w:pPr>
      <w:r>
        <w:rPr>
          <w:rFonts w:ascii="Arial" w:cs="Arial" w:eastAsia="Arial" w:hAnsi="Arial"/>
          <w:sz w:val="20"/>
          <w:szCs w:val="20"/>
        </w:rPr>
        <w:t xml:space="preserve">audit_hash: SHA-256 of previous record + current record fields</w:t>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7.4  Regulatory Compliance Considerations</w:t>
      </w:r>
    </w:p>
    <w:p>
      <w:pPr>
        <w:pStyle w:val="ListParagraph"/>
        <w:numPr>
          <w:ilvl w:val="0"/>
          <w:numId w:val="2"/>
        </w:numPr>
        <w:spacing w:after="40" w:before="40"/>
      </w:pPr>
      <w:r>
        <w:rPr>
          <w:rFonts w:ascii="Arial" w:cs="Arial" w:eastAsia="Arial" w:hAnsi="Arial"/>
          <w:sz w:val="20"/>
          <w:szCs w:val="20"/>
        </w:rPr>
        <w:t xml:space="preserve">GDPR Article 22 — Right to explanation for automated decisions: the ExplainerTool (T6) SHAP output provides the required human-interpretable explanation for every recommendation</w:t>
      </w:r>
    </w:p>
    <w:p>
      <w:pPr>
        <w:pStyle w:val="ListParagraph"/>
        <w:numPr>
          <w:ilvl w:val="0"/>
          <w:numId w:val="2"/>
        </w:numPr>
        <w:spacing w:after="40" w:before="40"/>
      </w:pPr>
      <w:r>
        <w:rPr>
          <w:rFonts w:ascii="Arial" w:cs="Arial" w:eastAsia="Arial" w:hAnsi="Arial"/>
          <w:sz w:val="20"/>
          <w:szCs w:val="20"/>
        </w:rPr>
        <w:t xml:space="preserve">Model risk management (SR 11-7 / SS3/18 equivalent): model version tagging, vintage flags, and drift monitoring satisfy model governance requirements</w:t>
      </w:r>
    </w:p>
    <w:p>
      <w:pPr>
        <w:pStyle w:val="ListParagraph"/>
        <w:numPr>
          <w:ilvl w:val="0"/>
          <w:numId w:val="2"/>
        </w:numPr>
        <w:spacing w:after="40" w:before="40"/>
      </w:pPr>
      <w:r>
        <w:rPr>
          <w:rFonts w:ascii="Arial" w:cs="Arial" w:eastAsia="Arial" w:hAnsi="Arial"/>
          <w:sz w:val="20"/>
          <w:szCs w:val="20"/>
        </w:rPr>
        <w:t xml:space="preserve">Consumer Duty (FCA): vulnerability status and deceased flags are deterministic blocks, not LLM-inferred, ensuring consistent fair treatment</w:t>
      </w:r>
    </w:p>
    <w:p>
      <w:pPr>
        <w:pStyle w:val="ListParagraph"/>
        <w:numPr>
          <w:ilvl w:val="0"/>
          <w:numId w:val="2"/>
        </w:numPr>
        <w:spacing w:after="40" w:before="40"/>
      </w:pPr>
      <w:r>
        <w:rPr>
          <w:rFonts w:ascii="Arial" w:cs="Arial" w:eastAsia="Arial" w:hAnsi="Arial"/>
          <w:sz w:val="20"/>
          <w:szCs w:val="20"/>
        </w:rPr>
        <w:t xml:space="preserve">AML controls: AML risk classification is evaluated before any recommendation and blocks automated output for high-risk borrowers</w:t>
      </w:r>
    </w:p>
    <w:p>
      <w:r>
        <w:br w:type="page"/>
      </w:r>
    </w:p>
    <w:p>
      <w:pPr>
        <w:pStyle w:val="Heading1"/>
        <w:spacing w:after="160" w:before="320"/>
      </w:pPr>
      <w:r>
        <w:rPr>
          <w:rFonts w:ascii="Arial" w:cs="Arial" w:eastAsia="Arial" w:hAnsi="Arial"/>
          <w:b/>
          <w:bCs/>
          <w:color w:val="1B3A6B"/>
          <w:sz w:val="32"/>
          <w:szCs w:val="32"/>
        </w:rPr>
        <w:t xml:space="preserve">8. DevOps &amp; Deployment Strategy</w:t>
      </w:r>
    </w:p>
    <w:p>
      <w:pPr>
        <w:pBdr>
          <w:bottom w:val="single" w:color="2E75B6" w:sz="6" w:space="1"/>
        </w:pBdr>
        <w:spacing w:after="120" w:before="120"/>
      </w:pPr>
      <w:r>
        <w:rPr>
          <w:rFonts w:ascii="Arial" w:cs="Arial" w:eastAsia="Arial" w:hAnsi="Arial"/>
        </w:rPr>
        <w:t xml:space="preserve"/>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8.1  Infrastructure Architecture (Azure-Assumed)</w:t>
      </w:r>
    </w:p>
    <w:p>
      <w:pPr>
        <w:pStyle w:val="ListParagraph"/>
        <w:numPr>
          <w:ilvl w:val="0"/>
          <w:numId w:val="2"/>
        </w:numPr>
        <w:spacing w:after="40" w:before="40"/>
      </w:pPr>
      <w:r>
        <w:rPr>
          <w:rFonts w:ascii="Arial" w:cs="Arial" w:eastAsia="Arial" w:hAnsi="Arial"/>
          <w:sz w:val="20"/>
          <w:szCs w:val="20"/>
        </w:rPr>
        <w:t xml:space="preserve">Azure Kubernetes Service (AKS): hosts all FastAPI microservices (T1–T6), agent gateway, and async job worker as separate Deployments with HPA (Horizontal Pod Autoscaler)</w:t>
      </w:r>
    </w:p>
    <w:p>
      <w:pPr>
        <w:pStyle w:val="ListParagraph"/>
        <w:numPr>
          <w:ilvl w:val="0"/>
          <w:numId w:val="2"/>
        </w:numPr>
        <w:spacing w:after="40" w:before="40"/>
      </w:pPr>
      <w:r>
        <w:rPr>
          <w:rFonts w:ascii="Arial" w:cs="Arial" w:eastAsia="Arial" w:hAnsi="Arial"/>
          <w:sz w:val="20"/>
          <w:szCs w:val="20"/>
        </w:rPr>
        <w:t xml:space="preserve">Azure Blob Storage: Parquet lakehouse with tiered storage (hot for current month, cool for historical)</w:t>
      </w:r>
    </w:p>
    <w:p>
      <w:pPr>
        <w:pStyle w:val="ListParagraph"/>
        <w:numPr>
          <w:ilvl w:val="0"/>
          <w:numId w:val="2"/>
        </w:numPr>
        <w:spacing w:after="40" w:before="40"/>
      </w:pPr>
      <w:r>
        <w:rPr>
          <w:rFonts w:ascii="Arial" w:cs="Arial" w:eastAsia="Arial" w:hAnsi="Arial"/>
          <w:sz w:val="20"/>
          <w:szCs w:val="20"/>
        </w:rPr>
        <w:t xml:space="preserve">Azure PostgreSQL Flexible Server: audit log, metadata, pgvector index</w:t>
      </w:r>
    </w:p>
    <w:p>
      <w:pPr>
        <w:pStyle w:val="ListParagraph"/>
        <w:numPr>
          <w:ilvl w:val="0"/>
          <w:numId w:val="2"/>
        </w:numPr>
        <w:spacing w:after="40" w:before="40"/>
      </w:pPr>
      <w:r>
        <w:rPr>
          <w:rFonts w:ascii="Arial" w:cs="Arial" w:eastAsia="Arial" w:hAnsi="Arial"/>
          <w:sz w:val="20"/>
          <w:szCs w:val="20"/>
        </w:rPr>
        <w:t xml:space="preserve">Azure Cache for Redis: session state, SHAP cache, offer grid cache</w:t>
      </w:r>
    </w:p>
    <w:p>
      <w:pPr>
        <w:pStyle w:val="ListParagraph"/>
        <w:numPr>
          <w:ilvl w:val="0"/>
          <w:numId w:val="2"/>
        </w:numPr>
        <w:spacing w:after="40" w:before="40"/>
      </w:pPr>
      <w:r>
        <w:rPr>
          <w:rFonts w:ascii="Arial" w:cs="Arial" w:eastAsia="Arial" w:hAnsi="Arial"/>
          <w:sz w:val="20"/>
          <w:szCs w:val="20"/>
        </w:rPr>
        <w:t xml:space="preserve">Azure API Management: rate limiting, API key management, request logging</w:t>
      </w:r>
    </w:p>
    <w:p>
      <w:pPr>
        <w:pStyle w:val="ListParagraph"/>
        <w:numPr>
          <w:ilvl w:val="0"/>
          <w:numId w:val="2"/>
        </w:numPr>
        <w:spacing w:after="40" w:before="40"/>
      </w:pPr>
      <w:r>
        <w:rPr>
          <w:rFonts w:ascii="Arial" w:cs="Arial" w:eastAsia="Arial" w:hAnsi="Arial"/>
          <w:sz w:val="20"/>
          <w:szCs w:val="20"/>
        </w:rPr>
        <w:t xml:space="preserve">Azure Container Registry (ACR): Docker image repository for all microservices</w:t>
      </w:r>
    </w:p>
    <w:p>
      <w:pPr>
        <w:pStyle w:val="ListParagraph"/>
        <w:numPr>
          <w:ilvl w:val="0"/>
          <w:numId w:val="2"/>
        </w:numPr>
        <w:spacing w:after="40" w:before="40"/>
      </w:pPr>
      <w:r>
        <w:rPr>
          <w:rFonts w:ascii="Arial" w:cs="Arial" w:eastAsia="Arial" w:hAnsi="Arial"/>
          <w:sz w:val="20"/>
          <w:szCs w:val="20"/>
        </w:rPr>
        <w:t xml:space="preserve">Azure Key Vault: LLM API keys, database credentials, encryption keys</w:t>
      </w:r>
    </w:p>
    <w:p>
      <w:pPr>
        <w:pStyle w:val="ListParagraph"/>
        <w:numPr>
          <w:ilvl w:val="0"/>
          <w:numId w:val="2"/>
        </w:numPr>
        <w:spacing w:after="40" w:before="40"/>
      </w:pPr>
      <w:r>
        <w:rPr>
          <w:rFonts w:ascii="Arial" w:cs="Arial" w:eastAsia="Arial" w:hAnsi="Arial"/>
          <w:sz w:val="20"/>
          <w:szCs w:val="20"/>
        </w:rPr>
        <w:t xml:space="preserve">Azure Monitor + Application Insights: metrics, traces, alerts</w:t>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8.2  CI/CD Pipeline</w:t>
      </w:r>
    </w:p>
    <w:p>
      <w:pPr>
        <w:pStyle w:val="ListParagraph"/>
        <w:numPr>
          <w:ilvl w:val="0"/>
          <w:numId w:val="3"/>
        </w:numPr>
        <w:spacing w:after="40" w:before="40"/>
      </w:pPr>
      <w:r>
        <w:rPr>
          <w:rFonts w:ascii="Arial" w:cs="Arial" w:eastAsia="Arial" w:hAnsi="Arial"/>
          <w:sz w:val="20"/>
          <w:szCs w:val="20"/>
        </w:rPr>
        <w:t xml:space="preserve">Developer opens PR → automated unit + integration tests run in GitHub Actions</w:t>
      </w:r>
    </w:p>
    <w:p>
      <w:pPr>
        <w:pStyle w:val="ListParagraph"/>
        <w:numPr>
          <w:ilvl w:val="0"/>
          <w:numId w:val="3"/>
        </w:numPr>
        <w:spacing w:after="40" w:before="40"/>
      </w:pPr>
      <w:r>
        <w:rPr>
          <w:rFonts w:ascii="Arial" w:cs="Arial" w:eastAsia="Arial" w:hAnsi="Arial"/>
          <w:sz w:val="20"/>
          <w:szCs w:val="20"/>
        </w:rPr>
        <w:t xml:space="preserve">Code review + security scan (Bandit, Semgrep) → merge to main</w:t>
      </w:r>
    </w:p>
    <w:p>
      <w:pPr>
        <w:pStyle w:val="ListParagraph"/>
        <w:numPr>
          <w:ilvl w:val="0"/>
          <w:numId w:val="3"/>
        </w:numPr>
        <w:spacing w:after="40" w:before="40"/>
      </w:pPr>
      <w:r>
        <w:rPr>
          <w:rFonts w:ascii="Arial" w:cs="Arial" w:eastAsia="Arial" w:hAnsi="Arial"/>
          <w:sz w:val="20"/>
          <w:szCs w:val="20"/>
        </w:rPr>
        <w:t xml:space="preserve">Docker build + push to ACR → staging AKS deployment</w:t>
      </w:r>
    </w:p>
    <w:p>
      <w:pPr>
        <w:pStyle w:val="ListParagraph"/>
        <w:numPr>
          <w:ilvl w:val="0"/>
          <w:numId w:val="3"/>
        </w:numPr>
        <w:spacing w:after="40" w:before="40"/>
      </w:pPr>
      <w:r>
        <w:rPr>
          <w:rFonts w:ascii="Arial" w:cs="Arial" w:eastAsia="Arial" w:hAnsi="Arial"/>
          <w:sz w:val="20"/>
          <w:szCs w:val="20"/>
        </w:rPr>
        <w:t xml:space="preserve">Automated regression suite: tool accuracy tests, guardrail tests, EV match tests</w:t>
      </w:r>
    </w:p>
    <w:p>
      <w:pPr>
        <w:pStyle w:val="ListParagraph"/>
        <w:numPr>
          <w:ilvl w:val="0"/>
          <w:numId w:val="3"/>
        </w:numPr>
        <w:spacing w:after="40" w:before="40"/>
      </w:pPr>
      <w:r>
        <w:rPr>
          <w:rFonts w:ascii="Arial" w:cs="Arial" w:eastAsia="Arial" w:hAnsi="Arial"/>
          <w:sz w:val="20"/>
          <w:szCs w:val="20"/>
        </w:rPr>
        <w:t xml:space="preserve">Performance test: 100 concurrent users, P95 latency assertion</w:t>
      </w:r>
    </w:p>
    <w:p>
      <w:pPr>
        <w:pStyle w:val="ListParagraph"/>
        <w:numPr>
          <w:ilvl w:val="0"/>
          <w:numId w:val="3"/>
        </w:numPr>
        <w:spacing w:after="40" w:before="40"/>
      </w:pPr>
      <w:r>
        <w:rPr>
          <w:rFonts w:ascii="Arial" w:cs="Arial" w:eastAsia="Arial" w:hAnsi="Arial"/>
          <w:sz w:val="20"/>
          <w:szCs w:val="20"/>
        </w:rPr>
        <w:t xml:space="preserve">Manual QA sign-off → production deployment via blue/green switch</w:t>
      </w:r>
    </w:p>
    <w:p>
      <w:pPr>
        <w:pStyle w:val="ListParagraph"/>
        <w:numPr>
          <w:ilvl w:val="0"/>
          <w:numId w:val="3"/>
        </w:numPr>
        <w:spacing w:after="40" w:before="40"/>
      </w:pPr>
      <w:r>
        <w:rPr>
          <w:rFonts w:ascii="Arial" w:cs="Arial" w:eastAsia="Arial" w:hAnsi="Arial"/>
          <w:sz w:val="20"/>
          <w:szCs w:val="20"/>
        </w:rPr>
        <w:t xml:space="preserve">Smoke tests on production → automated rollback if any critical test fails within 5 minutes</w:t>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8.3  Scaling Strategy</w:t>
      </w:r>
    </w:p>
    <w:p>
      <w:pPr>
        <w:spacing w:after="80" w:before="80"/>
      </w:pPr>
      <w:r>
        <w:rPr>
          <w:rFonts w:ascii="Arial" w:cs="Arial" w:eastAsia="Arial" w:hAnsi="Arial"/>
          <w:b w:val="false"/>
          <w:bCs w:val="false"/>
          <w:color w:val="000000"/>
          <w:sz w:val="20"/>
          <w:szCs w:val="20"/>
        </w:rPr>
        <w:t xml:space="preserve">Phase 1 sizing: 3 replicas per tool service, 2 vCPU / 4GB per pod.  Expected load: 20–50 concurrent analyst sessions.  Phase 3 sizing: HPA scales to 10 replicas per service under load; MILP solver uses dedicated node pool with higher CPU allocation (8 vCPU / 16GB) for concurrent single-borrower optimisation runs.</w:t>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8.4  Disaster Recovery</w:t>
      </w:r>
    </w:p>
    <w:p>
      <w:pPr>
        <w:pStyle w:val="ListParagraph"/>
        <w:numPr>
          <w:ilvl w:val="0"/>
          <w:numId w:val="2"/>
        </w:numPr>
        <w:spacing w:after="40" w:before="40"/>
      </w:pPr>
      <w:r>
        <w:rPr>
          <w:rFonts w:ascii="Arial" w:cs="Arial" w:eastAsia="Arial" w:hAnsi="Arial"/>
          <w:sz w:val="20"/>
          <w:szCs w:val="20"/>
        </w:rPr>
        <w:t xml:space="preserve">RTO (Recovery Time Objective): 1 hour — AKS node failure auto-recovers within minutes; database failover to geo-replicated standby within 30 seconds</w:t>
      </w:r>
    </w:p>
    <w:p>
      <w:pPr>
        <w:pStyle w:val="ListParagraph"/>
        <w:numPr>
          <w:ilvl w:val="0"/>
          <w:numId w:val="2"/>
        </w:numPr>
        <w:spacing w:after="40" w:before="40"/>
      </w:pPr>
      <w:r>
        <w:rPr>
          <w:rFonts w:ascii="Arial" w:cs="Arial" w:eastAsia="Arial" w:hAnsi="Arial"/>
          <w:sz w:val="20"/>
          <w:szCs w:val="20"/>
        </w:rPr>
        <w:t xml:space="preserve">RPO (Recovery Point Objective): 1 hour — hourly incremental Parquet snapshots to secondary Azure region; audit log replication is synchronous</w:t>
      </w:r>
    </w:p>
    <w:p>
      <w:pPr>
        <w:pStyle w:val="ListParagraph"/>
        <w:numPr>
          <w:ilvl w:val="0"/>
          <w:numId w:val="2"/>
        </w:numPr>
        <w:spacing w:after="40" w:before="40"/>
      </w:pPr>
      <w:r>
        <w:rPr>
          <w:rFonts w:ascii="Arial" w:cs="Arial" w:eastAsia="Arial" w:hAnsi="Arial"/>
          <w:sz w:val="20"/>
          <w:szCs w:val="20"/>
        </w:rPr>
        <w:t xml:space="preserve">LLM API failover: if Anthropic API is unavailable, agent router switches to GPT-4o within 30 seconds; model version in audit log updated accordingly</w:t>
      </w:r>
    </w:p>
    <w:p>
      <w:r>
        <w:br w:type="page"/>
      </w:r>
    </w:p>
    <w:p>
      <w:pPr>
        <w:pStyle w:val="Heading1"/>
        <w:spacing w:after="160" w:before="320"/>
      </w:pPr>
      <w:r>
        <w:rPr>
          <w:rFonts w:ascii="Arial" w:cs="Arial" w:eastAsia="Arial" w:hAnsi="Arial"/>
          <w:b/>
          <w:bCs/>
          <w:color w:val="1B3A6B"/>
          <w:sz w:val="32"/>
          <w:szCs w:val="32"/>
        </w:rPr>
        <w:t xml:space="preserve">9. Testing Strategy</w:t>
      </w:r>
    </w:p>
    <w:p>
      <w:pPr>
        <w:pBdr>
          <w:bottom w:val="single" w:color="2E75B6" w:sz="6" w:space="1"/>
        </w:pBdr>
        <w:spacing w:after="120" w:before="120"/>
      </w:pPr>
      <w:r>
        <w:rPr>
          <w:rFonts w:ascii="Arial" w:cs="Arial" w:eastAsia="Arial" w:hAnsi="Arial"/>
        </w:rPr>
        <w:t xml:space="preserve"/>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Test Type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Scope</w:t>
            </w:r>
          </w:p>
        </w:tc>
        <w:tc>
          <w:tcPr>
            <w:tcW w:type="dxa" w:w="2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Method</w:t>
            </w:r>
          </w:p>
        </w:tc>
        <w:tc>
          <w:tcPr>
            <w:tcW w:type="dxa" w:w="2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Pass Criteria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Unit Tests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Each tool function, guardrail rule, EV calculation</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pytest; 100% coverage on guardrail logic</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All pass; zero failures on guardrail edge cases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Integration Tests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Tool → data layer; agent → tool chain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Docker Compose test environment with synthetic Parquet data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Tool outputs match expected schema; multi-step chains complete correctly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Guardrail Tests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All 6 guardrail conditions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Seeded test borrowers with every flag combination</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Zero false negatives; 100% block rate on deceased/AML borrowers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EV Accuracy Tests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T2 MILP output vs reference notebook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Parallel run on 1000 borrowers from last monthly batch</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&lt; 0.5% absolute EV difference; identical optimal offer selection in 99%+ cases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SHAP Regression Tests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T6 SHAP outputs vs standalone library</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Compare top-5 feature rankings on 200 test borrowers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Exact match on all feature values; same rank order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LLM Evaluation (Evals)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Agent intent classification, tool selection, response quality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LLM-as-judge with reference answers; 500-query test set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&gt; 95% correct tool selection; &gt; 90% response quality score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Performance / Load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100 concurrent users, sustained 10 minutes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Locust load generator on AKS staging</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P95 &lt; 3s (read), &lt; 5s (MILP); zero 5xx errors under 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Security / Penetration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API endpoints, auth, data exposure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OWASP ZAP + manual penetration test by qualified tester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Zero critical or high findings; medium findings remediated before go-live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UAT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End-to-end with real analyst workflows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3-day structured UAT with 6 analysts across roles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&gt; 85% 'very useful' on structured survey; all critical use cases 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Compliance 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Audit log completeness; explanation quality; guardrail determinism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Compliance officer review of 50 sampled audit records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All records reconstructable; explanations sufficient for SR 11-7 / Consumer Duty</w:t>
            </w:r>
          </w:p>
        </w:tc>
      </w:tr>
    </w:tbl>
    <w:p>
      <w:r>
        <w:br w:type="page"/>
      </w:r>
    </w:p>
    <w:p>
      <w:pPr>
        <w:pStyle w:val="Heading1"/>
        <w:spacing w:after="160" w:before="320"/>
      </w:pPr>
      <w:r>
        <w:rPr>
          <w:rFonts w:ascii="Arial" w:cs="Arial" w:eastAsia="Arial" w:hAnsi="Arial"/>
          <w:b/>
          <w:bCs/>
          <w:color w:val="1B3A6B"/>
          <w:sz w:val="32"/>
          <w:szCs w:val="32"/>
        </w:rPr>
        <w:t xml:space="preserve">10. Risk Assessment</w:t>
      </w:r>
    </w:p>
    <w:p>
      <w:pPr>
        <w:pBdr>
          <w:bottom w:val="single" w:color="2E75B6" w:sz="6" w:space="1"/>
        </w:pBdr>
        <w:spacing w:after="120" w:before="120"/>
      </w:pPr>
      <w:r>
        <w:rPr>
          <w:rFonts w:ascii="Arial" w:cs="Arial" w:eastAsia="Arial" w:hAnsi="Arial"/>
        </w:rPr>
        <w:t xml:space="preserve"/>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10.1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80"/>
        <w:gridCol w:w="780"/>
        <w:gridCol w:w="3200"/>
        <w:gridCol w:w="220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Risk</w:t>
            </w:r>
          </w:p>
        </w:tc>
        <w:tc>
          <w:tcPr>
            <w:tcW w:type="dxa" w:w="7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Prob.</w:t>
            </w:r>
          </w:p>
        </w:tc>
        <w:tc>
          <w:tcPr>
            <w:tcW w:type="dxa" w:w="7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Impact</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Detail</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LLM hallucinates financial figures</w:t>
            </w:r>
          </w:p>
        </w:tc>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Low</w:t>
            </w:r>
          </w:p>
        </w:tc>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HIGH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Claude produces EV or probability values not returned by tools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 prompt strictly forbids LLM calculation; all numerical values must be quoted from tool output with citation tag; automated test checks figures match tool responses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MILP solver instability on edge-case borrowers</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Medium</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HiGHS fails to converge or returns infeasible for unusual feature combinations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Catch solver exceptions; fall back to pre-computed recommended_offers_3l_v3; surface fallback flag in response with explanation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Parquet schema evolution breaks tool queries</w:t>
            </w:r>
          </w:p>
        </w:tc>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Medium</w:t>
            </w:r>
          </w:p>
        </w:tc>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Medium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Monthly data refresh changes column names or types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Schema validation on every data refresh; CI tests against schema contract; semver versioning of data schemas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LLM API rate limits or outage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Low</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Anthropic API availability impacts analyst productivity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Automatic failover to GPT-4o; circuit breaker pattern; cached responses for repeated queries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Out-of-distribution borrower misrepresented</w:t>
            </w:r>
          </w:p>
        </w:tc>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Medium</w:t>
            </w:r>
          </w:p>
        </w:tc>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HIGH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OOS borrower receives confident-sounding recommendation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Mandatory Mahalanobis OOS check in T1; every OOS borrower gets explicit warning; confidence intervals widened</w:t>
            </w:r>
          </w:p>
        </w:tc>
      </w:tr>
    </w:tbl>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10.2  Business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80"/>
        <w:gridCol w:w="780"/>
        <w:gridCol w:w="3200"/>
        <w:gridCol w:w="220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Risk</w:t>
            </w:r>
          </w:p>
        </w:tc>
        <w:tc>
          <w:tcPr>
            <w:tcW w:type="dxa" w:w="7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Prob.</w:t>
            </w:r>
          </w:p>
        </w:tc>
        <w:tc>
          <w:tcPr>
            <w:tcW w:type="dxa" w:w="7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Impact</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Detail</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Over-reliance on agent replacing human judgement</w:t>
            </w:r>
          </w:p>
        </w:tc>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Medium</w:t>
            </w:r>
          </w:p>
        </w:tc>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HIGH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Analysts accept agent recommendations without scrutiny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All recommendations labelled as 'model-grounded suggestion'; uncertainty always surfaced; require human confirmation for high-value settlements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Regulatory non-compliance on automated recommendations</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Low</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Agent recommendation violates FCA Consumer Duty or GDPR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Guardrail layer is deterministic code; legal review of all guardrail rules; compliance officer in UAT; full audit trail for reconstruction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Stakeholder adoption resistance</w:t>
            </w:r>
          </w:p>
        </w:tc>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Medium</w:t>
            </w:r>
          </w:p>
        </w:tc>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Medium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Analysts distrust AI system and revert to notebooks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Phased rollout with analyst co-design; explainability built into every response; change management programme; side-by-side comparison tool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Data quality issues from upstream systems</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Medium</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CRM data latency or incorrect payment records affect model scores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Data quality dashboard in T5; anomaly detection on freshness; staleness warning if data &gt; configurable threshold</w:t>
            </w:r>
          </w:p>
        </w:tc>
      </w:tr>
    </w:tbl>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10.3  Resource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80"/>
        <w:gridCol w:w="780"/>
        <w:gridCol w:w="3200"/>
        <w:gridCol w:w="220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Risk</w:t>
            </w:r>
          </w:p>
        </w:tc>
        <w:tc>
          <w:tcPr>
            <w:tcW w:type="dxa" w:w="7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Prob.</w:t>
            </w:r>
          </w:p>
        </w:tc>
        <w:tc>
          <w:tcPr>
            <w:tcW w:type="dxa" w:w="7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Impact</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Detail</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ML model documentation gaps</w:t>
            </w:r>
          </w:p>
        </w:tc>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High</w:t>
            </w:r>
          </w:p>
        </w:tc>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Medium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Model cards and feature dictionaries incomplete — weakens RAG layer quality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Phase 1 includes model documentation audit; quant team provides documentation as Phase 3 RAG input; agent falls back to uncertainty warning when documentation missing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Azure environment access delays</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Medium</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Client infrastructure provisioning takes longer than planned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Begin with local Docker Compose development environment; define infrastructure requirements in Week 1 as pre-requisite for Phase 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LLM API cost overrun</w:t>
            </w:r>
          </w:p>
        </w:tc>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Low</w:t>
            </w:r>
          </w:p>
        </w:tc>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Low</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Higher-than-expected query volume drives Anthropic API costs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Token usage monitoring from Day 1; response caching for repeated queries (estimated 30–40% cache hit rate); monthly cost forecasting dashboard</w:t>
            </w:r>
          </w:p>
        </w:tc>
      </w:tr>
    </w:tbl>
    <w:p>
      <w:r>
        <w:br w:type="page"/>
      </w:r>
    </w:p>
    <w:p>
      <w:pPr>
        <w:pStyle w:val="Heading1"/>
        <w:spacing w:after="160" w:before="320"/>
      </w:pPr>
      <w:r>
        <w:rPr>
          <w:rFonts w:ascii="Arial" w:cs="Arial" w:eastAsia="Arial" w:hAnsi="Arial"/>
          <w:b/>
          <w:bCs/>
          <w:color w:val="1B3A6B"/>
          <w:sz w:val="32"/>
          <w:szCs w:val="32"/>
        </w:rPr>
        <w:t xml:space="preserve">11. Project Deliverables</w:t>
      </w:r>
    </w:p>
    <w:p>
      <w:pPr>
        <w:pBdr>
          <w:bottom w:val="single" w:color="2E75B6" w:sz="6" w:space="1"/>
        </w:pBdr>
        <w:spacing w:after="120" w:before="120"/>
      </w:pPr>
      <w:r>
        <w:rPr>
          <w:rFonts w:ascii="Arial" w:cs="Arial" w:eastAsia="Arial" w:hAnsi="Arial"/>
        </w:rPr>
        <w:t xml:space="preserve"/>
      </w:r>
    </w:p>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11.1  MVP Deliverables (Phase 1 — Weeks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Deliverable</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Description</w:t>
            </w:r>
          </w:p>
        </w:tc>
        <w:tc>
          <w:tcPr>
            <w:tcW w:type="dxa" w:w="2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Acceptance Owner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BorrowerLookupTool (T1) service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FastAPI microservice; borrower profile API with guardrail flags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Collections Lead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PortfolioAnalyticsTool (T3)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KPI aggregation; EV vs actuals; drift metrics API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Portfolio Manager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ModelMonitoringTool (T5) service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PSI, calibration, vintage drift reporting API</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Quant Team Lead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LangGraph agent workflow (Phase 1 tools only)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Intent routing; guardrail graph; memory; Claude Sonnet integration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Solution Architect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Streamlit MVP Chat UI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Conversational interface; structured response rendering; download button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Collections Analyst (UAT)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Audit log database + schema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PostgreSQL schema; hash-chain audit trail; query API for compliance team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Compliance Officer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Data layer (DuckDB + Parquet)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Schema-validated DuckDB views over all Parquet sources; connection pooling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Data Engineering</w:t>
            </w:r>
          </w:p>
        </w:tc>
      </w:tr>
    </w:tbl>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11.2  Production Deliverables (Phase 2 &amp; 3 — Weeks 7–14)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Deliverable</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Description</w:t>
            </w:r>
          </w:p>
        </w:tc>
        <w:tc>
          <w:tcPr>
            <w:tcW w:type="dxa" w:w="2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Acceptance Owner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OfferOptimiserTool (T2) service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HiGHS MILP integration; async job queue; offer grid cache; MIP gap reporting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Quant Team / Collections Lead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FrontierAnalyserTool (T4)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Constraint simulation engine; efficient frontier API; EV impact modelling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Strategy / Risk Team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ExplainerTool (T6) service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SHAP cache warm-up; top-N feature API; OOS detection; confidence intervals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Compliance / Quant Team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React / Next.js production 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Full responsive chat UI; AG Grid tables; Recharts visualisation; Parquet export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All stakeholders (UAT)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Slack Bot integration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Bolt SDK bot; KPI query responses; drift alerts; quick borrower lookup</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Collections Team Lead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RAG document intelligence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pgvector index; model documentation + policy ingestion pipeline; semantic search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Quant Team / Compliance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AKS deployment + CI/CD pipeline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All services containerised; GitHub Actions pipeline; blue/green deployment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DevOps / Platform Team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RBAC + Azure AD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Role-based access across all 6 user roles; Azure AD group mapping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IT Security / Compliance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LLM failover (GPT-4o)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Circuit breaker; automatic model switching; audit log model version flag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Solution Architect</w:t>
            </w:r>
          </w:p>
        </w:tc>
      </w:tr>
    </w:tbl>
    <w:p>
      <w:pPr>
        <w:spacing w:after="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11.3  Documentation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Document</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Format</w:t>
            </w:r>
          </w:p>
        </w:tc>
        <w:tc>
          <w:tcPr>
            <w:tcW w:type="dxa" w:w="2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Audience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Solution Architecture Document (this report)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PDF / Word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Executive, Technical Lead, Compliance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API Reference (OpenAPI 3.1 spec)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Swagger UI + YAML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Development team, integration partners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Data Dictionary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Confluence / Markdown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Analysts, Quant Team, Data Engineers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Guardrail Rules Specification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PDF (compliance-signed)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Compliance Officer, Legal, Regulator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User Guide — Collections Analyst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PDF + video walkthrough</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Collections Analysts, Contact Centre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User Guide — Portfolio Manager / Exec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PDF + video walkthrough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Portfolio Managers, Directors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Model Cards (updated)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Markdown / PDF</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Quant Team, Compliance, Model Risk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Operations Runbook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Confluence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DevOps, Platform Team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Disaster Recovery Plan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Word / PDF</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IT Management, Compliance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Test Results Report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PDF</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QA Lead, Compliance Officer, Sign-off Authority</w:t>
            </w:r>
          </w:p>
        </w:tc>
      </w:tr>
    </w:tbl>
    <w:p>
      <w:pPr>
        <w:spacing w:after="0" w:before="0"/>
      </w:pPr>
      <w:r>
        <w:rPr>
          <w:rFonts w:ascii="Arial" w:cs="Arial" w:eastAsia="Arial" w:hAnsi="Arial"/>
        </w:rPr>
        <w:t xml:space="preserve"/>
      </w:r>
    </w:p>
    <w:p>
      <w:pPr>
        <w:pBdr>
          <w:bottom w:val="single" w:color="2E75B6" w:sz="6" w:space="1"/>
        </w:pBdr>
        <w:spacing w:after="120" w:before="120"/>
      </w:pPr>
      <w:r>
        <w:rPr>
          <w:rFonts w:ascii="Arial" w:cs="Arial" w:eastAsia="Arial" w:hAnsi="Arial"/>
        </w:rPr>
        <w:t xml:space="preserve"/>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00"/>
              <w:bottom w:type="dxa" w:w="140"/>
              <w:right w:type="dxa" w:w="200"/>
            </w:tcMar>
          </w:tcPr>
          <w:p>
            <w:pPr>
              <w:spacing w:after="0" w:before="0"/>
            </w:pPr>
            <w:r>
              <w:rPr>
                <w:rFonts w:ascii="Arial" w:cs="Arial" w:eastAsia="Arial" w:hAnsi="Arial"/>
                <w:color w:val="1B3A6B"/>
                <w:sz w:val="20"/>
                <w:szCs w:val="20"/>
              </w:rPr>
              <w:t xml:space="preserve">This document represents the complete Solution Architecture and Project Report for the Settlement Portfolio Decision Intelligence Agent. All architecture decisions, technology selections, and implementation guidance are grounded in the client's existing modelling infrastructure, data schema, and compliance requirements as specified in the provided brief and data layout documentation.</w:t>
            </w:r>
          </w:p>
        </w:tc>
      </w:tr>
    </w:tbl>
    <w:p>
      <w:pPr>
        <w:spacing w:after="0" w:before="0"/>
      </w:pPr>
      <w:r>
        <w:rPr>
          <w:rFonts w:ascii="Arial" w:cs="Arial" w:eastAsia="Arial" w:hAnsi="Arial"/>
        </w:rPr>
        <w:t xml:space="preserve"/>
      </w:r>
    </w:p>
    <w:p>
      <w:pPr>
        <w:spacing w:after="80" w:before="160"/>
        <w:jc w:val="center"/>
      </w:pPr>
      <w:r>
        <w:rPr>
          <w:rFonts w:ascii="Arial" w:cs="Arial" w:eastAsia="Arial" w:hAnsi="Arial"/>
          <w:b/>
          <w:bCs/>
          <w:color w:val="595959"/>
          <w:sz w:val="20"/>
          <w:szCs w:val="20"/>
        </w:rPr>
        <w:t xml:space="preserve">CONFIDENTIAL — For Client Use Only</w:t>
      </w:r>
    </w:p>
    <w:p>
      <w:pPr>
        <w:spacing w:after="0" w:before="0"/>
        <w:jc w:val="center"/>
      </w:pPr>
      <w:r>
        <w:rPr>
          <w:rFonts w:ascii="Arial" w:cs="Arial" w:eastAsia="Arial" w:hAnsi="Arial"/>
          <w:color w:val="595959"/>
          <w:sz w:val="18"/>
          <w:szCs w:val="18"/>
        </w:rPr>
        <w:t xml:space="preserve">Version 1.0  |  June 2026  |  Senior Solution Architecture &amp; AI Engineering Team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60"/>
    </w:pPr>
    <w:r>
      <w:rPr>
        <w:rFonts w:ascii="Arial" w:cs="Arial" w:eastAsia="Arial" w:hAnsi="Arial"/>
        <w:color w:val="595959"/>
        <w:sz w:val="16"/>
        <w:szCs w:val="16"/>
      </w:rPr>
      <w:t xml:space="preserve">Senior Solution Architecture &amp; AI Engineering Team</w:t>
    </w:r>
    <w:r>
      <w:rPr>
        <w:rFonts w:ascii="Arial" w:cs="Arial" w:eastAsia="Arial" w:hAnsi="Arial"/>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60" w:before="0"/>
    </w:pPr>
    <w:r>
      <w:rPr>
        <w:rFonts w:ascii="Arial" w:cs="Arial" w:eastAsia="Arial" w:hAnsi="Arial"/>
        <w:color w:val="595959"/>
        <w:sz w:val="16"/>
        <w:szCs w:val="16"/>
      </w:rPr>
      <w:t xml:space="preserve">Settlement Portfolio Decision Intelligence Agent</w:t>
    </w:r>
    <w:r>
      <w:rPr>
        <w:rFonts w:ascii="Arial" w:cs="Arial" w:eastAsia="Arial" w:hAnsi="Arial"/>
      </w:rPr>
      <w:t xml:space="preserve">	</w:t>
    </w:r>
    <w:r>
      <w:rPr>
        <w:rFonts w:ascii="Arial" w:cs="Arial" w:eastAsia="Arial" w:hAnsi="Arial"/>
        <w:color w:val="595959"/>
        <w:sz w:val="16"/>
        <w:szCs w:val="16"/>
      </w:rPr>
      <w:t xml:space="preserve">Confidential  |  v1.0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2026-06-15T10:53:09.541Z</dcterms:created>
  <dcterms:modified xsi:type="dcterms:W3CDTF">2026-06-15T10:53:09.555Z</dcterms:modified>
</cp:coreProperties>
</file>

<file path=docProps/custom.xml><?xml version="1.0" encoding="utf-8"?>
<Properties xmlns="http://schemas.openxmlformats.org/officeDocument/2006/custom-properties" xmlns:vt="http://schemas.openxmlformats.org/officeDocument/2006/docPropsVTypes"/>
</file>