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467FC" w14:textId="32169B9E" w:rsidR="0027558C" w:rsidRDefault="34D49212" w:rsidP="2BEAA4F9">
      <w:pPr>
        <w:pStyle w:val="Heading1"/>
        <w:spacing w:before="322" w:after="322"/>
        <w:rPr>
          <w:rFonts w:ascii="Trebuchet MS" w:eastAsia="Trebuchet MS" w:hAnsi="Trebuchet MS" w:cs="Trebuchet MS"/>
          <w:b/>
          <w:bCs/>
          <w:sz w:val="48"/>
          <w:szCs w:val="48"/>
        </w:rPr>
      </w:pPr>
      <w:r w:rsidRPr="2BEAA4F9">
        <w:rPr>
          <w:rFonts w:ascii="Trebuchet MS" w:eastAsia="Trebuchet MS" w:hAnsi="Trebuchet MS" w:cs="Trebuchet MS"/>
          <w:b/>
          <w:bCs/>
          <w:sz w:val="48"/>
          <w:szCs w:val="48"/>
        </w:rPr>
        <w:t>From Digital Identity to Digital Trust</w:t>
      </w:r>
    </w:p>
    <w:p w14:paraId="4EACE7E3" w14:textId="77777777" w:rsidR="003719E5" w:rsidRPr="003719E5" w:rsidRDefault="003719E5" w:rsidP="003719E5">
      <w:pPr>
        <w:rPr>
          <w:lang w:val="en-IN"/>
        </w:rPr>
      </w:pPr>
      <w:r w:rsidRPr="003719E5">
        <w:rPr>
          <w:lang w:val="en-IN"/>
        </w:rPr>
        <w:t>India has built one of the world's most sophisticated digital identity infrastructures. Aadhaar can establish trust in millions of high-assurance interactions every day, from opening a bank account to accessing government services.</w:t>
      </w:r>
    </w:p>
    <w:p w14:paraId="5A48DEBB" w14:textId="77777777" w:rsidR="003719E5" w:rsidRPr="003719E5" w:rsidRDefault="003719E5" w:rsidP="003719E5">
      <w:pPr>
        <w:rPr>
          <w:lang w:val="en-IN"/>
        </w:rPr>
      </w:pPr>
      <w:r w:rsidRPr="003719E5">
        <w:rPr>
          <w:lang w:val="en-IN"/>
        </w:rPr>
        <w:t>Yet proving something as simple as your age can still mean either ticking an unverified checkbox or sharing an entire identity document.</w:t>
      </w:r>
    </w:p>
    <w:p w14:paraId="3895A205" w14:textId="77777777" w:rsidR="003719E5" w:rsidRPr="003719E5" w:rsidRDefault="003719E5" w:rsidP="003719E5">
      <w:pPr>
        <w:rPr>
          <w:lang w:val="en-IN"/>
        </w:rPr>
      </w:pPr>
      <w:r w:rsidRPr="003719E5">
        <w:rPr>
          <w:lang w:val="en-IN"/>
        </w:rPr>
        <w:t>That gap raises a larger question: can we bring the trust of Aadhaar into everyday interactions without requiring people to share more about themselves than necessary?</w:t>
      </w:r>
    </w:p>
    <w:p w14:paraId="64F289A0" w14:textId="6D115E4A" w:rsidR="003719E5" w:rsidRPr="003719E5" w:rsidRDefault="003719E5" w:rsidP="003719E5">
      <w:pPr>
        <w:rPr>
          <w:lang w:val="en-IN"/>
        </w:rPr>
      </w:pPr>
      <w:r w:rsidRPr="003719E5">
        <w:rPr>
          <w:lang w:val="en-IN"/>
        </w:rPr>
        <w:t>The Aadhaar App may offer a glimpse of what that future could look like.</w:t>
      </w:r>
    </w:p>
    <w:p w14:paraId="76301A60" w14:textId="2D7F569F" w:rsidR="46049412" w:rsidRDefault="08B24119" w:rsidP="24EE4590">
      <w:pPr>
        <w:pStyle w:val="Heading2"/>
      </w:pPr>
      <w:r w:rsidRPr="2BEAA4F9">
        <w:t xml:space="preserve">Stuck Between Two Extremes: The Missing Middle in Identity Verification  </w:t>
      </w:r>
    </w:p>
    <w:p w14:paraId="20BEAF07" w14:textId="0DDA0D88" w:rsidR="0027558C" w:rsidRDefault="05C1E5AC" w:rsidP="2BEAA4F9">
      <w:pPr>
        <w:spacing w:before="240" w:after="240"/>
        <w:jc w:val="both"/>
      </w:pPr>
      <w:r w:rsidRPr="2BEAA4F9">
        <w:rPr>
          <w:rFonts w:ascii="Trebuchet MS" w:eastAsia="Trebuchet MS" w:hAnsi="Trebuchet MS" w:cs="Trebuchet MS"/>
        </w:rPr>
        <w:t xml:space="preserve">Over the last decade, Aadhaar has fundamentally transformed identity verification in India. Through secure online authentication and eKYC APIs, it has enabled trusted digital verification for regulated sectors such as banking, telecommunications, insurance, securities, and government welfare programmes. Today, the Aadhaar ecosystem processes approximately </w:t>
      </w:r>
      <w:hyperlink r:id="rId5">
        <w:r w:rsidRPr="2BEAA4F9">
          <w:rPr>
            <w:rStyle w:val="Hyperlink"/>
            <w:b/>
            <w:bCs/>
          </w:rPr>
          <w:t>80 to 100 million</w:t>
        </w:r>
      </w:hyperlink>
      <w:r w:rsidRPr="2BEAA4F9">
        <w:rPr>
          <w:rFonts w:ascii="Trebuchet MS" w:eastAsia="Trebuchet MS" w:hAnsi="Trebuchet MS" w:cs="Trebuchet MS"/>
        </w:rPr>
        <w:t xml:space="preserve"> authentication transactions every day, making it one of the world's largest digital identity verification infrastructures. For these regulated use cases, identity verification has largely evolved from manual document checks to secure, consent-based digital authentication.</w:t>
      </w:r>
    </w:p>
    <w:p w14:paraId="6953E3B9" w14:textId="2CF357BF" w:rsidR="0027558C" w:rsidRDefault="05C1E5AC" w:rsidP="2BEAA4F9">
      <w:pPr>
        <w:spacing w:before="240" w:after="240"/>
        <w:jc w:val="both"/>
      </w:pPr>
      <w:r w:rsidRPr="2BEAA4F9">
        <w:rPr>
          <w:rFonts w:ascii="Trebuchet MS" w:eastAsia="Trebuchet MS" w:hAnsi="Trebuchet MS" w:cs="Trebuchet MS"/>
        </w:rPr>
        <w:t xml:space="preserve">Yet outside these regulated environments, everyday identity verification remains largely unchanged. Hiring an employee, checking into a hotel, collecting a parcel, entering age-restricted venues, purchasing age-restricted products, verifying identity for apartment visitor management, or proving eligibility for local services often still relies on photocopies of identity documents or visual inspection of physical cards. </w:t>
      </w:r>
      <w:r w:rsidR="0089443A">
        <w:rPr>
          <w:rFonts w:ascii="Trebuchet MS" w:eastAsia="Trebuchet MS" w:hAnsi="Trebuchet MS" w:cs="Trebuchet MS"/>
        </w:rPr>
        <w:t xml:space="preserve">In opposite spectrum, </w:t>
      </w:r>
      <w:r w:rsidRPr="2BEAA4F9">
        <w:rPr>
          <w:rFonts w:ascii="Trebuchet MS" w:eastAsia="Trebuchet MS" w:hAnsi="Trebuchet MS" w:cs="Trebuchet MS"/>
        </w:rPr>
        <w:t>many online scenarios, such as accessing age-restricted content or creating accounts on digital platforms, verification is reduced to a simple self-declaration with no assurance that the information is genuine.</w:t>
      </w:r>
    </w:p>
    <w:p w14:paraId="62152296" w14:textId="77777777" w:rsidR="0089443A" w:rsidRDefault="0089443A" w:rsidP="0089443A">
      <w:pPr>
        <w:spacing w:before="240" w:after="240"/>
        <w:jc w:val="both"/>
        <w:rPr>
          <w:rFonts w:ascii="Trebuchet MS" w:eastAsia="Trebuchet MS" w:hAnsi="Trebuchet MS" w:cs="Trebuchet MS"/>
        </w:rPr>
      </w:pPr>
      <w:r w:rsidRPr="0089443A">
        <w:rPr>
          <w:rFonts w:ascii="Trebuchet MS" w:eastAsia="Trebuchet MS" w:hAnsi="Trebuchet MS" w:cs="Trebuchet MS"/>
        </w:rPr>
        <w:t>Online age verification illustrates this gap clearly. A platform may simply ask a user to confirm that they are above 18 by ticking a checkbox. If stronger verification is required, the alternative is often to upload an entire government-issued identity document, revealing the user's name, full date of birth, address, photograph, and document number. Yet the platform may need to know only one fact: whether the individual satisfies the required age threshold.</w:t>
      </w:r>
    </w:p>
    <w:p w14:paraId="6707FDD6" w14:textId="77777777" w:rsidR="0089443A" w:rsidRDefault="0089443A" w:rsidP="2BEAA4F9">
      <w:pPr>
        <w:spacing w:before="240" w:after="240"/>
        <w:jc w:val="both"/>
        <w:rPr>
          <w:rFonts w:ascii="Trebuchet MS" w:eastAsia="Trebuchet MS" w:hAnsi="Trebuchet MS" w:cs="Trebuchet MS"/>
        </w:rPr>
      </w:pPr>
      <w:r w:rsidRPr="0089443A">
        <w:rPr>
          <w:rFonts w:ascii="Trebuchet MS" w:eastAsia="Trebuchet MS" w:hAnsi="Trebuchet MS" w:cs="Trebuchet MS"/>
        </w:rPr>
        <w:lastRenderedPageBreak/>
        <w:t>The challenge, therefore, is not simply to introduce stronger identity verification everywhere. Different interactions require different levels of assurance. Some require complete identity verification, while others only require confirmation of a single attribute. The real opportunity is to provide the appropriate level of trust for each interaction while revealing only the minimum information necessary.</w:t>
      </w:r>
    </w:p>
    <w:p w14:paraId="7B00FC6A" w14:textId="1B820BB6" w:rsidR="0027558C" w:rsidRDefault="05C1E5AC" w:rsidP="2BEAA4F9">
      <w:pPr>
        <w:spacing w:before="240" w:after="240"/>
        <w:jc w:val="both"/>
      </w:pPr>
      <w:r w:rsidRPr="2BEAA4F9">
        <w:rPr>
          <w:rFonts w:ascii="Trebuchet MS" w:eastAsia="Trebuchet MS" w:hAnsi="Trebuchet MS" w:cs="Trebuchet MS"/>
        </w:rPr>
        <w:t>That is the gap the new Aadhaar App has been designed to address.</w:t>
      </w:r>
    </w:p>
    <w:p w14:paraId="6031D6A4" w14:textId="03809661" w:rsidR="64446411" w:rsidRDefault="64446411" w:rsidP="2BEAA4F9">
      <w:pPr>
        <w:jc w:val="both"/>
        <w:rPr>
          <w:rFonts w:ascii="Trebuchet MS" w:eastAsia="Trebuchet MS" w:hAnsi="Trebuchet MS" w:cs="Trebuchet MS"/>
        </w:rPr>
      </w:pPr>
      <w:r>
        <w:rPr>
          <w:noProof/>
        </w:rPr>
        <w:drawing>
          <wp:inline distT="0" distB="0" distL="0" distR="0" wp14:anchorId="25852421" wp14:editId="31392401">
            <wp:extent cx="4791075" cy="4107733"/>
            <wp:effectExtent l="0" t="0" r="0" b="0"/>
            <wp:docPr id="3141570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57044" name="Picture 314157044"/>
                    <pic:cNvPicPr/>
                  </pic:nvPicPr>
                  <pic:blipFill>
                    <a:blip r:embed="rId6">
                      <a:extLst>
                        <a:ext uri="{28A0092B-C50C-407E-A947-70E740481C1C}">
                          <a14:useLocalDpi xmlns:a14="http://schemas.microsoft.com/office/drawing/2010/main"/>
                        </a:ext>
                      </a:extLst>
                    </a:blip>
                    <a:stretch>
                      <a:fillRect/>
                    </a:stretch>
                  </pic:blipFill>
                  <pic:spPr>
                    <a:xfrm>
                      <a:off x="0" y="0"/>
                      <a:ext cx="4791075" cy="4107733"/>
                    </a:xfrm>
                    <a:prstGeom prst="rect">
                      <a:avLst/>
                    </a:prstGeom>
                  </pic:spPr>
                </pic:pic>
              </a:graphicData>
            </a:graphic>
          </wp:inline>
        </w:drawing>
      </w:r>
    </w:p>
    <w:p w14:paraId="70C32044" w14:textId="3C8FFDEE" w:rsidR="64446411" w:rsidRDefault="64446411" w:rsidP="2BEAA4F9">
      <w:pPr>
        <w:jc w:val="both"/>
      </w:pPr>
      <w:r w:rsidRPr="2BEAA4F9">
        <w:rPr>
          <w:rFonts w:ascii="Trebuchet MS" w:eastAsia="Trebuchet MS" w:hAnsi="Trebuchet MS" w:cs="Trebuchet MS"/>
        </w:rPr>
        <w:t>Figure 1: Aadhaar App</w:t>
      </w:r>
    </w:p>
    <w:p w14:paraId="151BF9A9" w14:textId="1780107D" w:rsidR="2DF02044" w:rsidRDefault="2DF02044" w:rsidP="2BEAA4F9">
      <w:pPr>
        <w:pStyle w:val="Heading2"/>
        <w:spacing w:before="299" w:after="299"/>
        <w:jc w:val="both"/>
      </w:pPr>
      <w:r w:rsidRPr="2BEAA4F9">
        <w:rPr>
          <w:rFonts w:ascii="Trebuchet MS" w:eastAsia="Trebuchet MS" w:hAnsi="Trebuchet MS" w:cs="Trebuchet MS"/>
          <w:b/>
          <w:bCs/>
          <w:sz w:val="36"/>
          <w:szCs w:val="36"/>
        </w:rPr>
        <w:t>The Right Assurance, with the Right Data</w:t>
      </w:r>
    </w:p>
    <w:p w14:paraId="0DFD904C" w14:textId="20079509" w:rsidR="44E9D9FC" w:rsidRDefault="002D316A" w:rsidP="2BEAA4F9">
      <w:pPr>
        <w:spacing w:before="240" w:after="240"/>
        <w:jc w:val="both"/>
      </w:pPr>
      <w:r w:rsidRPr="002D316A">
        <w:rPr>
          <w:rFonts w:ascii="Trebuchet MS" w:eastAsia="Trebuchet MS" w:hAnsi="Trebuchet MS" w:cs="Trebuchet MS"/>
        </w:rPr>
        <w:t>The Aadhaar App is designed around this principle of proportional identity verification. Rather than treating identity verification as an all-or-nothing exercise, it allows individuals to share the specific identity information or assurance required for a particular interaction</w:t>
      </w:r>
      <w:r w:rsidR="44E9D9FC" w:rsidRPr="2BEAA4F9">
        <w:rPr>
          <w:rFonts w:ascii="Trebuchet MS" w:eastAsia="Trebuchet MS" w:hAnsi="Trebuchet MS" w:cs="Trebuchet MS"/>
        </w:rPr>
        <w:t>.</w:t>
      </w:r>
    </w:p>
    <w:p w14:paraId="75B36ED8" w14:textId="0928F7FF" w:rsidR="44E9D9FC" w:rsidRDefault="002D316A" w:rsidP="2BEAA4F9">
      <w:pPr>
        <w:spacing w:before="240" w:after="240"/>
        <w:jc w:val="both"/>
      </w:pPr>
      <w:r w:rsidRPr="002D316A">
        <w:rPr>
          <w:rFonts w:ascii="Trebuchet MS" w:eastAsia="Trebuchet MS" w:hAnsi="Trebuchet MS" w:cs="Trebuchet MS"/>
        </w:rPr>
        <w:t xml:space="preserve">At the centre of this approach is a shift from sharing identity documents to sharing cryptographically verifiable claims. Instead of exchanging complete identity records, </w:t>
      </w:r>
      <w:r w:rsidRPr="002D316A">
        <w:rPr>
          <w:rFonts w:ascii="Trebuchet MS" w:eastAsia="Trebuchet MS" w:hAnsi="Trebuchet MS" w:cs="Trebuchet MS"/>
        </w:rPr>
        <w:lastRenderedPageBreak/>
        <w:t>the Aadhaar App can provide a verifiable response to a specific request. Modern digital credential and privacy-preserving technologies, including Verifiable Credentials and Zero-Knowledge Proofs, make it possible to verify facts about an individual without necessarily revealing the underlying identity data</w:t>
      </w:r>
      <w:r w:rsidR="44E9D9FC" w:rsidRPr="2BEAA4F9">
        <w:rPr>
          <w:rFonts w:ascii="Trebuchet MS" w:eastAsia="Trebuchet MS" w:hAnsi="Trebuchet MS" w:cs="Trebuchet MS"/>
        </w:rPr>
        <w:t>.</w:t>
      </w:r>
    </w:p>
    <w:p w14:paraId="3F9A93D2" w14:textId="77777777" w:rsidR="002D316A" w:rsidRPr="002D316A" w:rsidRDefault="002D316A" w:rsidP="002D316A">
      <w:pPr>
        <w:spacing w:before="240" w:after="240"/>
        <w:jc w:val="both"/>
        <w:rPr>
          <w:rFonts w:ascii="Trebuchet MS" w:eastAsia="Trebuchet MS" w:hAnsi="Trebuchet MS" w:cs="Trebuchet MS"/>
          <w:lang w:val="en-IN"/>
        </w:rPr>
      </w:pPr>
      <w:r w:rsidRPr="002D316A">
        <w:rPr>
          <w:rFonts w:ascii="Trebuchet MS" w:eastAsia="Trebuchet MS" w:hAnsi="Trebuchet MS" w:cs="Trebuchet MS"/>
          <w:lang w:val="en-IN"/>
        </w:rPr>
        <w:t>Consider the age verification example again. A platform requests confirmation that the user is above 18. The user reviews the request, provides consent, and completes a quick face authentication within the Aadhaar App. The platform receives a simple, verifiable response:</w:t>
      </w:r>
    </w:p>
    <w:p w14:paraId="2825B4B6" w14:textId="77777777" w:rsidR="002D316A" w:rsidRPr="002D316A" w:rsidRDefault="002D316A" w:rsidP="002D316A">
      <w:pPr>
        <w:spacing w:before="240" w:after="240"/>
        <w:jc w:val="both"/>
        <w:rPr>
          <w:rFonts w:ascii="Trebuchet MS" w:eastAsia="Trebuchet MS" w:hAnsi="Trebuchet MS" w:cs="Trebuchet MS"/>
          <w:lang w:val="en-IN"/>
        </w:rPr>
      </w:pPr>
      <w:r w:rsidRPr="002D316A">
        <w:rPr>
          <w:rFonts w:ascii="Trebuchet MS" w:eastAsia="Trebuchet MS" w:hAnsi="Trebuchet MS" w:cs="Trebuchet MS"/>
          <w:b/>
          <w:bCs/>
          <w:lang w:val="en-IN"/>
        </w:rPr>
        <w:t>Is the user above 18?</w:t>
      </w:r>
    </w:p>
    <w:p w14:paraId="4992604A" w14:textId="77777777" w:rsidR="002D316A" w:rsidRPr="002D316A" w:rsidRDefault="002D316A" w:rsidP="002D316A">
      <w:pPr>
        <w:spacing w:before="240" w:after="240"/>
        <w:jc w:val="both"/>
        <w:rPr>
          <w:rFonts w:ascii="Trebuchet MS" w:eastAsia="Trebuchet MS" w:hAnsi="Trebuchet MS" w:cs="Trebuchet MS"/>
          <w:lang w:val="en-IN"/>
        </w:rPr>
      </w:pPr>
      <w:r w:rsidRPr="002D316A">
        <w:rPr>
          <w:rFonts w:ascii="Trebuchet MS" w:eastAsia="Trebuchet MS" w:hAnsi="Trebuchet MS" w:cs="Trebuchet MS"/>
          <w:b/>
          <w:bCs/>
          <w:lang w:val="en-IN"/>
        </w:rPr>
        <w:t>Yes.</w:t>
      </w:r>
    </w:p>
    <w:p w14:paraId="0F84DD3D" w14:textId="77777777" w:rsidR="002D316A" w:rsidRPr="002D316A" w:rsidRDefault="002D316A" w:rsidP="002D316A">
      <w:pPr>
        <w:spacing w:before="240" w:after="240"/>
        <w:jc w:val="both"/>
        <w:rPr>
          <w:rFonts w:ascii="Trebuchet MS" w:eastAsia="Trebuchet MS" w:hAnsi="Trebuchet MS" w:cs="Trebuchet MS"/>
          <w:lang w:val="en-IN"/>
        </w:rPr>
      </w:pPr>
      <w:r w:rsidRPr="002D316A">
        <w:rPr>
          <w:rFonts w:ascii="Trebuchet MS" w:eastAsia="Trebuchet MS" w:hAnsi="Trebuchet MS" w:cs="Trebuchet MS"/>
          <w:lang w:val="en-IN"/>
        </w:rPr>
        <w:t>Nothing more.</w:t>
      </w:r>
    </w:p>
    <w:p w14:paraId="77282547" w14:textId="77777777" w:rsidR="002D316A" w:rsidRPr="002D316A" w:rsidRDefault="002D316A" w:rsidP="002D316A">
      <w:pPr>
        <w:spacing w:before="240" w:after="240"/>
        <w:jc w:val="both"/>
        <w:rPr>
          <w:rFonts w:ascii="Trebuchet MS" w:eastAsia="Trebuchet MS" w:hAnsi="Trebuchet MS" w:cs="Trebuchet MS"/>
          <w:lang w:val="en-IN"/>
        </w:rPr>
      </w:pPr>
      <w:r w:rsidRPr="002D316A">
        <w:rPr>
          <w:rFonts w:ascii="Trebuchet MS" w:eastAsia="Trebuchet MS" w:hAnsi="Trebuchet MS" w:cs="Trebuchet MS"/>
          <w:lang w:val="en-IN"/>
        </w:rPr>
        <w:t>No Aadhaar number. No date of birth. No address.</w:t>
      </w:r>
    </w:p>
    <w:p w14:paraId="5A2B16DE" w14:textId="77777777" w:rsidR="002D316A" w:rsidRPr="002D316A" w:rsidRDefault="002D316A" w:rsidP="002D316A">
      <w:pPr>
        <w:spacing w:before="240" w:after="240"/>
        <w:jc w:val="both"/>
        <w:rPr>
          <w:rFonts w:ascii="Trebuchet MS" w:eastAsia="Trebuchet MS" w:hAnsi="Trebuchet MS" w:cs="Trebuchet MS"/>
          <w:lang w:val="en-IN"/>
        </w:rPr>
      </w:pPr>
      <w:r w:rsidRPr="002D316A">
        <w:rPr>
          <w:rFonts w:ascii="Trebuchet MS" w:eastAsia="Trebuchet MS" w:hAnsi="Trebuchet MS" w:cs="Trebuchet MS"/>
          <w:lang w:val="en-IN"/>
        </w:rPr>
        <w:t>The platform receives the assurance it needs, while the individual retains control over the information they share.</w:t>
      </w:r>
    </w:p>
    <w:p w14:paraId="59794F15" w14:textId="5F84E733" w:rsidR="44E9D9FC" w:rsidRPr="002D316A" w:rsidRDefault="002D316A" w:rsidP="2BEAA4F9">
      <w:pPr>
        <w:spacing w:before="240" w:after="240"/>
        <w:jc w:val="both"/>
        <w:rPr>
          <w:rFonts w:ascii="Trebuchet MS" w:eastAsia="Trebuchet MS" w:hAnsi="Trebuchet MS" w:cs="Trebuchet MS"/>
          <w:lang w:val="en-IN"/>
        </w:rPr>
      </w:pPr>
      <w:r w:rsidRPr="002D316A">
        <w:rPr>
          <w:rFonts w:ascii="Trebuchet MS" w:eastAsia="Trebuchet MS" w:hAnsi="Trebuchet MS" w:cs="Trebuchet MS"/>
          <w:lang w:val="en-IN"/>
        </w:rPr>
        <w:t>This is the fundamental shift enabled by the Aadhaar App: from repeatedly sharing identity documents to presenting verifiable facts. Trust is established through cryptographic proof rather than unnecessary data collection, allowing organisations to verify what they need without requiring individuals to disclose more than the interaction demands.</w:t>
      </w:r>
    </w:p>
    <w:p w14:paraId="4076A52C" w14:textId="4E6B1762" w:rsidR="42F791EB" w:rsidRDefault="5146DBF8" w:rsidP="24EE4590">
      <w:pPr>
        <w:jc w:val="both"/>
      </w:pPr>
      <w:r>
        <w:rPr>
          <w:noProof/>
        </w:rPr>
        <w:drawing>
          <wp:inline distT="0" distB="0" distL="0" distR="0" wp14:anchorId="37FD1212" wp14:editId="364C7D32">
            <wp:extent cx="5943600" cy="2228850"/>
            <wp:effectExtent l="0" t="0" r="0" b="0"/>
            <wp:docPr id="14323619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064066" name="Picture 1400064066"/>
                    <pic:cNvPicPr/>
                  </pic:nvPicPr>
                  <pic:blipFill>
                    <a:blip r:embed="rId7">
                      <a:extLst>
                        <a:ext uri="{28A0092B-C50C-407E-A947-70E740481C1C}">
                          <a14:useLocalDpi xmlns:a14="http://schemas.microsoft.com/office/drawing/2010/main"/>
                        </a:ext>
                      </a:extLst>
                    </a:blip>
                    <a:stretch>
                      <a:fillRect/>
                    </a:stretch>
                  </pic:blipFill>
                  <pic:spPr>
                    <a:xfrm>
                      <a:off x="0" y="0"/>
                      <a:ext cx="5943600" cy="2228850"/>
                    </a:xfrm>
                    <a:prstGeom prst="rect">
                      <a:avLst/>
                    </a:prstGeom>
                  </pic:spPr>
                </pic:pic>
              </a:graphicData>
            </a:graphic>
          </wp:inline>
        </w:drawing>
      </w:r>
      <w:r>
        <w:t xml:space="preserve">Fig </w:t>
      </w:r>
      <w:r w:rsidR="00263500">
        <w:t>2</w:t>
      </w:r>
      <w:r>
        <w:t>: Social Media verification workflow</w:t>
      </w:r>
    </w:p>
    <w:p w14:paraId="1F32350F" w14:textId="23BB97B9" w:rsidR="0AF09B07" w:rsidRDefault="0AF09B07" w:rsidP="2BEAA4F9">
      <w:pPr>
        <w:pStyle w:val="Heading2"/>
        <w:spacing w:before="299" w:after="299"/>
        <w:jc w:val="both"/>
      </w:pPr>
      <w:r w:rsidRPr="2BEAA4F9">
        <w:rPr>
          <w:rFonts w:ascii="Trebuchet MS" w:eastAsia="Trebuchet MS" w:hAnsi="Trebuchet MS" w:cs="Trebuchet MS"/>
          <w:b/>
          <w:bCs/>
          <w:sz w:val="36"/>
          <w:szCs w:val="36"/>
        </w:rPr>
        <w:lastRenderedPageBreak/>
        <w:t>An Open Ecosystem, Not Another Identity App</w:t>
      </w:r>
    </w:p>
    <w:p w14:paraId="1D6F3B0F" w14:textId="14EA04B4" w:rsidR="002D316A" w:rsidRPr="002D316A" w:rsidRDefault="002D316A" w:rsidP="002D316A">
      <w:pPr>
        <w:spacing w:before="240" w:after="240"/>
        <w:jc w:val="both"/>
        <w:rPr>
          <w:rFonts w:ascii="Trebuchet MS" w:eastAsia="Trebuchet MS" w:hAnsi="Trebuchet MS" w:cs="Trebuchet MS"/>
          <w:lang w:val="en-IN"/>
        </w:rPr>
      </w:pPr>
      <w:r w:rsidRPr="002D316A">
        <w:rPr>
          <w:rFonts w:ascii="Trebuchet MS" w:eastAsia="Trebuchet MS" w:hAnsi="Trebuchet MS" w:cs="Trebuchet MS"/>
          <w:lang w:val="en-IN"/>
        </w:rPr>
        <w:t>But enabling individuals to share verifiable facts is only part of the challenge. For this model to work at scale, these credentials must be usable across different wallets, platforms, and services rather than being confined to a single application.</w:t>
      </w:r>
    </w:p>
    <w:p w14:paraId="4F3978B4" w14:textId="77777777" w:rsidR="002D316A" w:rsidRPr="002D316A" w:rsidRDefault="002D316A" w:rsidP="002D316A">
      <w:pPr>
        <w:spacing w:before="240" w:after="240"/>
        <w:jc w:val="both"/>
        <w:rPr>
          <w:rFonts w:ascii="Trebuchet MS" w:eastAsia="Trebuchet MS" w:hAnsi="Trebuchet MS" w:cs="Trebuchet MS"/>
          <w:lang w:val="en-IN"/>
        </w:rPr>
      </w:pPr>
      <w:r w:rsidRPr="002D316A">
        <w:rPr>
          <w:rFonts w:ascii="Trebuchet MS" w:eastAsia="Trebuchet MS" w:hAnsi="Trebuchet MS" w:cs="Trebuchet MS"/>
          <w:lang w:val="en-IN"/>
        </w:rPr>
        <w:t>The Aadhaar App is therefore more than a mobile application. It is the first implementation of an open digital identity ecosystem designed around interoperability rather than proprietary integrations.</w:t>
      </w:r>
    </w:p>
    <w:p w14:paraId="6AD86B74" w14:textId="77777777" w:rsidR="002D316A" w:rsidRPr="002D316A" w:rsidRDefault="002D316A" w:rsidP="002D316A">
      <w:pPr>
        <w:spacing w:before="240" w:after="240"/>
        <w:jc w:val="both"/>
        <w:rPr>
          <w:rFonts w:ascii="Trebuchet MS" w:eastAsia="Trebuchet MS" w:hAnsi="Trebuchet MS" w:cs="Trebuchet MS"/>
          <w:lang w:val="en-IN"/>
        </w:rPr>
      </w:pPr>
      <w:r w:rsidRPr="002D316A">
        <w:rPr>
          <w:rFonts w:ascii="Trebuchet MS" w:eastAsia="Trebuchet MS" w:hAnsi="Trebuchet MS" w:cs="Trebuchet MS"/>
          <w:lang w:val="en-IN"/>
        </w:rPr>
        <w:t>This philosophy mirrors the success of UPI. UPI did not become transformative because everyone used the same payment application. It succeeded because it created a common set of standards that allowed banks and payment apps to interoperate seamlessly. Users were free to choose their preferred application while remaining part of the same trusted ecosystem.</w:t>
      </w:r>
    </w:p>
    <w:p w14:paraId="0B9F27B9" w14:textId="77777777" w:rsidR="002D316A" w:rsidRPr="002D316A" w:rsidRDefault="002D316A" w:rsidP="002D316A">
      <w:pPr>
        <w:spacing w:before="240" w:after="240"/>
        <w:jc w:val="both"/>
        <w:rPr>
          <w:rFonts w:ascii="Trebuchet MS" w:eastAsia="Trebuchet MS" w:hAnsi="Trebuchet MS" w:cs="Trebuchet MS"/>
          <w:lang w:val="en-IN"/>
        </w:rPr>
      </w:pPr>
      <w:r w:rsidRPr="002D316A">
        <w:rPr>
          <w:rFonts w:ascii="Trebuchet MS" w:eastAsia="Trebuchet MS" w:hAnsi="Trebuchet MS" w:cs="Trebuchet MS"/>
          <w:lang w:val="en-IN"/>
        </w:rPr>
        <w:t>The Aadhaar digital credential ecosystem follows the same principle.</w:t>
      </w:r>
    </w:p>
    <w:p w14:paraId="73C38AF1" w14:textId="77777777" w:rsidR="002D316A" w:rsidRPr="002D316A" w:rsidRDefault="002D316A" w:rsidP="002D316A">
      <w:pPr>
        <w:spacing w:before="240" w:after="240"/>
        <w:jc w:val="both"/>
        <w:rPr>
          <w:rFonts w:ascii="Trebuchet MS" w:eastAsia="Trebuchet MS" w:hAnsi="Trebuchet MS" w:cs="Trebuchet MS"/>
          <w:lang w:val="en-IN"/>
        </w:rPr>
      </w:pPr>
      <w:r w:rsidRPr="002D316A">
        <w:rPr>
          <w:rFonts w:ascii="Trebuchet MS" w:eastAsia="Trebuchet MS" w:hAnsi="Trebuchet MS" w:cs="Trebuchet MS"/>
          <w:lang w:val="en-IN"/>
        </w:rPr>
        <w:t>Rather than locking users into a single wallet, Aadhaar credentials are represented using internationally recognised Verifiable Credential standards. The Aadhaar App serves as the native wallet, but users are not restricted to it. The same credentials can be securely stored and presented through any compliant wallet, including platforms such as Google Wallet. Likewise, organisations can verify credentials from any standards-compliant wallet through a common trust framework instead of maintaining separate integrations for every provider.</w:t>
      </w:r>
    </w:p>
    <w:p w14:paraId="374C3930" w14:textId="66DCDECA" w:rsidR="0AF09B07" w:rsidRPr="002D316A" w:rsidRDefault="002D316A" w:rsidP="002D316A">
      <w:pPr>
        <w:spacing w:before="240" w:after="240"/>
        <w:jc w:val="both"/>
        <w:rPr>
          <w:rFonts w:ascii="Trebuchet MS" w:eastAsia="Trebuchet MS" w:hAnsi="Trebuchet MS" w:cs="Trebuchet MS"/>
          <w:lang w:val="en-IN"/>
        </w:rPr>
      </w:pPr>
      <w:r w:rsidRPr="002D316A">
        <w:rPr>
          <w:rFonts w:ascii="Trebuchet MS" w:eastAsia="Trebuchet MS" w:hAnsi="Trebuchet MS" w:cs="Trebuchet MS"/>
          <w:lang w:val="en-IN"/>
        </w:rPr>
        <w:t>This changes the model from an application-centric ecosystem to an interoperability-centric one. Wallet providers remain free to innovate, organisations integrate once, and users retain the freedom to choose the wallet that best meets their needs without sacrificing compatibility or trust.</w:t>
      </w:r>
    </w:p>
    <w:p w14:paraId="4DAA9BCD" w14:textId="40031288" w:rsidR="0027558C" w:rsidRDefault="7788958C" w:rsidP="2F53793F">
      <w:pPr>
        <w:spacing w:before="240" w:after="240"/>
      </w:pPr>
      <w:r>
        <w:rPr>
          <w:noProof/>
        </w:rPr>
        <w:lastRenderedPageBreak/>
        <w:drawing>
          <wp:inline distT="0" distB="0" distL="0" distR="0" wp14:anchorId="11F2636A" wp14:editId="3E27DFF5">
            <wp:extent cx="5943600" cy="3362325"/>
            <wp:effectExtent l="0" t="0" r="0" b="0"/>
            <wp:docPr id="17784937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93715" name="Picture 1778493715"/>
                    <pic:cNvPicPr/>
                  </pic:nvPicPr>
                  <pic:blipFill>
                    <a:blip r:embed="rId8">
                      <a:extLst>
                        <a:ext uri="{28A0092B-C50C-407E-A947-70E740481C1C}">
                          <a14:useLocalDpi xmlns:a14="http://schemas.microsoft.com/office/drawing/2010/main"/>
                        </a:ext>
                      </a:extLst>
                    </a:blip>
                    <a:stretch>
                      <a:fillRect/>
                    </a:stretch>
                  </pic:blipFill>
                  <pic:spPr>
                    <a:xfrm>
                      <a:off x="0" y="0"/>
                      <a:ext cx="5943600" cy="3362325"/>
                    </a:xfrm>
                    <a:prstGeom prst="rect">
                      <a:avLst/>
                    </a:prstGeom>
                  </pic:spPr>
                </pic:pic>
              </a:graphicData>
            </a:graphic>
          </wp:inline>
        </w:drawing>
      </w:r>
    </w:p>
    <w:p w14:paraId="4741FAA5" w14:textId="74FD4F06" w:rsidR="24EE4590" w:rsidRDefault="1AC8EB52" w:rsidP="00A65C87">
      <w:pPr>
        <w:spacing w:before="240" w:after="240"/>
      </w:pPr>
      <w:r>
        <w:t xml:space="preserve">Figure </w:t>
      </w:r>
      <w:r w:rsidR="00263500">
        <w:t>3</w:t>
      </w:r>
      <w:r>
        <w:t xml:space="preserve">: </w:t>
      </w:r>
      <w:r w:rsidR="1C3FEFFA">
        <w:t xml:space="preserve">Aadhaar VC Ecosystem </w:t>
      </w:r>
    </w:p>
    <w:p w14:paraId="6AB57CD4" w14:textId="13262303" w:rsidR="2CBE027A" w:rsidRDefault="2CBE027A" w:rsidP="2BEAA4F9">
      <w:pPr>
        <w:pStyle w:val="Heading2"/>
        <w:spacing w:before="240" w:after="240"/>
      </w:pPr>
      <w:r w:rsidRPr="2BEAA4F9">
        <w:rPr>
          <w:rFonts w:ascii="Trebuchet MS" w:eastAsia="Trebuchet MS" w:hAnsi="Trebuchet MS" w:cs="Trebuchet MS"/>
          <w:b/>
          <w:bCs/>
          <w:sz w:val="36"/>
          <w:szCs w:val="36"/>
        </w:rPr>
        <w:t xml:space="preserve">What This Makes Possible </w:t>
      </w:r>
    </w:p>
    <w:p w14:paraId="3F52F7FF" w14:textId="77777777" w:rsidR="00263500" w:rsidRPr="00263500" w:rsidRDefault="00263500" w:rsidP="00263500">
      <w:pPr>
        <w:spacing w:before="240" w:after="240"/>
        <w:jc w:val="both"/>
        <w:rPr>
          <w:lang w:val="en-IN"/>
        </w:rPr>
      </w:pPr>
      <w:r w:rsidRPr="00263500">
        <w:rPr>
          <w:lang w:val="en-IN"/>
        </w:rPr>
        <w:t>The significance of this evolution extends far beyond replacing a physical Aadhaar card with a digital version. It creates new possibilities for how trusted interactions can be designed across the economy.</w:t>
      </w:r>
    </w:p>
    <w:p w14:paraId="6D00C661" w14:textId="77777777" w:rsidR="00263500" w:rsidRPr="00263500" w:rsidRDefault="00263500" w:rsidP="00263500">
      <w:pPr>
        <w:spacing w:before="240" w:after="240"/>
        <w:jc w:val="both"/>
        <w:rPr>
          <w:lang w:val="en-IN"/>
        </w:rPr>
      </w:pPr>
      <w:r w:rsidRPr="00263500">
        <w:rPr>
          <w:lang w:val="en-IN"/>
        </w:rPr>
        <w:t>For individuals, this means greater control over personal information, with the ability to share only what is necessary for each interaction. For businesses and service providers, it offers stronger cryptographic assurance while reducing the need to collect and store large volumes of personal data. Identity information that has already been securely verified can also be presented again as a trusted credential, reducing the need to repeatedly perform the same verification across different services.</w:t>
      </w:r>
    </w:p>
    <w:p w14:paraId="51C761C9" w14:textId="77777777" w:rsidR="00263500" w:rsidRPr="00263500" w:rsidRDefault="00263500" w:rsidP="00263500">
      <w:pPr>
        <w:spacing w:before="240" w:after="240"/>
        <w:jc w:val="both"/>
        <w:rPr>
          <w:lang w:val="en-IN"/>
        </w:rPr>
      </w:pPr>
      <w:r w:rsidRPr="00263500">
        <w:rPr>
          <w:lang w:val="en-IN"/>
        </w:rPr>
        <w:t>The possibilities become particularly interesting when verifiable identity begins to work alongside other digital infrastructure. Consider instant payments. Today, a UPI transaction may display the name associated with the receiving account. In the future, interactions that require higher assurance could also use a verifiable identity claim to establish a stronger link between a participant and a trusted identity assertion. Such proofs could support fraud prevention, grievance redressal, and reconciliation without requiring every service to independently collect and verify identity documents again.</w:t>
      </w:r>
    </w:p>
    <w:p w14:paraId="68FF413F" w14:textId="77777777" w:rsidR="00263500" w:rsidRPr="00263500" w:rsidRDefault="00263500" w:rsidP="00263500">
      <w:pPr>
        <w:spacing w:before="240" w:after="240"/>
        <w:jc w:val="both"/>
        <w:rPr>
          <w:lang w:val="en-IN"/>
        </w:rPr>
      </w:pPr>
      <w:r w:rsidRPr="00263500">
        <w:rPr>
          <w:lang w:val="en-IN"/>
        </w:rPr>
        <w:lastRenderedPageBreak/>
        <w:t>The same principle can extend across sectors. A trusted identity assertion established during onboarding could, with the individual's consent, be presented in subsequent interactions where similar assurance is required. Offline and device-bound credentials can further extend these trusted interactions to environments with limited or intermittent connectivity.</w:t>
      </w:r>
    </w:p>
    <w:p w14:paraId="2DB2593C" w14:textId="219B2179" w:rsidR="24EE4590" w:rsidRPr="00263500" w:rsidRDefault="00263500" w:rsidP="24EE4590">
      <w:pPr>
        <w:spacing w:before="240" w:after="240"/>
        <w:jc w:val="both"/>
        <w:rPr>
          <w:lang w:val="en-IN"/>
        </w:rPr>
      </w:pPr>
      <w:r w:rsidRPr="00263500">
        <w:rPr>
          <w:lang w:val="en-IN"/>
        </w:rPr>
        <w:t>What emerges is an identity ecosystem that is more privacy preserving, interoperable, and easier to adopt. More importantly, trust becomes portable. Individuals can carry trusted identity assertions across services, while organisations can rely on cryptographic assurance without repeatedly rebuilding identity verification from the ground up.</w:t>
      </w:r>
    </w:p>
    <w:p w14:paraId="5946883F" w14:textId="575FF353" w:rsidR="0027558C" w:rsidRPr="00263500" w:rsidRDefault="11857E33" w:rsidP="00263500">
      <w:pPr>
        <w:spacing w:before="240" w:after="240"/>
        <w:jc w:val="both"/>
        <w:rPr>
          <w:rFonts w:ascii="Trebuchet MS" w:eastAsia="Trebuchet MS" w:hAnsi="Trebuchet MS" w:cs="Trebuchet MS"/>
        </w:rPr>
      </w:pPr>
      <w:r>
        <w:rPr>
          <w:noProof/>
        </w:rPr>
        <w:drawing>
          <wp:inline distT="0" distB="0" distL="0" distR="0" wp14:anchorId="404A02A6" wp14:editId="3431193A">
            <wp:extent cx="5943600" cy="3962400"/>
            <wp:effectExtent l="0" t="0" r="0" b="0"/>
            <wp:docPr id="13044415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41592" name="Picture 1304441592"/>
                    <pic:cNvPicPr/>
                  </pic:nvPicPr>
                  <pic:blipFill>
                    <a:blip r:embed="rId9">
                      <a:extLst>
                        <a:ext uri="{28A0092B-C50C-407E-A947-70E740481C1C}">
                          <a14:useLocalDpi xmlns:a14="http://schemas.microsoft.com/office/drawing/2010/main"/>
                        </a:ext>
                      </a:extLst>
                    </a:blip>
                    <a:stretch>
                      <a:fillRect/>
                    </a:stretch>
                  </pic:blipFill>
                  <pic:spPr>
                    <a:xfrm>
                      <a:off x="0" y="0"/>
                      <a:ext cx="5943600" cy="3962400"/>
                    </a:xfrm>
                    <a:prstGeom prst="rect">
                      <a:avLst/>
                    </a:prstGeom>
                  </pic:spPr>
                </pic:pic>
              </a:graphicData>
            </a:graphic>
          </wp:inline>
        </w:drawing>
      </w:r>
      <w:r w:rsidRPr="2BEAA4F9">
        <w:rPr>
          <w:rFonts w:ascii="Trebuchet MS" w:eastAsia="Trebuchet MS" w:hAnsi="Trebuchet MS" w:cs="Trebuchet MS"/>
        </w:rPr>
        <w:t xml:space="preserve">Fig 4: </w:t>
      </w:r>
      <w:r w:rsidR="313FF1E6" w:rsidRPr="2BEAA4F9">
        <w:rPr>
          <w:rFonts w:ascii="Trebuchet MS" w:eastAsia="Trebuchet MS" w:hAnsi="Trebuchet MS" w:cs="Trebuchet MS"/>
        </w:rPr>
        <w:t>A</w:t>
      </w:r>
      <w:r w:rsidRPr="2BEAA4F9">
        <w:rPr>
          <w:rFonts w:ascii="Trebuchet MS" w:eastAsia="Trebuchet MS" w:hAnsi="Trebuchet MS" w:cs="Trebuchet MS"/>
        </w:rPr>
        <w:t xml:space="preserve"> PoS machine</w:t>
      </w:r>
      <w:r w:rsidR="3A60D952" w:rsidRPr="2BEAA4F9">
        <w:rPr>
          <w:rFonts w:ascii="Trebuchet MS" w:eastAsia="Trebuchet MS" w:hAnsi="Trebuchet MS" w:cs="Trebuchet MS"/>
        </w:rPr>
        <w:t xml:space="preserve"> enabled with Aadhaar based identity verification</w:t>
      </w:r>
    </w:p>
    <w:p w14:paraId="0F71CC90" w14:textId="52B1BD18" w:rsidR="0027558C" w:rsidRDefault="3A60D952" w:rsidP="24EE4590">
      <w:pPr>
        <w:pStyle w:val="Heading3"/>
        <w:spacing w:before="281" w:after="281"/>
        <w:rPr>
          <w:rFonts w:ascii="Trebuchet MS" w:eastAsia="Trebuchet MS" w:hAnsi="Trebuchet MS" w:cs="Trebuchet MS"/>
          <w:b/>
          <w:bCs/>
        </w:rPr>
      </w:pPr>
      <w:r w:rsidRPr="2BEAA4F9">
        <w:t>From Digital Identity to Digital Trust</w:t>
      </w:r>
      <w:r w:rsidR="3E43FAB5" w:rsidRPr="2BEAA4F9">
        <w:t xml:space="preserve"> </w:t>
      </w:r>
    </w:p>
    <w:p w14:paraId="7F549486" w14:textId="77777777" w:rsidR="00263500" w:rsidRPr="00263500" w:rsidRDefault="00263500" w:rsidP="00263500">
      <w:pPr>
        <w:jc w:val="both"/>
        <w:rPr>
          <w:rFonts w:ascii="Trebuchet MS" w:eastAsia="Trebuchet MS" w:hAnsi="Trebuchet MS" w:cs="Trebuchet MS"/>
          <w:lang w:val="en-IN"/>
        </w:rPr>
      </w:pPr>
      <w:r w:rsidRPr="00263500">
        <w:rPr>
          <w:rFonts w:ascii="Trebuchet MS" w:eastAsia="Trebuchet MS" w:hAnsi="Trebuchet MS" w:cs="Trebuchet MS"/>
          <w:lang w:val="en-IN"/>
        </w:rPr>
        <w:t>Aadhaar transformed identity verification by giving every resident access to a trusted digital identity and making that identity verifiable through secure authentication services. In doing so, it laid the foundation for one of the world's largest Digital Public Infrastructures.</w:t>
      </w:r>
    </w:p>
    <w:p w14:paraId="6AD2C7B9" w14:textId="77777777" w:rsidR="00263500" w:rsidRPr="00263500" w:rsidRDefault="00263500" w:rsidP="00263500">
      <w:pPr>
        <w:jc w:val="both"/>
        <w:rPr>
          <w:rFonts w:ascii="Trebuchet MS" w:eastAsia="Trebuchet MS" w:hAnsi="Trebuchet MS" w:cs="Trebuchet MS"/>
          <w:lang w:val="en-IN"/>
        </w:rPr>
      </w:pPr>
      <w:r w:rsidRPr="00263500">
        <w:rPr>
          <w:rFonts w:ascii="Trebuchet MS" w:eastAsia="Trebuchet MS" w:hAnsi="Trebuchet MS" w:cs="Trebuchet MS"/>
          <w:lang w:val="en-IN"/>
        </w:rPr>
        <w:lastRenderedPageBreak/>
        <w:t>The next phase of this journey is about extending that trust beyond traditional identity verification and into the everyday interactions where people and organisations need to establish confidence in one another.</w:t>
      </w:r>
    </w:p>
    <w:p w14:paraId="3344E58A" w14:textId="77777777" w:rsidR="00263500" w:rsidRPr="00263500" w:rsidRDefault="00263500" w:rsidP="00263500">
      <w:pPr>
        <w:jc w:val="both"/>
        <w:rPr>
          <w:rFonts w:ascii="Trebuchet MS" w:eastAsia="Trebuchet MS" w:hAnsi="Trebuchet MS" w:cs="Trebuchet MS"/>
          <w:lang w:val="en-IN"/>
        </w:rPr>
      </w:pPr>
      <w:r w:rsidRPr="00263500">
        <w:rPr>
          <w:rFonts w:ascii="Trebuchet MS" w:eastAsia="Trebuchet MS" w:hAnsi="Trebuchet MS" w:cs="Trebuchet MS"/>
          <w:lang w:val="en-IN"/>
        </w:rPr>
        <w:t>This is the larger opportunity behind the Aadhaar App. Not to digitise another identity document, or simply create another way to verify Aadhaar, but to make trusted assertions about identity usable across a much broader range of interactions.</w:t>
      </w:r>
    </w:p>
    <w:p w14:paraId="7526B72C" w14:textId="77777777" w:rsidR="00263500" w:rsidRPr="00263500" w:rsidRDefault="00263500" w:rsidP="00263500">
      <w:pPr>
        <w:jc w:val="both"/>
        <w:rPr>
          <w:rFonts w:ascii="Trebuchet MS" w:eastAsia="Trebuchet MS" w:hAnsi="Trebuchet MS" w:cs="Trebuchet MS"/>
          <w:lang w:val="en-IN"/>
        </w:rPr>
      </w:pPr>
      <w:r w:rsidRPr="00263500">
        <w:rPr>
          <w:rFonts w:ascii="Trebuchet MS" w:eastAsia="Trebuchet MS" w:hAnsi="Trebuchet MS" w:cs="Trebuchet MS"/>
          <w:lang w:val="en-IN"/>
        </w:rPr>
        <w:t>India's Digital Public Infrastructure has repeatedly demonstrated what happens when trusted infrastructure becomes widely accessible. Aadhaar created a trusted identity layer. UPI made digital payments interoperable. DigiLocker enabled trusted digital documents to move across services. Each reduced the need for individual organisations to build trust from the ground up.</w:t>
      </w:r>
    </w:p>
    <w:p w14:paraId="694DFD3B" w14:textId="77777777" w:rsidR="00263500" w:rsidRPr="00263500" w:rsidRDefault="00263500" w:rsidP="00263500">
      <w:pPr>
        <w:jc w:val="both"/>
        <w:rPr>
          <w:rFonts w:ascii="Trebuchet MS" w:eastAsia="Trebuchet MS" w:hAnsi="Trebuchet MS" w:cs="Trebuchet MS"/>
          <w:lang w:val="en-IN"/>
        </w:rPr>
      </w:pPr>
      <w:r w:rsidRPr="00263500">
        <w:rPr>
          <w:rFonts w:ascii="Trebuchet MS" w:eastAsia="Trebuchet MS" w:hAnsi="Trebuchet MS" w:cs="Trebuchet MS"/>
          <w:lang w:val="en-IN"/>
        </w:rPr>
        <w:t>The Aadhaar digital credential ecosystem extends this philosophy to everyday identity interactions. It creates the possibility of a world where trust can be established with the right level of assurance, carried across services, and verified without requiring individuals to repeatedly disclose their identity data.</w:t>
      </w:r>
    </w:p>
    <w:p w14:paraId="6FF8B026" w14:textId="77777777" w:rsidR="00263500" w:rsidRPr="00263500" w:rsidRDefault="00263500" w:rsidP="00263500">
      <w:pPr>
        <w:jc w:val="both"/>
        <w:rPr>
          <w:rFonts w:ascii="Trebuchet MS" w:eastAsia="Trebuchet MS" w:hAnsi="Trebuchet MS" w:cs="Trebuchet MS"/>
          <w:lang w:val="en-IN"/>
        </w:rPr>
      </w:pPr>
      <w:r w:rsidRPr="00263500">
        <w:rPr>
          <w:rFonts w:ascii="Trebuchet MS" w:eastAsia="Trebuchet MS" w:hAnsi="Trebuchet MS" w:cs="Trebuchet MS"/>
          <w:lang w:val="en-IN"/>
        </w:rPr>
        <w:t>The next chapter of India's digital journey is therefore not simply about digital identity.</w:t>
      </w:r>
    </w:p>
    <w:p w14:paraId="30998FDE" w14:textId="60CC0BA8" w:rsidR="66DB9A83" w:rsidRPr="00263500" w:rsidRDefault="00263500" w:rsidP="2BEAA4F9">
      <w:pPr>
        <w:jc w:val="both"/>
        <w:rPr>
          <w:rFonts w:ascii="Trebuchet MS" w:eastAsia="Trebuchet MS" w:hAnsi="Trebuchet MS" w:cs="Trebuchet MS"/>
          <w:lang w:val="en-IN"/>
        </w:rPr>
      </w:pPr>
      <w:r w:rsidRPr="00263500">
        <w:rPr>
          <w:rFonts w:ascii="Trebuchet MS" w:eastAsia="Trebuchet MS" w:hAnsi="Trebuchet MS" w:cs="Trebuchet MS"/>
          <w:lang w:val="en-IN"/>
        </w:rPr>
        <w:t>It is about digital trust.</w:t>
      </w:r>
    </w:p>
    <w:p w14:paraId="6014CC1D" w14:textId="57B4EB22" w:rsidR="2BEAA4F9" w:rsidRDefault="2BEAA4F9" w:rsidP="2BEAA4F9">
      <w:pPr>
        <w:jc w:val="both"/>
        <w:rPr>
          <w:rFonts w:ascii="Trebuchet MS" w:eastAsia="Trebuchet MS" w:hAnsi="Trebuchet MS" w:cs="Trebuchet MS"/>
        </w:rPr>
      </w:pPr>
    </w:p>
    <w:p w14:paraId="0798648C" w14:textId="12CF59F0" w:rsidR="24EE4590" w:rsidRDefault="24EE4590" w:rsidP="24EE4590">
      <w:pPr>
        <w:jc w:val="both"/>
        <w:rPr>
          <w:rFonts w:ascii="Trebuchet MS" w:eastAsia="Trebuchet MS" w:hAnsi="Trebuchet MS" w:cs="Trebuchet MS"/>
        </w:rPr>
      </w:pPr>
    </w:p>
    <w:sectPr w:rsidR="24EE459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61C54D"/>
    <w:multiLevelType w:val="hybridMultilevel"/>
    <w:tmpl w:val="CA0A658A"/>
    <w:lvl w:ilvl="0" w:tplc="D898BB24">
      <w:start w:val="1"/>
      <w:numFmt w:val="bullet"/>
      <w:lvlText w:val=""/>
      <w:lvlJc w:val="left"/>
      <w:pPr>
        <w:ind w:left="720" w:hanging="360"/>
      </w:pPr>
      <w:rPr>
        <w:rFonts w:ascii="Symbol" w:hAnsi="Symbol" w:hint="default"/>
      </w:rPr>
    </w:lvl>
    <w:lvl w:ilvl="1" w:tplc="E14A64C4">
      <w:start w:val="1"/>
      <w:numFmt w:val="bullet"/>
      <w:lvlText w:val="o"/>
      <w:lvlJc w:val="left"/>
      <w:pPr>
        <w:ind w:left="1440" w:hanging="360"/>
      </w:pPr>
      <w:rPr>
        <w:rFonts w:ascii="Courier New" w:hAnsi="Courier New" w:hint="default"/>
      </w:rPr>
    </w:lvl>
    <w:lvl w:ilvl="2" w:tplc="33F0ED4E">
      <w:start w:val="1"/>
      <w:numFmt w:val="bullet"/>
      <w:lvlText w:val=""/>
      <w:lvlJc w:val="left"/>
      <w:pPr>
        <w:ind w:left="2160" w:hanging="360"/>
      </w:pPr>
      <w:rPr>
        <w:rFonts w:ascii="Wingdings" w:hAnsi="Wingdings" w:hint="default"/>
      </w:rPr>
    </w:lvl>
    <w:lvl w:ilvl="3" w:tplc="90F6955C">
      <w:start w:val="1"/>
      <w:numFmt w:val="bullet"/>
      <w:lvlText w:val=""/>
      <w:lvlJc w:val="left"/>
      <w:pPr>
        <w:ind w:left="2880" w:hanging="360"/>
      </w:pPr>
      <w:rPr>
        <w:rFonts w:ascii="Symbol" w:hAnsi="Symbol" w:hint="default"/>
      </w:rPr>
    </w:lvl>
    <w:lvl w:ilvl="4" w:tplc="76E80F1E">
      <w:start w:val="1"/>
      <w:numFmt w:val="bullet"/>
      <w:lvlText w:val="o"/>
      <w:lvlJc w:val="left"/>
      <w:pPr>
        <w:ind w:left="3600" w:hanging="360"/>
      </w:pPr>
      <w:rPr>
        <w:rFonts w:ascii="Courier New" w:hAnsi="Courier New" w:hint="default"/>
      </w:rPr>
    </w:lvl>
    <w:lvl w:ilvl="5" w:tplc="6F1023EE">
      <w:start w:val="1"/>
      <w:numFmt w:val="bullet"/>
      <w:lvlText w:val=""/>
      <w:lvlJc w:val="left"/>
      <w:pPr>
        <w:ind w:left="4320" w:hanging="360"/>
      </w:pPr>
      <w:rPr>
        <w:rFonts w:ascii="Wingdings" w:hAnsi="Wingdings" w:hint="default"/>
      </w:rPr>
    </w:lvl>
    <w:lvl w:ilvl="6" w:tplc="B59EF78A">
      <w:start w:val="1"/>
      <w:numFmt w:val="bullet"/>
      <w:lvlText w:val=""/>
      <w:lvlJc w:val="left"/>
      <w:pPr>
        <w:ind w:left="5040" w:hanging="360"/>
      </w:pPr>
      <w:rPr>
        <w:rFonts w:ascii="Symbol" w:hAnsi="Symbol" w:hint="default"/>
      </w:rPr>
    </w:lvl>
    <w:lvl w:ilvl="7" w:tplc="FC805CD0">
      <w:start w:val="1"/>
      <w:numFmt w:val="bullet"/>
      <w:lvlText w:val="o"/>
      <w:lvlJc w:val="left"/>
      <w:pPr>
        <w:ind w:left="5760" w:hanging="360"/>
      </w:pPr>
      <w:rPr>
        <w:rFonts w:ascii="Courier New" w:hAnsi="Courier New" w:hint="default"/>
      </w:rPr>
    </w:lvl>
    <w:lvl w:ilvl="8" w:tplc="EA345FD0">
      <w:start w:val="1"/>
      <w:numFmt w:val="bullet"/>
      <w:lvlText w:val=""/>
      <w:lvlJc w:val="left"/>
      <w:pPr>
        <w:ind w:left="6480" w:hanging="360"/>
      </w:pPr>
      <w:rPr>
        <w:rFonts w:ascii="Wingdings" w:hAnsi="Wingdings" w:hint="default"/>
      </w:rPr>
    </w:lvl>
  </w:abstractNum>
  <w:abstractNum w:abstractNumId="1" w15:restartNumberingAfterBreak="0">
    <w:nsid w:val="70F96A5E"/>
    <w:multiLevelType w:val="hybridMultilevel"/>
    <w:tmpl w:val="A9AE2B70"/>
    <w:lvl w:ilvl="0" w:tplc="BBFAD6D0">
      <w:start w:val="1"/>
      <w:numFmt w:val="bullet"/>
      <w:lvlText w:val=""/>
      <w:lvlJc w:val="left"/>
      <w:pPr>
        <w:ind w:left="720" w:hanging="360"/>
      </w:pPr>
      <w:rPr>
        <w:rFonts w:ascii="Symbol" w:hAnsi="Symbol" w:hint="default"/>
      </w:rPr>
    </w:lvl>
    <w:lvl w:ilvl="1" w:tplc="95F6A960">
      <w:start w:val="1"/>
      <w:numFmt w:val="bullet"/>
      <w:lvlText w:val="o"/>
      <w:lvlJc w:val="left"/>
      <w:pPr>
        <w:ind w:left="1440" w:hanging="360"/>
      </w:pPr>
      <w:rPr>
        <w:rFonts w:ascii="Courier New" w:hAnsi="Courier New" w:hint="default"/>
      </w:rPr>
    </w:lvl>
    <w:lvl w:ilvl="2" w:tplc="5AF836CA">
      <w:start w:val="1"/>
      <w:numFmt w:val="bullet"/>
      <w:lvlText w:val=""/>
      <w:lvlJc w:val="left"/>
      <w:pPr>
        <w:ind w:left="2160" w:hanging="360"/>
      </w:pPr>
      <w:rPr>
        <w:rFonts w:ascii="Wingdings" w:hAnsi="Wingdings" w:hint="default"/>
      </w:rPr>
    </w:lvl>
    <w:lvl w:ilvl="3" w:tplc="4AC49938">
      <w:start w:val="1"/>
      <w:numFmt w:val="bullet"/>
      <w:lvlText w:val=""/>
      <w:lvlJc w:val="left"/>
      <w:pPr>
        <w:ind w:left="2880" w:hanging="360"/>
      </w:pPr>
      <w:rPr>
        <w:rFonts w:ascii="Symbol" w:hAnsi="Symbol" w:hint="default"/>
      </w:rPr>
    </w:lvl>
    <w:lvl w:ilvl="4" w:tplc="9A924EBE">
      <w:start w:val="1"/>
      <w:numFmt w:val="bullet"/>
      <w:lvlText w:val="o"/>
      <w:lvlJc w:val="left"/>
      <w:pPr>
        <w:ind w:left="3600" w:hanging="360"/>
      </w:pPr>
      <w:rPr>
        <w:rFonts w:ascii="Courier New" w:hAnsi="Courier New" w:hint="default"/>
      </w:rPr>
    </w:lvl>
    <w:lvl w:ilvl="5" w:tplc="578AC1B6">
      <w:start w:val="1"/>
      <w:numFmt w:val="bullet"/>
      <w:lvlText w:val=""/>
      <w:lvlJc w:val="left"/>
      <w:pPr>
        <w:ind w:left="4320" w:hanging="360"/>
      </w:pPr>
      <w:rPr>
        <w:rFonts w:ascii="Wingdings" w:hAnsi="Wingdings" w:hint="default"/>
      </w:rPr>
    </w:lvl>
    <w:lvl w:ilvl="6" w:tplc="F6A26286">
      <w:start w:val="1"/>
      <w:numFmt w:val="bullet"/>
      <w:lvlText w:val=""/>
      <w:lvlJc w:val="left"/>
      <w:pPr>
        <w:ind w:left="5040" w:hanging="360"/>
      </w:pPr>
      <w:rPr>
        <w:rFonts w:ascii="Symbol" w:hAnsi="Symbol" w:hint="default"/>
      </w:rPr>
    </w:lvl>
    <w:lvl w:ilvl="7" w:tplc="41C47190">
      <w:start w:val="1"/>
      <w:numFmt w:val="bullet"/>
      <w:lvlText w:val="o"/>
      <w:lvlJc w:val="left"/>
      <w:pPr>
        <w:ind w:left="5760" w:hanging="360"/>
      </w:pPr>
      <w:rPr>
        <w:rFonts w:ascii="Courier New" w:hAnsi="Courier New" w:hint="default"/>
      </w:rPr>
    </w:lvl>
    <w:lvl w:ilvl="8" w:tplc="42529C52">
      <w:start w:val="1"/>
      <w:numFmt w:val="bullet"/>
      <w:lvlText w:val=""/>
      <w:lvlJc w:val="left"/>
      <w:pPr>
        <w:ind w:left="6480" w:hanging="360"/>
      </w:pPr>
      <w:rPr>
        <w:rFonts w:ascii="Wingdings" w:hAnsi="Wingdings" w:hint="default"/>
      </w:rPr>
    </w:lvl>
  </w:abstractNum>
  <w:num w:numId="1" w16cid:durableId="1965429202">
    <w:abstractNumId w:val="0"/>
  </w:num>
  <w:num w:numId="2" w16cid:durableId="17623302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4A72238"/>
    <w:rsid w:val="00263500"/>
    <w:rsid w:val="0027558C"/>
    <w:rsid w:val="002A6EEE"/>
    <w:rsid w:val="002D316A"/>
    <w:rsid w:val="003719E5"/>
    <w:rsid w:val="0089443A"/>
    <w:rsid w:val="00A65C87"/>
    <w:rsid w:val="00E79F25"/>
    <w:rsid w:val="00F26F7C"/>
    <w:rsid w:val="011A621C"/>
    <w:rsid w:val="03110C64"/>
    <w:rsid w:val="03B1C60B"/>
    <w:rsid w:val="0534DFC8"/>
    <w:rsid w:val="05C1E5AC"/>
    <w:rsid w:val="06B40E98"/>
    <w:rsid w:val="07E954BA"/>
    <w:rsid w:val="087D0BA8"/>
    <w:rsid w:val="08B24119"/>
    <w:rsid w:val="096C1498"/>
    <w:rsid w:val="0A73BEE7"/>
    <w:rsid w:val="0AF09B07"/>
    <w:rsid w:val="0BA97F47"/>
    <w:rsid w:val="0DB466A7"/>
    <w:rsid w:val="0DCDBAA9"/>
    <w:rsid w:val="0ECD0852"/>
    <w:rsid w:val="0EE5AA20"/>
    <w:rsid w:val="0F4CB681"/>
    <w:rsid w:val="0F95AAD8"/>
    <w:rsid w:val="105A73FD"/>
    <w:rsid w:val="11857E33"/>
    <w:rsid w:val="14326DC2"/>
    <w:rsid w:val="15096BCA"/>
    <w:rsid w:val="15D01336"/>
    <w:rsid w:val="16377459"/>
    <w:rsid w:val="1778407A"/>
    <w:rsid w:val="198E6DAB"/>
    <w:rsid w:val="19DEC3CF"/>
    <w:rsid w:val="1A6622BE"/>
    <w:rsid w:val="1AA7546C"/>
    <w:rsid w:val="1AC8EB52"/>
    <w:rsid w:val="1AD774E1"/>
    <w:rsid w:val="1BAE6CF8"/>
    <w:rsid w:val="1C3FEFFA"/>
    <w:rsid w:val="1C79E3C2"/>
    <w:rsid w:val="1D5FE333"/>
    <w:rsid w:val="1EF25E86"/>
    <w:rsid w:val="1FE6B598"/>
    <w:rsid w:val="20876F06"/>
    <w:rsid w:val="215D42D3"/>
    <w:rsid w:val="217BBEE6"/>
    <w:rsid w:val="21A92931"/>
    <w:rsid w:val="2259DDE0"/>
    <w:rsid w:val="2298096F"/>
    <w:rsid w:val="2308CB25"/>
    <w:rsid w:val="23848FD1"/>
    <w:rsid w:val="2470A82A"/>
    <w:rsid w:val="24C15E15"/>
    <w:rsid w:val="24EE4590"/>
    <w:rsid w:val="25CEB5CD"/>
    <w:rsid w:val="266F7F4A"/>
    <w:rsid w:val="2685AF46"/>
    <w:rsid w:val="26A02B60"/>
    <w:rsid w:val="2762379A"/>
    <w:rsid w:val="283C9C46"/>
    <w:rsid w:val="295302E7"/>
    <w:rsid w:val="2AB19DA0"/>
    <w:rsid w:val="2BCFCB77"/>
    <w:rsid w:val="2BEAA4F9"/>
    <w:rsid w:val="2CBE027A"/>
    <w:rsid w:val="2D140214"/>
    <w:rsid w:val="2D4BAF74"/>
    <w:rsid w:val="2DF02044"/>
    <w:rsid w:val="2F53793F"/>
    <w:rsid w:val="2FB54E16"/>
    <w:rsid w:val="30679CC7"/>
    <w:rsid w:val="313FF1E6"/>
    <w:rsid w:val="332B4F75"/>
    <w:rsid w:val="34C6FC94"/>
    <w:rsid w:val="34D49212"/>
    <w:rsid w:val="35D767CF"/>
    <w:rsid w:val="37444D7D"/>
    <w:rsid w:val="37C77D74"/>
    <w:rsid w:val="3A2AF21C"/>
    <w:rsid w:val="3A60D952"/>
    <w:rsid w:val="3BCAC806"/>
    <w:rsid w:val="3DC00884"/>
    <w:rsid w:val="3DDFDB67"/>
    <w:rsid w:val="3E43FAB5"/>
    <w:rsid w:val="3EDA1F7A"/>
    <w:rsid w:val="401D007F"/>
    <w:rsid w:val="41012CFC"/>
    <w:rsid w:val="42F791EB"/>
    <w:rsid w:val="432F74E5"/>
    <w:rsid w:val="441029ED"/>
    <w:rsid w:val="44E9D9FC"/>
    <w:rsid w:val="45E63FAD"/>
    <w:rsid w:val="46049412"/>
    <w:rsid w:val="46E151EC"/>
    <w:rsid w:val="472E3DA7"/>
    <w:rsid w:val="479DD480"/>
    <w:rsid w:val="48ECDEEE"/>
    <w:rsid w:val="48F09445"/>
    <w:rsid w:val="4A367059"/>
    <w:rsid w:val="4A43A176"/>
    <w:rsid w:val="4A6F21FA"/>
    <w:rsid w:val="4BFE34D0"/>
    <w:rsid w:val="4ECA6B46"/>
    <w:rsid w:val="4FBA6987"/>
    <w:rsid w:val="5097E65D"/>
    <w:rsid w:val="5146DBF8"/>
    <w:rsid w:val="51B03053"/>
    <w:rsid w:val="5317DF64"/>
    <w:rsid w:val="53F4E43E"/>
    <w:rsid w:val="540E338B"/>
    <w:rsid w:val="5645F245"/>
    <w:rsid w:val="56FA094A"/>
    <w:rsid w:val="572C422D"/>
    <w:rsid w:val="5A3B663A"/>
    <w:rsid w:val="5AAECB3E"/>
    <w:rsid w:val="5BC1EDC4"/>
    <w:rsid w:val="5D53B4E9"/>
    <w:rsid w:val="6049D9B4"/>
    <w:rsid w:val="60E01B70"/>
    <w:rsid w:val="6184BCAB"/>
    <w:rsid w:val="618EECE4"/>
    <w:rsid w:val="61BF8ED3"/>
    <w:rsid w:val="62E4B426"/>
    <w:rsid w:val="641902CD"/>
    <w:rsid w:val="64446411"/>
    <w:rsid w:val="65576515"/>
    <w:rsid w:val="6562CC29"/>
    <w:rsid w:val="65717CBB"/>
    <w:rsid w:val="65F0EB84"/>
    <w:rsid w:val="65F49D45"/>
    <w:rsid w:val="660688C3"/>
    <w:rsid w:val="665B1067"/>
    <w:rsid w:val="66DB9A83"/>
    <w:rsid w:val="67363D30"/>
    <w:rsid w:val="67F0208D"/>
    <w:rsid w:val="68C518A5"/>
    <w:rsid w:val="691BA280"/>
    <w:rsid w:val="6A38FE00"/>
    <w:rsid w:val="6A9CA4A0"/>
    <w:rsid w:val="6B3275FA"/>
    <w:rsid w:val="6B4F8764"/>
    <w:rsid w:val="6B70D476"/>
    <w:rsid w:val="6CB5695C"/>
    <w:rsid w:val="6CF288D1"/>
    <w:rsid w:val="6DA64B81"/>
    <w:rsid w:val="6DE0FFC4"/>
    <w:rsid w:val="703DF19C"/>
    <w:rsid w:val="7101080A"/>
    <w:rsid w:val="71D32789"/>
    <w:rsid w:val="725CDE32"/>
    <w:rsid w:val="73B6E73A"/>
    <w:rsid w:val="74A72238"/>
    <w:rsid w:val="75DB8EF2"/>
    <w:rsid w:val="771CB10D"/>
    <w:rsid w:val="7788958C"/>
    <w:rsid w:val="78CC6C9A"/>
    <w:rsid w:val="79260167"/>
    <w:rsid w:val="79298DEA"/>
    <w:rsid w:val="7A222F05"/>
    <w:rsid w:val="7A2C11F8"/>
    <w:rsid w:val="7A63360F"/>
    <w:rsid w:val="7A9EFB57"/>
    <w:rsid w:val="7AF45105"/>
    <w:rsid w:val="7CE5DBC3"/>
    <w:rsid w:val="7D702612"/>
    <w:rsid w:val="7F9053D1"/>
    <w:rsid w:val="7F9249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8A7D2"/>
  <w15:chartTrackingRefBased/>
  <w15:docId w15:val="{CC78E822-808D-4ABD-81C3-BAE3E2826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2F5379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2F5379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2F53793F"/>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1BAE6CF8"/>
    <w:rPr>
      <w:color w:val="467886"/>
      <w:u w:val="single"/>
    </w:rPr>
  </w:style>
  <w:style w:type="paragraph" w:styleId="ListParagraph">
    <w:name w:val="List Paragraph"/>
    <w:basedOn w:val="Normal"/>
    <w:uiPriority w:val="34"/>
    <w:qFormat/>
    <w:rsid w:val="24EE459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www.pib.gov.in/PressReleasePage.aspx?PRID=2100685&amp;reg=48&amp;lang=2"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rebuchet M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8A0EA39-1BF5-414B-917B-808323EB1B4F}">
  <we:reference id="wa200010725" version="1.0.0.1" store="en-GB" storeType="OMEX"/>
  <we:alternateReferences>
    <we:reference id="WA200010725" version="1.0.0.1" store="WA200010725" storeType="OMEX"/>
  </we:alternateReferences>
  <we:properties>
    <we:property name="claude.fileId" value="&quot;786107b2-a594-4991-a845-bdf4e38a397f&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31</TotalTime>
  <Pages>7</Pages>
  <Words>1528</Words>
  <Characters>8715</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Abee Narayan</dc:creator>
  <cp:keywords/>
  <dc:description/>
  <cp:lastModifiedBy>Abee Narayan</cp:lastModifiedBy>
  <cp:revision>5</cp:revision>
  <dcterms:created xsi:type="dcterms:W3CDTF">2026-05-18T12:48:00Z</dcterms:created>
  <dcterms:modified xsi:type="dcterms:W3CDTF">2026-07-11T18:29:00Z</dcterms:modified>
</cp:coreProperties>
</file>