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GEOLOGICAL BIOGRAPHY &amp; METHODOLOGICAL MONOGRAPH OF WORLD HERITAGE</w:t>
      </w:r>
    </w:p>
    <w:p>
      <w:pPr>
        <w:spacing w:after="280"/>
      </w:pPr>
      <w:r>
        <w:rPr>
          <w:rFonts w:ascii="Arial" w:hAnsi="Arial"/>
          <w:color w:val="4A5568"/>
          <w:sz w:val="23"/>
        </w:rPr>
        <w:t>A Master Empirical Investigation into Lithology, Sourcing Provenance, Dataset Selection Protocol, Operational Barriers, and Conservation Dynamics Across UNESCO World Heritage Sites (Backup 37 Master Dataset)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8"/>
              </w:rPr>
              <w:t>Master Dataset</w:t>
            </w:r>
          </w:p>
        </w:tc>
        <w:tc>
          <w:tcPr>
            <w:tcW w:type="dxa" w:w="2340"/>
            <w:shd w:val="clear" w:color="auto" w:fill="1A365D"/>
            <w:tcMar>
              <w:top w:w="80" w:type="dxa"/>
              <w:bottom w:w="80" w:type="dxa"/>
              <w:left w:w="100" w:type="dxa"/>
              <w:right w:w="100" w:type="dxa"/>
            </w:tcMar>
          </w:tcPr>
          <w:p>
            <w:r>
              <w:rPr>
                <w:rFonts w:ascii="Arial" w:hAnsi="Arial"/>
                <w:b/>
                <w:color w:val="FFFFFF"/>
                <w:sz w:val="18"/>
              </w:rPr>
              <w:t>Record Universe</w:t>
            </w:r>
          </w:p>
        </w:tc>
        <w:tc>
          <w:tcPr>
            <w:tcW w:type="dxa" w:w="2340"/>
            <w:shd w:val="clear" w:color="auto" w:fill="1A365D"/>
            <w:tcMar>
              <w:top w:w="80" w:type="dxa"/>
              <w:bottom w:w="80" w:type="dxa"/>
              <w:left w:w="100" w:type="dxa"/>
              <w:right w:w="100" w:type="dxa"/>
            </w:tcMar>
          </w:tcPr>
          <w:p>
            <w:r>
              <w:rPr>
                <w:rFonts w:ascii="Arial" w:hAnsi="Arial"/>
                <w:b/>
                <w:color w:val="FFFFFF"/>
                <w:sz w:val="18"/>
              </w:rPr>
              <w:t>Skipped Research Queue</w:t>
            </w:r>
          </w:p>
        </w:tc>
        <w:tc>
          <w:tcPr>
            <w:tcW w:type="dxa" w:w="2340"/>
            <w:shd w:val="clear" w:color="auto" w:fill="1A365D"/>
            <w:tcMar>
              <w:top w:w="80" w:type="dxa"/>
              <w:bottom w:w="80" w:type="dxa"/>
              <w:left w:w="100" w:type="dxa"/>
              <w:right w:w="100" w:type="dxa"/>
            </w:tcMar>
          </w:tcPr>
          <w:p>
            <w:r>
              <w:rPr>
                <w:rFonts w:ascii="Arial" w:hAnsi="Arial"/>
                <w:b/>
                <w:color w:val="FFFFFF"/>
                <w:sz w:val="18"/>
              </w:rPr>
              <w:t>OUV Absent / Inaccessible</w:t>
            </w:r>
          </w:p>
        </w:tc>
      </w:tr>
      <w:tr>
        <w:tc>
          <w:tcPr>
            <w:tcW w:type="dxa" w:w="2340"/>
            <w:shd w:val="clear" w:color="auto" w:fill="F7FAFC"/>
            <w:tcMar>
              <w:top w:w="80" w:type="dxa"/>
              <w:bottom w:w="80" w:type="dxa"/>
              <w:left w:w="100" w:type="dxa"/>
              <w:right w:w="100" w:type="dxa"/>
            </w:tcMar>
          </w:tcPr>
          <w:p>
            <w:r>
              <w:rPr>
                <w:rFonts w:ascii="Arial" w:hAnsi="Arial"/>
                <w:color w:val="2D3748"/>
                <w:sz w:val="18"/>
              </w:rPr>
              <w:t>Backup 37 (July 2026)</w:t>
            </w:r>
          </w:p>
        </w:tc>
        <w:tc>
          <w:tcPr>
            <w:tcW w:type="dxa" w:w="2340"/>
            <w:shd w:val="clear" w:color="auto" w:fill="F7FAFC"/>
            <w:tcMar>
              <w:top w:w="80" w:type="dxa"/>
              <w:bottom w:w="80" w:type="dxa"/>
              <w:left w:w="100" w:type="dxa"/>
              <w:right w:w="100" w:type="dxa"/>
            </w:tcMar>
          </w:tcPr>
          <w:p>
            <w:r>
              <w:rPr>
                <w:rFonts w:ascii="Arial" w:hAnsi="Arial"/>
                <w:color w:val="2D3748"/>
                <w:sz w:val="18"/>
              </w:rPr>
              <w:t>902 Sites / 80 Attributes</w:t>
            </w:r>
          </w:p>
        </w:tc>
        <w:tc>
          <w:tcPr>
            <w:tcW w:type="dxa" w:w="2340"/>
            <w:shd w:val="clear" w:color="auto" w:fill="F7FAFC"/>
            <w:tcMar>
              <w:top w:w="80" w:type="dxa"/>
              <w:bottom w:w="80" w:type="dxa"/>
              <w:left w:w="100" w:type="dxa"/>
              <w:right w:w="100" w:type="dxa"/>
            </w:tcMar>
          </w:tcPr>
          <w:p>
            <w:r>
              <w:rPr>
                <w:rFonts w:ascii="Arial" w:hAnsi="Arial"/>
                <w:color w:val="2D3748"/>
                <w:sz w:val="18"/>
              </w:rPr>
              <w:t>650 Sites (72.1%)</w:t>
            </w:r>
          </w:p>
        </w:tc>
        <w:tc>
          <w:tcPr>
            <w:tcW w:type="dxa" w:w="2340"/>
            <w:shd w:val="clear" w:color="auto" w:fill="F7FAFC"/>
            <w:tcMar>
              <w:top w:w="80" w:type="dxa"/>
              <w:bottom w:w="80" w:type="dxa"/>
              <w:left w:w="100" w:type="dxa"/>
              <w:right w:w="100" w:type="dxa"/>
            </w:tcMar>
          </w:tcPr>
          <w:p>
            <w:r>
              <w:rPr>
                <w:rFonts w:ascii="Arial" w:hAnsi="Arial"/>
                <w:color w:val="2D3748"/>
                <w:sz w:val="18"/>
              </w:rPr>
              <w:t>49 Sites (5.4%)</w:t>
            </w:r>
          </w:p>
        </w:tc>
      </w:tr>
    </w:tbl>
    <w:p>
      <w:pPr>
        <w:spacing w:after="240"/>
      </w:pPr>
    </w:p>
    <w:p>
      <w:pPr>
        <w:keepNext/>
        <w:spacing w:before="360" w:after="120"/>
      </w:pPr>
      <w:r>
        <w:rPr>
          <w:rFonts w:ascii="Arial" w:hAnsi="Arial"/>
          <w:b/>
          <w:color w:val="1A365D"/>
          <w:sz w:val="32"/>
        </w:rPr>
        <w:t>1. Executive Summary &amp; Core Empirical Baseline</w:t>
      </w:r>
    </w:p>
    <w:p>
      <w:pPr>
        <w:spacing w:before="0" w:after="120" w:line="276" w:lineRule="auto"/>
      </w:pPr>
      <w:r>
        <w:rPr>
          <w:rFonts w:ascii="Arial" w:hAnsi="Arial"/>
          <w:color w:val="2D3748"/>
          <w:sz w:val="21"/>
        </w:rPr>
        <w:t>The UNESCO World Heritage list represents the pinnacle of human architectural, artistic, and historical accomplishment. Yet every standing monument, ancient citadel, rock-cut sanctuary, and cathedral is fundamentally a geological artifact—constructed from specific lithologies extracted from local or regional Earth formations. This master monograph synthesizes the empirical findings from the complete Heritage Stones dataset (Backup 37), encompassing 902 World Heritage Sites across 168 sovereign nations evaluated across 80 distinct structural, lithological, provenance, and conservation attributes.</w:t>
      </w: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left w:val="single" w:sz="24" w:space="0" w:color="1A365D"/>
              <w:top w:val="none"/>
              <w:bottom w:val="none"/>
              <w:right w:val="none"/>
            </w:tcBorders>
          </w:tcPr>
          <w:p>
            <w:pPr>
              <w:spacing w:before="80" w:after="80" w:line="276" w:lineRule="auto"/>
            </w:pPr>
            <w:r>
              <w:rPr>
                <w:rFonts w:ascii="Arial" w:hAnsi="Arial"/>
                <w:b/>
                <w:color w:val="1A365D"/>
                <w:sz w:val="20"/>
              </w:rPr>
              <w:t>EXECUTIVE MONOGRAPH SUMMARY</w:t>
              <w:br/>
            </w:r>
            <w:r>
              <w:rPr>
                <w:rFonts w:ascii="Arial" w:hAnsi="Arial"/>
                <w:color w:val="2D3748"/>
                <w:sz w:val="19"/>
              </w:rPr>
              <w:t>Out of 902 target built-monument sites, exactly 193 entries (21.4%) contain verified primary stone identification data following the Backup 37 quality audit. Among the 129 provenance-classified monuments, 88.4% (114 sites) relied exclusively on local stone extraction within a 5 to 25 km radius. Sedimentary formations (limestone and sandstone) account for 60.5% of all classified stone heritage, reflecting both the historical workability of carbonate rocks under manual masonry tools and their widespread geographical occurrence near historic urban centers.</w:t>
            </w:r>
          </w:p>
        </w:tc>
      </w:tr>
    </w:tbl>
    <w:p>
      <w:pPr>
        <w:spacing w:before="0" w:after="120"/>
      </w:pPr>
    </w:p>
    <w:tbl>
      <w:tblPr>
        <w:tblW w:type="auto" w:w="0"/>
        <w:jc w:val="center"/>
        <w:tblLook w:firstColumn="1" w:firstRow="1" w:lastColumn="0" w:lastRow="0" w:noHBand="0" w:noVBand="1" w:val="04A0"/>
      </w:tblPr>
      <w:tblGrid>
        <w:gridCol w:w="3120"/>
        <w:gridCol w:w="3120"/>
        <w:gridCol w:w="3120"/>
      </w:tblGrid>
      <w:tr>
        <w:tc>
          <w:tcPr>
            <w:tcW w:type="dxa" w:w="3120"/>
            <w:shd w:val="clear" w:color="auto" w:fill="1A365D"/>
            <w:tcMar>
              <w:top w:w="80" w:type="dxa"/>
              <w:bottom w:w="80" w:type="dxa"/>
              <w:left w:w="100" w:type="dxa"/>
              <w:right w:w="100" w:type="dxa"/>
            </w:tcMar>
          </w:tcPr>
          <w:p>
            <w:r>
              <w:rPr>
                <w:rFonts w:ascii="Arial" w:hAnsi="Arial"/>
                <w:b/>
                <w:color w:val="FFFFFF"/>
                <w:sz w:val="19"/>
              </w:rPr>
              <w:t>Analytical Dimension</w:t>
            </w:r>
          </w:p>
        </w:tc>
        <w:tc>
          <w:tcPr>
            <w:tcW w:type="dxa" w:w="3120"/>
            <w:shd w:val="clear" w:color="auto" w:fill="1A365D"/>
            <w:tcMar>
              <w:top w:w="80" w:type="dxa"/>
              <w:bottom w:w="80" w:type="dxa"/>
              <w:left w:w="100" w:type="dxa"/>
              <w:right w:w="100" w:type="dxa"/>
            </w:tcMar>
          </w:tcPr>
          <w:p>
            <w:r>
              <w:rPr>
                <w:rFonts w:ascii="Arial" w:hAnsi="Arial"/>
                <w:b/>
                <w:color w:val="FFFFFF"/>
                <w:sz w:val="19"/>
              </w:rPr>
              <w:t>Empirical Baseline (Backup 37)</w:t>
            </w:r>
          </w:p>
        </w:tc>
        <w:tc>
          <w:tcPr>
            <w:tcW w:type="dxa" w:w="3120"/>
            <w:shd w:val="clear" w:color="auto" w:fill="1A365D"/>
            <w:tcMar>
              <w:top w:w="80" w:type="dxa"/>
              <w:bottom w:w="80" w:type="dxa"/>
              <w:left w:w="100" w:type="dxa"/>
              <w:right w:w="100" w:type="dxa"/>
            </w:tcMar>
          </w:tcPr>
          <w:p>
            <w:r>
              <w:rPr>
                <w:rFonts w:ascii="Arial" w:hAnsi="Arial"/>
                <w:b/>
                <w:color w:val="FFFFFF"/>
                <w:sz w:val="19"/>
              </w:rPr>
              <w:t>Primary Heritage Significance</w:t>
            </w:r>
          </w:p>
        </w:tc>
      </w:tr>
      <w:tr>
        <w:tc>
          <w:tcPr>
            <w:tcW w:type="dxa" w:w="3120"/>
            <w:shd w:val="clear" w:color="auto" w:fill="FFFFFF"/>
            <w:tcMar>
              <w:top w:w="70" w:type="dxa"/>
              <w:bottom w:w="70" w:type="dxa"/>
              <w:left w:w="100" w:type="dxa"/>
              <w:right w:w="100" w:type="dxa"/>
            </w:tcMar>
          </w:tcPr>
          <w:p>
            <w:r>
              <w:rPr>
                <w:rFonts w:ascii="Arial" w:hAnsi="Arial"/>
                <w:color w:val="2D3748"/>
                <w:sz w:val="18"/>
              </w:rPr>
              <w:t>Researched Stone Sites</w:t>
            </w:r>
          </w:p>
        </w:tc>
        <w:tc>
          <w:tcPr>
            <w:tcW w:type="dxa" w:w="3120"/>
            <w:shd w:val="clear" w:color="auto" w:fill="FFFFFF"/>
            <w:tcMar>
              <w:top w:w="70" w:type="dxa"/>
              <w:bottom w:w="70" w:type="dxa"/>
              <w:left w:w="100" w:type="dxa"/>
              <w:right w:w="100" w:type="dxa"/>
            </w:tcMar>
          </w:tcPr>
          <w:p>
            <w:r>
              <w:rPr>
                <w:rFonts w:ascii="Arial" w:hAnsi="Arial"/>
                <w:b/>
                <w:color w:val="2D3748"/>
                <w:sz w:val="18"/>
              </w:rPr>
              <w:t>193 / 902 (21.4%)</w:t>
            </w:r>
          </w:p>
        </w:tc>
        <w:tc>
          <w:tcPr>
            <w:tcW w:type="dxa" w:w="3120"/>
            <w:shd w:val="clear" w:color="auto" w:fill="FFFFFF"/>
            <w:tcMar>
              <w:top w:w="70" w:type="dxa"/>
              <w:bottom w:w="70" w:type="dxa"/>
              <w:left w:w="100" w:type="dxa"/>
              <w:right w:w="100" w:type="dxa"/>
            </w:tcMar>
          </w:tcPr>
          <w:p>
            <w:r>
              <w:rPr>
                <w:rFonts w:ascii="Arial" w:hAnsi="Arial"/>
                <w:color w:val="2D3748"/>
                <w:sz w:val="18"/>
              </w:rPr>
              <w:t>Verified research baseline; 709 sites form the unstudied expansion queue.</w:t>
            </w:r>
          </w:p>
        </w:tc>
      </w:tr>
      <w:tr>
        <w:tc>
          <w:tcPr>
            <w:tcW w:type="dxa" w:w="3120"/>
            <w:shd w:val="clear" w:color="auto" w:fill="F7FAFC"/>
            <w:tcMar>
              <w:top w:w="70" w:type="dxa"/>
              <w:bottom w:w="70" w:type="dxa"/>
              <w:left w:w="100" w:type="dxa"/>
              <w:right w:w="100" w:type="dxa"/>
            </w:tcMar>
          </w:tcPr>
          <w:p>
            <w:r>
              <w:rPr>
                <w:rFonts w:ascii="Arial" w:hAnsi="Arial"/>
                <w:color w:val="2D3748"/>
                <w:sz w:val="18"/>
              </w:rPr>
              <w:t>Dominant Rock Class</w:t>
            </w:r>
          </w:p>
        </w:tc>
        <w:tc>
          <w:tcPr>
            <w:tcW w:type="dxa" w:w="3120"/>
            <w:shd w:val="clear" w:color="auto" w:fill="F7FAFC"/>
            <w:tcMar>
              <w:top w:w="70" w:type="dxa"/>
              <w:bottom w:w="70" w:type="dxa"/>
              <w:left w:w="100" w:type="dxa"/>
              <w:right w:w="100" w:type="dxa"/>
            </w:tcMar>
          </w:tcPr>
          <w:p>
            <w:r>
              <w:rPr>
                <w:rFonts w:ascii="Arial" w:hAnsi="Arial"/>
                <w:b/>
                <w:color w:val="2D3748"/>
                <w:sz w:val="18"/>
              </w:rPr>
              <w:t>Sedimentary (60.5%)</w:t>
            </w:r>
          </w:p>
        </w:tc>
        <w:tc>
          <w:tcPr>
            <w:tcW w:type="dxa" w:w="3120"/>
            <w:shd w:val="clear" w:color="auto" w:fill="F7FAFC"/>
            <w:tcMar>
              <w:top w:w="70" w:type="dxa"/>
              <w:bottom w:w="70" w:type="dxa"/>
              <w:left w:w="100" w:type="dxa"/>
              <w:right w:w="100" w:type="dxa"/>
            </w:tcMar>
          </w:tcPr>
          <w:p>
            <w:r>
              <w:rPr>
                <w:rFonts w:ascii="Arial" w:hAnsi="Arial"/>
                <w:color w:val="2D3748"/>
                <w:sz w:val="18"/>
              </w:rPr>
              <w:t>Limestone (24 sites) and Sandstone (14 sites) anchor global masonry.</w:t>
            </w:r>
          </w:p>
        </w:tc>
      </w:tr>
      <w:tr>
        <w:tc>
          <w:tcPr>
            <w:tcW w:type="dxa" w:w="3120"/>
            <w:shd w:val="clear" w:color="auto" w:fill="FFFFFF"/>
            <w:tcMar>
              <w:top w:w="70" w:type="dxa"/>
              <w:bottom w:w="70" w:type="dxa"/>
              <w:left w:w="100" w:type="dxa"/>
              <w:right w:w="100" w:type="dxa"/>
            </w:tcMar>
          </w:tcPr>
          <w:p>
            <w:r>
              <w:rPr>
                <w:rFonts w:ascii="Arial" w:hAnsi="Arial"/>
                <w:color w:val="2D3748"/>
                <w:sz w:val="18"/>
              </w:rPr>
              <w:t>Resource Provenance</w:t>
            </w:r>
          </w:p>
        </w:tc>
        <w:tc>
          <w:tcPr>
            <w:tcW w:type="dxa" w:w="3120"/>
            <w:shd w:val="clear" w:color="auto" w:fill="FFFFFF"/>
            <w:tcMar>
              <w:top w:w="70" w:type="dxa"/>
              <w:bottom w:w="70" w:type="dxa"/>
              <w:left w:w="100" w:type="dxa"/>
              <w:right w:w="100" w:type="dxa"/>
            </w:tcMar>
          </w:tcPr>
          <w:p>
            <w:r>
              <w:rPr>
                <w:rFonts w:ascii="Arial" w:hAnsi="Arial"/>
                <w:b/>
                <w:color w:val="2D3748"/>
                <w:sz w:val="18"/>
              </w:rPr>
              <w:t>Local (88.4%)</w:t>
            </w:r>
          </w:p>
        </w:tc>
        <w:tc>
          <w:tcPr>
            <w:tcW w:type="dxa" w:w="3120"/>
            <w:shd w:val="clear" w:color="auto" w:fill="FFFFFF"/>
            <w:tcMar>
              <w:top w:w="70" w:type="dxa"/>
              <w:bottom w:w="70" w:type="dxa"/>
              <w:left w:w="100" w:type="dxa"/>
              <w:right w:w="100" w:type="dxa"/>
            </w:tcMar>
          </w:tcPr>
          <w:p>
            <w:r>
              <w:rPr>
                <w:rFonts w:ascii="Arial" w:hAnsi="Arial"/>
                <w:color w:val="2D3748"/>
                <w:sz w:val="18"/>
              </w:rPr>
              <w:t>114 of 129 provenance-classified sites extracted stone within immediate vicinity.</w:t>
            </w:r>
          </w:p>
        </w:tc>
      </w:tr>
      <w:tr>
        <w:tc>
          <w:tcPr>
            <w:tcW w:type="dxa" w:w="3120"/>
            <w:shd w:val="clear" w:color="auto" w:fill="F7FAFC"/>
            <w:tcMar>
              <w:top w:w="70" w:type="dxa"/>
              <w:bottom w:w="70" w:type="dxa"/>
              <w:left w:w="100" w:type="dxa"/>
              <w:right w:w="100" w:type="dxa"/>
            </w:tcMar>
          </w:tcPr>
          <w:p>
            <w:r>
              <w:rPr>
                <w:rFonts w:ascii="Arial" w:hAnsi="Arial"/>
                <w:color w:val="2D3748"/>
                <w:sz w:val="18"/>
              </w:rPr>
              <w:t>Strategic Sourcing (Imports)</w:t>
            </w:r>
          </w:p>
        </w:tc>
        <w:tc>
          <w:tcPr>
            <w:tcW w:type="dxa" w:w="3120"/>
            <w:shd w:val="clear" w:color="auto" w:fill="F7FAFC"/>
            <w:tcMar>
              <w:top w:w="70" w:type="dxa"/>
              <w:bottom w:w="70" w:type="dxa"/>
              <w:left w:w="100" w:type="dxa"/>
              <w:right w:w="100" w:type="dxa"/>
            </w:tcMar>
          </w:tcPr>
          <w:p>
            <w:r>
              <w:rPr>
                <w:rFonts w:ascii="Arial" w:hAnsi="Arial"/>
                <w:b/>
                <w:color w:val="2D3748"/>
                <w:sz w:val="18"/>
              </w:rPr>
              <w:t>Imported (4.7%)</w:t>
            </w:r>
          </w:p>
        </w:tc>
        <w:tc>
          <w:tcPr>
            <w:tcW w:type="dxa" w:w="3120"/>
            <w:shd w:val="clear" w:color="auto" w:fill="F7FAFC"/>
            <w:tcMar>
              <w:top w:w="70" w:type="dxa"/>
              <w:bottom w:w="70" w:type="dxa"/>
              <w:left w:w="100" w:type="dxa"/>
              <w:right w:w="100" w:type="dxa"/>
            </w:tcMar>
          </w:tcPr>
          <w:p>
            <w:r>
              <w:rPr>
                <w:rFonts w:ascii="Arial" w:hAnsi="Arial"/>
                <w:color w:val="2D3748"/>
                <w:sz w:val="18"/>
              </w:rPr>
              <w:t>Long-distance trade reserved for imperial prestige (Taj Mahal, CST Mumbai).</w:t>
            </w:r>
          </w:p>
        </w:tc>
      </w:tr>
      <w:tr>
        <w:tc>
          <w:tcPr>
            <w:tcW w:type="dxa" w:w="3120"/>
            <w:shd w:val="clear" w:color="auto" w:fill="FFFFFF"/>
            <w:tcMar>
              <w:top w:w="70" w:type="dxa"/>
              <w:bottom w:w="70" w:type="dxa"/>
              <w:left w:w="100" w:type="dxa"/>
              <w:right w:w="100" w:type="dxa"/>
            </w:tcMar>
          </w:tcPr>
          <w:p>
            <w:r>
              <w:rPr>
                <w:rFonts w:ascii="Arial" w:hAnsi="Arial"/>
                <w:color w:val="2D3748"/>
                <w:sz w:val="18"/>
              </w:rPr>
              <w:t>Preservation Baseline</w:t>
            </w:r>
          </w:p>
        </w:tc>
        <w:tc>
          <w:tcPr>
            <w:tcW w:type="dxa" w:w="3120"/>
            <w:shd w:val="clear" w:color="auto" w:fill="FFFFFF"/>
            <w:tcMar>
              <w:top w:w="70" w:type="dxa"/>
              <w:bottom w:w="70" w:type="dxa"/>
              <w:left w:w="100" w:type="dxa"/>
              <w:right w:w="100" w:type="dxa"/>
            </w:tcMar>
          </w:tcPr>
          <w:p>
            <w:r>
              <w:rPr>
                <w:rFonts w:ascii="Arial" w:hAnsi="Arial"/>
                <w:b/>
                <w:color w:val="2D3748"/>
                <w:sz w:val="18"/>
              </w:rPr>
              <w:t>78.4% Good/Excellent</w:t>
            </w:r>
          </w:p>
        </w:tc>
        <w:tc>
          <w:tcPr>
            <w:tcW w:type="dxa" w:w="3120"/>
            <w:shd w:val="clear" w:color="auto" w:fill="FFFFFF"/>
            <w:tcMar>
              <w:top w:w="70" w:type="dxa"/>
              <w:bottom w:w="70" w:type="dxa"/>
              <w:left w:w="100" w:type="dxa"/>
              <w:right w:w="100" w:type="dxa"/>
            </w:tcMar>
          </w:tcPr>
          <w:p>
            <w:r>
              <w:rPr>
                <w:rFonts w:ascii="Arial" w:hAnsi="Arial"/>
                <w:color w:val="2D3748"/>
                <w:sz w:val="18"/>
              </w:rPr>
              <w:t>152 of 194 assessed sites exhibit strong structural integrity under UNESCO oversight.</w:t>
            </w:r>
          </w:p>
        </w:tc>
      </w:tr>
      <w:tr>
        <w:tc>
          <w:tcPr>
            <w:tcW w:type="dxa" w:w="3120"/>
            <w:shd w:val="clear" w:color="auto" w:fill="F7FAFC"/>
            <w:tcMar>
              <w:top w:w="70" w:type="dxa"/>
              <w:bottom w:w="70" w:type="dxa"/>
              <w:left w:w="100" w:type="dxa"/>
              <w:right w:w="100" w:type="dxa"/>
            </w:tcMar>
          </w:tcPr>
          <w:p>
            <w:r>
              <w:rPr>
                <w:rFonts w:ascii="Arial" w:hAnsi="Arial"/>
                <w:color w:val="2D3748"/>
                <w:sz w:val="18"/>
              </w:rPr>
              <w:t>Primary Degradation Vector</w:t>
            </w:r>
          </w:p>
        </w:tc>
        <w:tc>
          <w:tcPr>
            <w:tcW w:type="dxa" w:w="3120"/>
            <w:shd w:val="clear" w:color="auto" w:fill="F7FAFC"/>
            <w:tcMar>
              <w:top w:w="70" w:type="dxa"/>
              <w:bottom w:w="70" w:type="dxa"/>
              <w:left w:w="100" w:type="dxa"/>
              <w:right w:w="100" w:type="dxa"/>
            </w:tcMar>
          </w:tcPr>
          <w:p>
            <w:r>
              <w:rPr>
                <w:rFonts w:ascii="Arial" w:hAnsi="Arial"/>
                <w:b/>
                <w:color w:val="2D3748"/>
                <w:sz w:val="18"/>
              </w:rPr>
              <w:t>Surface Erosion (31 sites)</w:t>
            </w:r>
          </w:p>
        </w:tc>
        <w:tc>
          <w:tcPr>
            <w:tcW w:type="dxa" w:w="3120"/>
            <w:shd w:val="clear" w:color="auto" w:fill="F7FAFC"/>
            <w:tcMar>
              <w:top w:w="70" w:type="dxa"/>
              <w:bottom w:w="70" w:type="dxa"/>
              <w:left w:w="100" w:type="dxa"/>
              <w:right w:w="100" w:type="dxa"/>
            </w:tcMar>
          </w:tcPr>
          <w:p>
            <w:r>
              <w:rPr>
                <w:rFonts w:ascii="Arial" w:hAnsi="Arial"/>
                <w:color w:val="2D3748"/>
                <w:sz w:val="18"/>
              </w:rPr>
              <w:t>Rainwater leaching, wind abrasion, and humidity dominate structural threats.</w:t>
            </w:r>
          </w:p>
        </w:tc>
      </w:tr>
    </w:tbl>
    <w:p>
      <w:pPr>
        <w:spacing w:after="240"/>
      </w:pPr>
    </w:p>
    <w:p>
      <w:pPr>
        <w:keepNext/>
        <w:spacing w:before="360" w:after="120"/>
      </w:pPr>
      <w:r>
        <w:rPr>
          <w:rFonts w:ascii="Arial" w:hAnsi="Arial"/>
          <w:b/>
          <w:color w:val="1A365D"/>
          <w:sz w:val="32"/>
        </w:rPr>
        <w:t>2. Methodological Rationale: Deriving the 902 Dataset from 972 Candidates</w:t>
      </w:r>
    </w:p>
    <w:p>
      <w:pPr>
        <w:spacing w:before="0" w:after="120" w:line="276" w:lineRule="auto"/>
      </w:pPr>
      <w:r>
        <w:rPr>
          <w:rFonts w:ascii="Arial" w:hAnsi="Arial"/>
          <w:color w:val="2D3748"/>
          <w:sz w:val="21"/>
        </w:rPr>
        <w:t>A foundational requirement of rigorous heritage data science is establishing an un-biased, reproducible target universe. When constructing a global inventory of heritage stones, assessing built monuments requires isolating sites that contain physical architecture, masonry, rock-cut excavations, or structural earth/stone materials from sites inscribed purely for natural ecosystems, agricultural practices, or intangible social memories.</w:t>
      </w:r>
    </w:p>
    <w:p>
      <w:pPr>
        <w:spacing w:before="0" w:after="120" w:line="276" w:lineRule="auto"/>
      </w:pPr>
      <w:r>
        <w:rPr>
          <w:rFonts w:ascii="Arial" w:hAnsi="Arial"/>
          <w:color w:val="2D3748"/>
          <w:sz w:val="21"/>
        </w:rPr>
        <w:t>Evaluating the UNESCO World Heritage candidate pool revealed 972 candidate Cultural Sites inscribed under Criteria (i) through (vi). A 4-stage screening protocol filtered out 70 sites whose primary Outstanding Universal Value (OUV) is non-structural, yielding the 902 target built-monument universe (92.8% inclusion rate):</w:t>
      </w:r>
    </w:p>
    <w:p>
      <w:pPr>
        <w:spacing w:before="120" w:after="80"/>
        <w:jc w:val="center"/>
      </w:pPr>
      <w:r>
        <w:drawing>
          <wp:inline xmlns:a="http://schemas.openxmlformats.org/drawingml/2006/main" xmlns:pic="http://schemas.openxmlformats.org/drawingml/2006/picture">
            <wp:extent cx="4572000" cy="3619340"/>
            <wp:docPr id="1" name="Picture 1"/>
            <wp:cNvGraphicFramePr>
              <a:graphicFrameLocks noChangeAspect="1"/>
            </wp:cNvGraphicFramePr>
            <a:graphic>
              <a:graphicData uri="http://schemas.openxmlformats.org/drawingml/2006/picture">
                <pic:pic>
                  <pic:nvPicPr>
                    <pic:cNvPr id="0" name="exclusion_donut.png"/>
                    <pic:cNvPicPr/>
                  </pic:nvPicPr>
                  <pic:blipFill>
                    <a:blip r:embed="rId9"/>
                    <a:stretch>
                      <a:fillRect/>
                    </a:stretch>
                  </pic:blipFill>
                  <pic:spPr>
                    <a:xfrm>
                      <a:off x="0" y="0"/>
                      <a:ext cx="4572000" cy="3619340"/>
                    </a:xfrm>
                    <a:prstGeom prst="rect"/>
                  </pic:spPr>
                </pic:pic>
              </a:graphicData>
            </a:graphic>
          </wp:inline>
        </w:drawing>
      </w:r>
    </w:p>
    <w:p>
      <w:pPr>
        <w:spacing w:after="200"/>
        <w:jc w:val="center"/>
      </w:pPr>
      <w:r>
        <w:rPr>
          <w:rFonts w:ascii="Arial" w:hAnsi="Arial"/>
          <w:i/>
          <w:color w:val="718096"/>
          <w:sz w:val="17"/>
        </w:rPr>
        <w:t>Figure 1: Ratio of Target Built-Monument Universe (n=902) to Excluded Non-Structural Sites (n=70).</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9"/>
              </w:rPr>
              <w:t>Screening Stage</w:t>
            </w:r>
          </w:p>
        </w:tc>
        <w:tc>
          <w:tcPr>
            <w:tcW w:type="dxa" w:w="2340"/>
            <w:shd w:val="clear" w:color="auto" w:fill="1A365D"/>
            <w:tcMar>
              <w:top w:w="80" w:type="dxa"/>
              <w:bottom w:w="80" w:type="dxa"/>
              <w:left w:w="100" w:type="dxa"/>
              <w:right w:w="100" w:type="dxa"/>
            </w:tcMar>
          </w:tcPr>
          <w:p>
            <w:r>
              <w:rPr>
                <w:rFonts w:ascii="Arial" w:hAnsi="Arial"/>
                <w:b/>
                <w:color w:val="FFFFFF"/>
                <w:sz w:val="19"/>
              </w:rPr>
              <w:t>Exclusion Category</w:t>
            </w:r>
          </w:p>
        </w:tc>
        <w:tc>
          <w:tcPr>
            <w:tcW w:type="dxa" w:w="2340"/>
            <w:shd w:val="clear" w:color="auto" w:fill="1A365D"/>
            <w:tcMar>
              <w:top w:w="80" w:type="dxa"/>
              <w:bottom w:w="80" w:type="dxa"/>
              <w:left w:w="100" w:type="dxa"/>
              <w:right w:w="100" w:type="dxa"/>
            </w:tcMar>
          </w:tcPr>
          <w:p>
            <w:r>
              <w:rPr>
                <w:rFonts w:ascii="Arial" w:hAnsi="Arial"/>
                <w:b/>
                <w:color w:val="FFFFFF"/>
                <w:sz w:val="19"/>
              </w:rPr>
              <w:t>Sites Excluded</w:t>
            </w:r>
          </w:p>
        </w:tc>
        <w:tc>
          <w:tcPr>
            <w:tcW w:type="dxa" w:w="2340"/>
            <w:shd w:val="clear" w:color="auto" w:fill="1A365D"/>
            <w:tcMar>
              <w:top w:w="80" w:type="dxa"/>
              <w:bottom w:w="80" w:type="dxa"/>
              <w:left w:w="100" w:type="dxa"/>
              <w:right w:w="100" w:type="dxa"/>
            </w:tcMar>
          </w:tcPr>
          <w:p>
            <w:r>
              <w:rPr>
                <w:rFonts w:ascii="Arial" w:hAnsi="Arial"/>
                <w:b/>
                <w:color w:val="FFFFFF"/>
                <w:sz w:val="19"/>
              </w:rPr>
              <w:t>Primary Methodological Rationale</w:t>
            </w:r>
          </w:p>
        </w:tc>
      </w:tr>
      <w:tr>
        <w:tc>
          <w:tcPr>
            <w:tcW w:type="dxa" w:w="2340"/>
            <w:shd w:val="clear" w:color="auto" w:fill="FFFFFF"/>
            <w:tcMar>
              <w:top w:w="70" w:type="dxa"/>
              <w:bottom w:w="70" w:type="dxa"/>
              <w:left w:w="100" w:type="dxa"/>
              <w:right w:w="100" w:type="dxa"/>
            </w:tcMar>
          </w:tcPr>
          <w:p>
            <w:r>
              <w:rPr>
                <w:rFonts w:ascii="Arial" w:hAnsi="Arial"/>
                <w:color w:val="2D3748"/>
                <w:sz w:val="18"/>
              </w:rPr>
              <w:t>Stage 1</w:t>
            </w:r>
          </w:p>
        </w:tc>
        <w:tc>
          <w:tcPr>
            <w:tcW w:type="dxa" w:w="2340"/>
            <w:shd w:val="clear" w:color="auto" w:fill="FFFFFF"/>
            <w:tcMar>
              <w:top w:w="70" w:type="dxa"/>
              <w:bottom w:w="70" w:type="dxa"/>
              <w:left w:w="100" w:type="dxa"/>
              <w:right w:w="100" w:type="dxa"/>
            </w:tcMar>
          </w:tcPr>
          <w:p>
            <w:r>
              <w:rPr>
                <w:rFonts w:ascii="Arial" w:hAnsi="Arial"/>
                <w:color w:val="2D3748"/>
                <w:sz w:val="18"/>
              </w:rPr>
              <w:t>Non-Structural Cultural Landscapes</w:t>
            </w:r>
          </w:p>
        </w:tc>
        <w:tc>
          <w:tcPr>
            <w:tcW w:type="dxa" w:w="2340"/>
            <w:shd w:val="clear" w:color="auto" w:fill="FFFFFF"/>
            <w:tcMar>
              <w:top w:w="70" w:type="dxa"/>
              <w:bottom w:w="70" w:type="dxa"/>
              <w:left w:w="100" w:type="dxa"/>
              <w:right w:w="100" w:type="dxa"/>
            </w:tcMar>
          </w:tcPr>
          <w:p>
            <w:r>
              <w:rPr>
                <w:rFonts w:ascii="Arial" w:hAnsi="Arial"/>
                <w:b/>
                <w:color w:val="2D3748"/>
                <w:sz w:val="18"/>
              </w:rPr>
              <w:t>32 Sites</w:t>
            </w:r>
          </w:p>
        </w:tc>
        <w:tc>
          <w:tcPr>
            <w:tcW w:type="dxa" w:w="2340"/>
            <w:shd w:val="clear" w:color="auto" w:fill="FFFFFF"/>
            <w:tcMar>
              <w:top w:w="70" w:type="dxa"/>
              <w:bottom w:w="70" w:type="dxa"/>
              <w:left w:w="100" w:type="dxa"/>
              <w:right w:w="100" w:type="dxa"/>
            </w:tcMar>
          </w:tcPr>
          <w:p>
            <w:r>
              <w:rPr>
                <w:rFonts w:ascii="Arial" w:hAnsi="Arial"/>
                <w:color w:val="2D3748"/>
                <w:sz w:val="18"/>
              </w:rPr>
              <w:t>Agro-ecological farming, vineyard terraces, and botanical domains lacking built masonry monuments.</w:t>
            </w:r>
          </w:p>
        </w:tc>
      </w:tr>
      <w:tr>
        <w:tc>
          <w:tcPr>
            <w:tcW w:type="dxa" w:w="2340"/>
            <w:shd w:val="clear" w:color="auto" w:fill="F7FAFC"/>
            <w:tcMar>
              <w:top w:w="70" w:type="dxa"/>
              <w:bottom w:w="70" w:type="dxa"/>
              <w:left w:w="100" w:type="dxa"/>
              <w:right w:w="100" w:type="dxa"/>
            </w:tcMar>
          </w:tcPr>
          <w:p>
            <w:r>
              <w:rPr>
                <w:rFonts w:ascii="Arial" w:hAnsi="Arial"/>
                <w:color w:val="2D3748"/>
                <w:sz w:val="18"/>
              </w:rPr>
              <w:t>Stage 2</w:t>
            </w:r>
          </w:p>
        </w:tc>
        <w:tc>
          <w:tcPr>
            <w:tcW w:type="dxa" w:w="2340"/>
            <w:shd w:val="clear" w:color="auto" w:fill="F7FAFC"/>
            <w:tcMar>
              <w:top w:w="70" w:type="dxa"/>
              <w:bottom w:w="70" w:type="dxa"/>
              <w:left w:w="100" w:type="dxa"/>
              <w:right w:w="100" w:type="dxa"/>
            </w:tcMar>
          </w:tcPr>
          <w:p>
            <w:r>
              <w:rPr>
                <w:rFonts w:ascii="Arial" w:hAnsi="Arial"/>
                <w:color w:val="2D3748"/>
                <w:sz w:val="18"/>
              </w:rPr>
              <w:t>Pure Timber &amp; Organic Architecture</w:t>
            </w:r>
          </w:p>
        </w:tc>
        <w:tc>
          <w:tcPr>
            <w:tcW w:type="dxa" w:w="2340"/>
            <w:shd w:val="clear" w:color="auto" w:fill="F7FAFC"/>
            <w:tcMar>
              <w:top w:w="70" w:type="dxa"/>
              <w:bottom w:w="70" w:type="dxa"/>
              <w:left w:w="100" w:type="dxa"/>
              <w:right w:w="100" w:type="dxa"/>
            </w:tcMar>
          </w:tcPr>
          <w:p>
            <w:r>
              <w:rPr>
                <w:rFonts w:ascii="Arial" w:hAnsi="Arial"/>
                <w:b/>
                <w:color w:val="2D3748"/>
                <w:sz w:val="18"/>
              </w:rPr>
              <w:t>21 Sites</w:t>
            </w:r>
          </w:p>
        </w:tc>
        <w:tc>
          <w:tcPr>
            <w:tcW w:type="dxa" w:w="2340"/>
            <w:shd w:val="clear" w:color="auto" w:fill="F7FAFC"/>
            <w:tcMar>
              <w:top w:w="70" w:type="dxa"/>
              <w:bottom w:w="70" w:type="dxa"/>
              <w:left w:w="100" w:type="dxa"/>
              <w:right w:w="100" w:type="dxa"/>
            </w:tcMar>
          </w:tcPr>
          <w:p>
            <w:r>
              <w:rPr>
                <w:rFonts w:ascii="Arial" w:hAnsi="Arial"/>
                <w:color w:val="2D3748"/>
                <w:sz w:val="18"/>
              </w:rPr>
              <w:t>Timber framing, log joinery, reed thatch without stone foundations or ashlar cladding.</w:t>
            </w:r>
          </w:p>
        </w:tc>
      </w:tr>
      <w:tr>
        <w:tc>
          <w:tcPr>
            <w:tcW w:type="dxa" w:w="2340"/>
            <w:shd w:val="clear" w:color="auto" w:fill="FFFFFF"/>
            <w:tcMar>
              <w:top w:w="70" w:type="dxa"/>
              <w:bottom w:w="70" w:type="dxa"/>
              <w:left w:w="100" w:type="dxa"/>
              <w:right w:w="100" w:type="dxa"/>
            </w:tcMar>
          </w:tcPr>
          <w:p>
            <w:r>
              <w:rPr>
                <w:rFonts w:ascii="Arial" w:hAnsi="Arial"/>
                <w:color w:val="2D3748"/>
                <w:sz w:val="18"/>
              </w:rPr>
              <w:t>Stage 3</w:t>
            </w:r>
          </w:p>
        </w:tc>
        <w:tc>
          <w:tcPr>
            <w:tcW w:type="dxa" w:w="2340"/>
            <w:shd w:val="clear" w:color="auto" w:fill="FFFFFF"/>
            <w:tcMar>
              <w:top w:w="70" w:type="dxa"/>
              <w:bottom w:w="70" w:type="dxa"/>
              <w:left w:w="100" w:type="dxa"/>
              <w:right w:w="100" w:type="dxa"/>
            </w:tcMar>
          </w:tcPr>
          <w:p>
            <w:r>
              <w:rPr>
                <w:rFonts w:ascii="Arial" w:hAnsi="Arial"/>
                <w:color w:val="2D3748"/>
                <w:sz w:val="18"/>
              </w:rPr>
              <w:t>Submerged &amp; Maritime Archaeology</w:t>
            </w:r>
          </w:p>
        </w:tc>
        <w:tc>
          <w:tcPr>
            <w:tcW w:type="dxa" w:w="2340"/>
            <w:shd w:val="clear" w:color="auto" w:fill="FFFFFF"/>
            <w:tcMar>
              <w:top w:w="70" w:type="dxa"/>
              <w:bottom w:w="70" w:type="dxa"/>
              <w:left w:w="100" w:type="dxa"/>
              <w:right w:w="100" w:type="dxa"/>
            </w:tcMar>
          </w:tcPr>
          <w:p>
            <w:r>
              <w:rPr>
                <w:rFonts w:ascii="Arial" w:hAnsi="Arial"/>
                <w:b/>
                <w:color w:val="2D3748"/>
                <w:sz w:val="18"/>
              </w:rPr>
              <w:t>10 Sites</w:t>
            </w:r>
          </w:p>
        </w:tc>
        <w:tc>
          <w:tcPr>
            <w:tcW w:type="dxa" w:w="2340"/>
            <w:shd w:val="clear" w:color="auto" w:fill="FFFFFF"/>
            <w:tcMar>
              <w:top w:w="70" w:type="dxa"/>
              <w:bottom w:w="70" w:type="dxa"/>
              <w:left w:w="100" w:type="dxa"/>
              <w:right w:w="100" w:type="dxa"/>
            </w:tcMar>
          </w:tcPr>
          <w:p>
            <w:r>
              <w:rPr>
                <w:rFonts w:ascii="Arial" w:hAnsi="Arial"/>
                <w:color w:val="2D3748"/>
                <w:sz w:val="18"/>
              </w:rPr>
              <w:t>Submerged lakebed stilt settlements and underwater shipwreck reserves.</w:t>
            </w:r>
          </w:p>
        </w:tc>
      </w:tr>
      <w:tr>
        <w:tc>
          <w:tcPr>
            <w:tcW w:type="dxa" w:w="2340"/>
            <w:shd w:val="clear" w:color="auto" w:fill="F7FAFC"/>
            <w:tcMar>
              <w:top w:w="70" w:type="dxa"/>
              <w:bottom w:w="70" w:type="dxa"/>
              <w:left w:w="100" w:type="dxa"/>
              <w:right w:w="100" w:type="dxa"/>
            </w:tcMar>
          </w:tcPr>
          <w:p>
            <w:r>
              <w:rPr>
                <w:rFonts w:ascii="Arial" w:hAnsi="Arial"/>
                <w:color w:val="2D3748"/>
                <w:sz w:val="18"/>
              </w:rPr>
              <w:t>Stage 4</w:t>
            </w:r>
          </w:p>
        </w:tc>
        <w:tc>
          <w:tcPr>
            <w:tcW w:type="dxa" w:w="2340"/>
            <w:shd w:val="clear" w:color="auto" w:fill="F7FAFC"/>
            <w:tcMar>
              <w:top w:w="70" w:type="dxa"/>
              <w:bottom w:w="70" w:type="dxa"/>
              <w:left w:w="100" w:type="dxa"/>
              <w:right w:w="100" w:type="dxa"/>
            </w:tcMar>
          </w:tcPr>
          <w:p>
            <w:r>
              <w:rPr>
                <w:rFonts w:ascii="Arial" w:hAnsi="Arial"/>
                <w:color w:val="2D3748"/>
                <w:sz w:val="18"/>
              </w:rPr>
              <w:t>Intangible Social Memory Zones</w:t>
            </w:r>
          </w:p>
        </w:tc>
        <w:tc>
          <w:tcPr>
            <w:tcW w:type="dxa" w:w="2340"/>
            <w:shd w:val="clear" w:color="auto" w:fill="F7FAFC"/>
            <w:tcMar>
              <w:top w:w="70" w:type="dxa"/>
              <w:bottom w:w="70" w:type="dxa"/>
              <w:left w:w="100" w:type="dxa"/>
              <w:right w:w="100" w:type="dxa"/>
            </w:tcMar>
          </w:tcPr>
          <w:p>
            <w:r>
              <w:rPr>
                <w:rFonts w:ascii="Arial" w:hAnsi="Arial"/>
                <w:b/>
                <w:color w:val="2D3748"/>
                <w:sz w:val="18"/>
              </w:rPr>
              <w:t>7 Sites</w:t>
            </w:r>
          </w:p>
        </w:tc>
        <w:tc>
          <w:tcPr>
            <w:tcW w:type="dxa" w:w="2340"/>
            <w:shd w:val="clear" w:color="auto" w:fill="F7FAFC"/>
            <w:tcMar>
              <w:top w:w="70" w:type="dxa"/>
              <w:bottom w:w="70" w:type="dxa"/>
              <w:left w:w="100" w:type="dxa"/>
              <w:right w:w="100" w:type="dxa"/>
            </w:tcMar>
          </w:tcPr>
          <w:p>
            <w:r>
              <w:rPr>
                <w:rFonts w:ascii="Arial" w:hAnsi="Arial"/>
                <w:color w:val="2D3748"/>
                <w:sz w:val="18"/>
              </w:rPr>
              <w:t>Commemorative memorial landscapes inscribed for symbolic event memory under Criterion (vi).</w:t>
            </w:r>
          </w:p>
        </w:tc>
      </w:tr>
    </w:tbl>
    <w:p>
      <w:pPr>
        <w:spacing w:after="240"/>
      </w:pPr>
    </w:p>
    <w:p>
      <w:pPr>
        <w:keepNext/>
        <w:spacing w:before="360" w:after="120"/>
      </w:pPr>
      <w:r>
        <w:rPr>
          <w:rFonts w:ascii="Arial" w:hAnsi="Arial"/>
          <w:b/>
          <w:color w:val="1A365D"/>
          <w:sz w:val="32"/>
        </w:rPr>
        <w:t>3. Dataset Architecture &amp; Field Completeness Baseline</w:t>
      </w:r>
    </w:p>
    <w:p>
      <w:pPr>
        <w:spacing w:before="0" w:after="120" w:line="276" w:lineRule="auto"/>
      </w:pPr>
      <w:r>
        <w:rPr>
          <w:rFonts w:ascii="Arial" w:hAnsi="Arial"/>
          <w:color w:val="2D3748"/>
          <w:sz w:val="21"/>
        </w:rPr>
        <w:t>The 80 attributes in the dataset track three core operational dimensions: administrative metadata (Criteria, Country, Architecture Type), geological petrographic data (Rock Class, Lithology, Formation, Minerals, Colour, Texture), and architectural conservation metrics (Masonry Technique, Structural Use, Quarry Origin, Weathering, Condition, Restoration).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365D"/>
            <w:tcMar>
              <w:top w:w="70" w:type="dxa"/>
              <w:bottom w:w="70" w:type="dxa"/>
              <w:left w:w="100" w:type="dxa"/>
              <w:right w:w="100" w:type="dxa"/>
            </w:tcMar>
          </w:tcPr>
          <w:p>
            <w:r>
              <w:rPr>
                <w:rFonts w:ascii="Arial" w:hAnsi="Arial"/>
                <w:b/>
                <w:color w:val="FFFFFF"/>
                <w:sz w:val="19"/>
              </w:rPr>
              <w:t>Attribute Field Name</w:t>
            </w:r>
          </w:p>
        </w:tc>
        <w:tc>
          <w:tcPr>
            <w:tcW w:type="dxa" w:w="3120"/>
            <w:shd w:val="clear" w:color="auto" w:fill="1A365D"/>
            <w:tcMar>
              <w:top w:w="70" w:type="dxa"/>
              <w:bottom w:w="70" w:type="dxa"/>
              <w:left w:w="100" w:type="dxa"/>
              <w:right w:w="100" w:type="dxa"/>
            </w:tcMar>
          </w:tcPr>
          <w:p>
            <w:r>
              <w:rPr>
                <w:rFonts w:ascii="Arial" w:hAnsi="Arial"/>
                <w:b/>
                <w:color w:val="FFFFFF"/>
                <w:sz w:val="19"/>
              </w:rPr>
              <w:t>Filled Records (n=902)</w:t>
            </w:r>
          </w:p>
        </w:tc>
        <w:tc>
          <w:tcPr>
            <w:tcW w:type="dxa" w:w="3120"/>
            <w:shd w:val="clear" w:color="auto" w:fill="1A365D"/>
            <w:tcMar>
              <w:top w:w="70" w:type="dxa"/>
              <w:bottom w:w="70" w:type="dxa"/>
              <w:left w:w="100" w:type="dxa"/>
              <w:right w:w="100" w:type="dxa"/>
            </w:tcMar>
          </w:tcPr>
          <w:p>
            <w:r>
              <w:rPr>
                <w:rFonts w:ascii="Arial" w:hAnsi="Arial"/>
                <w:b/>
                <w:color w:val="FFFFFF"/>
                <w:sz w:val="19"/>
              </w:rPr>
              <w:t>Completion Percentage (%)</w:t>
            </w:r>
          </w:p>
        </w:tc>
      </w:tr>
      <w:tr>
        <w:tc>
          <w:tcPr>
            <w:tcW w:type="dxa" w:w="3120"/>
            <w:shd w:val="clear" w:color="auto" w:fill="FFFFFF"/>
            <w:tcMar>
              <w:top w:w="60" w:type="dxa"/>
              <w:bottom w:w="60" w:type="dxa"/>
              <w:left w:w="100" w:type="dxa"/>
              <w:right w:w="100" w:type="dxa"/>
            </w:tcMar>
          </w:tcPr>
          <w:p>
            <w:r>
              <w:rPr>
                <w:rFonts w:ascii="Arial" w:hAnsi="Arial"/>
                <w:color w:val="2D3748"/>
                <w:sz w:val="18"/>
              </w:rPr>
              <w:t>Site ID / Site Name / Country</w:t>
            </w:r>
          </w:p>
        </w:tc>
        <w:tc>
          <w:tcPr>
            <w:tcW w:type="dxa" w:w="3120"/>
            <w:shd w:val="clear" w:color="auto" w:fill="FFFFFF"/>
            <w:tcMar>
              <w:top w:w="60" w:type="dxa"/>
              <w:bottom w:w="60" w:type="dxa"/>
              <w:left w:w="100" w:type="dxa"/>
              <w:right w:w="100" w:type="dxa"/>
            </w:tcMar>
          </w:tcPr>
          <w:p>
            <w:r>
              <w:rPr>
                <w:rFonts w:ascii="Arial" w:hAnsi="Arial"/>
                <w:color w:val="2D3748"/>
                <w:sz w:val="18"/>
              </w:rPr>
              <w:t>902</w:t>
            </w:r>
          </w:p>
        </w:tc>
        <w:tc>
          <w:tcPr>
            <w:tcW w:type="dxa" w:w="3120"/>
            <w:shd w:val="clear" w:color="auto" w:fill="FFFFFF"/>
            <w:tcMar>
              <w:top w:w="60" w:type="dxa"/>
              <w:bottom w:w="60" w:type="dxa"/>
              <w:left w:w="100" w:type="dxa"/>
              <w:right w:w="100" w:type="dxa"/>
            </w:tcMar>
          </w:tcPr>
          <w:p>
            <w:r>
              <w:rPr>
                <w:rFonts w:ascii="Arial" w:hAnsi="Arial"/>
                <w:b/>
                <w:color w:val="2D3748"/>
                <w:sz w:val="18"/>
              </w:rPr>
              <w:t>100.0%</w:t>
            </w:r>
          </w:p>
        </w:tc>
      </w:tr>
      <w:tr>
        <w:tc>
          <w:tcPr>
            <w:tcW w:type="dxa" w:w="3120"/>
            <w:shd w:val="clear" w:color="auto" w:fill="F7FAFC"/>
            <w:tcMar>
              <w:top w:w="60" w:type="dxa"/>
              <w:bottom w:w="60" w:type="dxa"/>
              <w:left w:w="100" w:type="dxa"/>
              <w:right w:w="100" w:type="dxa"/>
            </w:tcMar>
          </w:tcPr>
          <w:p>
            <w:r>
              <w:rPr>
                <w:rFonts w:ascii="Arial" w:hAnsi="Arial"/>
                <w:color w:val="2D3748"/>
                <w:sz w:val="18"/>
              </w:rPr>
              <w:t>Architecture Type</w:t>
            </w:r>
          </w:p>
        </w:tc>
        <w:tc>
          <w:tcPr>
            <w:tcW w:type="dxa" w:w="3120"/>
            <w:shd w:val="clear" w:color="auto" w:fill="F7FAFC"/>
            <w:tcMar>
              <w:top w:w="60" w:type="dxa"/>
              <w:bottom w:w="60" w:type="dxa"/>
              <w:left w:w="100" w:type="dxa"/>
              <w:right w:w="100" w:type="dxa"/>
            </w:tcMar>
          </w:tcPr>
          <w:p>
            <w:r>
              <w:rPr>
                <w:rFonts w:ascii="Arial" w:hAnsi="Arial"/>
                <w:color w:val="2D3748"/>
                <w:sz w:val="18"/>
              </w:rPr>
              <w:t>901</w:t>
            </w:r>
          </w:p>
        </w:tc>
        <w:tc>
          <w:tcPr>
            <w:tcW w:type="dxa" w:w="3120"/>
            <w:shd w:val="clear" w:color="auto" w:fill="F7FAFC"/>
            <w:tcMar>
              <w:top w:w="60" w:type="dxa"/>
              <w:bottom w:w="60" w:type="dxa"/>
              <w:left w:w="100" w:type="dxa"/>
              <w:right w:w="100" w:type="dxa"/>
            </w:tcMar>
          </w:tcPr>
          <w:p>
            <w:r>
              <w:rPr>
                <w:rFonts w:ascii="Arial" w:hAnsi="Arial"/>
                <w:b/>
                <w:color w:val="2D3748"/>
                <w:sz w:val="18"/>
              </w:rPr>
              <w:t>99.9%</w:t>
            </w:r>
          </w:p>
        </w:tc>
      </w:tr>
      <w:tr>
        <w:tc>
          <w:tcPr>
            <w:tcW w:type="dxa" w:w="3120"/>
            <w:shd w:val="clear" w:color="auto" w:fill="FFFFFF"/>
            <w:tcMar>
              <w:top w:w="60" w:type="dxa"/>
              <w:bottom w:w="60" w:type="dxa"/>
              <w:left w:w="100" w:type="dxa"/>
              <w:right w:w="100" w:type="dxa"/>
            </w:tcMar>
          </w:tcPr>
          <w:p>
            <w:r>
              <w:rPr>
                <w:rFonts w:ascii="Arial" w:hAnsi="Arial"/>
                <w:color w:val="2D3748"/>
                <w:sz w:val="18"/>
              </w:rPr>
              <w:t>UNESCO Criteria</w:t>
            </w:r>
          </w:p>
        </w:tc>
        <w:tc>
          <w:tcPr>
            <w:tcW w:type="dxa" w:w="3120"/>
            <w:shd w:val="clear" w:color="auto" w:fill="FFFFFF"/>
            <w:tcMar>
              <w:top w:w="60" w:type="dxa"/>
              <w:bottom w:w="60" w:type="dxa"/>
              <w:left w:w="100" w:type="dxa"/>
              <w:right w:w="100" w:type="dxa"/>
            </w:tcMar>
          </w:tcPr>
          <w:p>
            <w:r>
              <w:rPr>
                <w:rFonts w:ascii="Arial" w:hAnsi="Arial"/>
                <w:color w:val="2D3748"/>
                <w:sz w:val="18"/>
              </w:rPr>
              <w:t>795</w:t>
            </w:r>
          </w:p>
        </w:tc>
        <w:tc>
          <w:tcPr>
            <w:tcW w:type="dxa" w:w="3120"/>
            <w:shd w:val="clear" w:color="auto" w:fill="FFFFFF"/>
            <w:tcMar>
              <w:top w:w="60" w:type="dxa"/>
              <w:bottom w:w="60" w:type="dxa"/>
              <w:left w:w="100" w:type="dxa"/>
              <w:right w:w="100" w:type="dxa"/>
            </w:tcMar>
          </w:tcPr>
          <w:p>
            <w:r>
              <w:rPr>
                <w:rFonts w:ascii="Arial" w:hAnsi="Arial"/>
                <w:b/>
                <w:color w:val="2D3748"/>
                <w:sz w:val="18"/>
              </w:rPr>
              <w:t>88.1%</w:t>
            </w:r>
          </w:p>
        </w:tc>
      </w:tr>
      <w:tr>
        <w:tc>
          <w:tcPr>
            <w:tcW w:type="dxa" w:w="3120"/>
            <w:shd w:val="clear" w:color="auto" w:fill="F7FAFC"/>
            <w:tcMar>
              <w:top w:w="60" w:type="dxa"/>
              <w:bottom w:w="60" w:type="dxa"/>
              <w:left w:w="100" w:type="dxa"/>
              <w:right w:w="100" w:type="dxa"/>
            </w:tcMar>
          </w:tcPr>
          <w:p>
            <w:r>
              <w:rPr>
                <w:rFonts w:ascii="Arial" w:hAnsi="Arial"/>
                <w:color w:val="2D3748"/>
                <w:sz w:val="18"/>
              </w:rPr>
              <w:t>Site Condition Rating</w:t>
            </w:r>
          </w:p>
        </w:tc>
        <w:tc>
          <w:tcPr>
            <w:tcW w:type="dxa" w:w="3120"/>
            <w:shd w:val="clear" w:color="auto" w:fill="F7FAFC"/>
            <w:tcMar>
              <w:top w:w="60" w:type="dxa"/>
              <w:bottom w:w="60" w:type="dxa"/>
              <w:left w:w="100" w:type="dxa"/>
              <w:right w:w="100" w:type="dxa"/>
            </w:tcMar>
          </w:tcPr>
          <w:p>
            <w:r>
              <w:rPr>
                <w:rFonts w:ascii="Arial" w:hAnsi="Arial"/>
                <w:color w:val="2D3748"/>
                <w:sz w:val="18"/>
              </w:rPr>
              <w:t>194</w:t>
            </w:r>
          </w:p>
        </w:tc>
        <w:tc>
          <w:tcPr>
            <w:tcW w:type="dxa" w:w="3120"/>
            <w:shd w:val="clear" w:color="auto" w:fill="F7FAFC"/>
            <w:tcMar>
              <w:top w:w="60" w:type="dxa"/>
              <w:bottom w:w="60" w:type="dxa"/>
              <w:left w:w="100" w:type="dxa"/>
              <w:right w:w="100" w:type="dxa"/>
            </w:tcMar>
          </w:tcPr>
          <w:p>
            <w:r>
              <w:rPr>
                <w:rFonts w:ascii="Arial" w:hAnsi="Arial"/>
                <w:b/>
                <w:color w:val="2D3748"/>
                <w:sz w:val="18"/>
              </w:rPr>
              <w:t>21.5%</w:t>
            </w:r>
          </w:p>
        </w:tc>
      </w:tr>
      <w:tr>
        <w:tc>
          <w:tcPr>
            <w:tcW w:type="dxa" w:w="3120"/>
            <w:shd w:val="clear" w:color="auto" w:fill="FFFFFF"/>
            <w:tcMar>
              <w:top w:w="60" w:type="dxa"/>
              <w:bottom w:w="60" w:type="dxa"/>
              <w:left w:w="100" w:type="dxa"/>
              <w:right w:w="100" w:type="dxa"/>
            </w:tcMar>
          </w:tcPr>
          <w:p>
            <w:r>
              <w:rPr>
                <w:rFonts w:ascii="Arial" w:hAnsi="Arial"/>
                <w:color w:val="2D3748"/>
                <w:sz w:val="18"/>
              </w:rPr>
              <w:t>Mentioned Major Stone(s)</w:t>
            </w:r>
          </w:p>
        </w:tc>
        <w:tc>
          <w:tcPr>
            <w:tcW w:type="dxa" w:w="3120"/>
            <w:shd w:val="clear" w:color="auto" w:fill="FFFFFF"/>
            <w:tcMar>
              <w:top w:w="60" w:type="dxa"/>
              <w:bottom w:w="60" w:type="dxa"/>
              <w:left w:w="100" w:type="dxa"/>
              <w:right w:w="100" w:type="dxa"/>
            </w:tcMar>
          </w:tcPr>
          <w:p>
            <w:r>
              <w:rPr>
                <w:rFonts w:ascii="Arial" w:hAnsi="Arial"/>
                <w:color w:val="2D3748"/>
                <w:sz w:val="18"/>
              </w:rPr>
              <w:t>193</w:t>
            </w:r>
          </w:p>
        </w:tc>
        <w:tc>
          <w:tcPr>
            <w:tcW w:type="dxa" w:w="3120"/>
            <w:shd w:val="clear" w:color="auto" w:fill="FFFFFF"/>
            <w:tcMar>
              <w:top w:w="60" w:type="dxa"/>
              <w:bottom w:w="60" w:type="dxa"/>
              <w:left w:w="100" w:type="dxa"/>
              <w:right w:w="100" w:type="dxa"/>
            </w:tcMar>
          </w:tcPr>
          <w:p>
            <w:r>
              <w:rPr>
                <w:rFonts w:ascii="Arial" w:hAnsi="Arial"/>
                <w:b/>
                <w:color w:val="2D3748"/>
                <w:sz w:val="18"/>
              </w:rPr>
              <w:t>21.4%</w:t>
            </w:r>
          </w:p>
        </w:tc>
      </w:tr>
      <w:tr>
        <w:tc>
          <w:tcPr>
            <w:tcW w:type="dxa" w:w="3120"/>
            <w:shd w:val="clear" w:color="auto" w:fill="F7FAFC"/>
            <w:tcMar>
              <w:top w:w="60" w:type="dxa"/>
              <w:bottom w:w="60" w:type="dxa"/>
              <w:left w:w="100" w:type="dxa"/>
              <w:right w:w="100" w:type="dxa"/>
            </w:tcMar>
          </w:tcPr>
          <w:p>
            <w:r>
              <w:rPr>
                <w:rFonts w:ascii="Arial" w:hAnsi="Arial"/>
                <w:color w:val="2D3748"/>
                <w:sz w:val="18"/>
              </w:rPr>
              <w:t>Structural Use Application</w:t>
            </w:r>
          </w:p>
        </w:tc>
        <w:tc>
          <w:tcPr>
            <w:tcW w:type="dxa" w:w="3120"/>
            <w:shd w:val="clear" w:color="auto" w:fill="F7FAFC"/>
            <w:tcMar>
              <w:top w:w="60" w:type="dxa"/>
              <w:bottom w:w="60" w:type="dxa"/>
              <w:left w:w="100" w:type="dxa"/>
              <w:right w:w="100" w:type="dxa"/>
            </w:tcMar>
          </w:tcPr>
          <w:p>
            <w:r>
              <w:rPr>
                <w:rFonts w:ascii="Arial" w:hAnsi="Arial"/>
                <w:color w:val="2D3748"/>
                <w:sz w:val="18"/>
              </w:rPr>
              <w:t>190</w:t>
            </w:r>
          </w:p>
        </w:tc>
        <w:tc>
          <w:tcPr>
            <w:tcW w:type="dxa" w:w="3120"/>
            <w:shd w:val="clear" w:color="auto" w:fill="F7FAFC"/>
            <w:tcMar>
              <w:top w:w="60" w:type="dxa"/>
              <w:bottom w:w="60" w:type="dxa"/>
              <w:left w:w="100" w:type="dxa"/>
              <w:right w:w="100" w:type="dxa"/>
            </w:tcMar>
          </w:tcPr>
          <w:p>
            <w:r>
              <w:rPr>
                <w:rFonts w:ascii="Arial" w:hAnsi="Arial"/>
                <w:b/>
                <w:color w:val="2D3748"/>
                <w:sz w:val="18"/>
              </w:rPr>
              <w:t>21.1%</w:t>
            </w:r>
          </w:p>
        </w:tc>
      </w:tr>
      <w:tr>
        <w:tc>
          <w:tcPr>
            <w:tcW w:type="dxa" w:w="3120"/>
            <w:shd w:val="clear" w:color="auto" w:fill="FFFFFF"/>
            <w:tcMar>
              <w:top w:w="60" w:type="dxa"/>
              <w:bottom w:w="60" w:type="dxa"/>
              <w:left w:w="100" w:type="dxa"/>
              <w:right w:w="100" w:type="dxa"/>
            </w:tcMar>
          </w:tcPr>
          <w:p>
            <w:r>
              <w:rPr>
                <w:rFonts w:ascii="Arial" w:hAnsi="Arial"/>
                <w:color w:val="2D3748"/>
                <w:sz w:val="18"/>
              </w:rPr>
              <w:t>Restoration Approach</w:t>
            </w:r>
          </w:p>
        </w:tc>
        <w:tc>
          <w:tcPr>
            <w:tcW w:type="dxa" w:w="3120"/>
            <w:shd w:val="clear" w:color="auto" w:fill="FFFFFF"/>
            <w:tcMar>
              <w:top w:w="60" w:type="dxa"/>
              <w:bottom w:w="60" w:type="dxa"/>
              <w:left w:w="100" w:type="dxa"/>
              <w:right w:w="100" w:type="dxa"/>
            </w:tcMar>
          </w:tcPr>
          <w:p>
            <w:r>
              <w:rPr>
                <w:rFonts w:ascii="Arial" w:hAnsi="Arial"/>
                <w:color w:val="2D3748"/>
                <w:sz w:val="18"/>
              </w:rPr>
              <w:t>174</w:t>
            </w:r>
          </w:p>
        </w:tc>
        <w:tc>
          <w:tcPr>
            <w:tcW w:type="dxa" w:w="3120"/>
            <w:shd w:val="clear" w:color="auto" w:fill="FFFFFF"/>
            <w:tcMar>
              <w:top w:w="60" w:type="dxa"/>
              <w:bottom w:w="60" w:type="dxa"/>
              <w:left w:w="100" w:type="dxa"/>
              <w:right w:w="100" w:type="dxa"/>
            </w:tcMar>
          </w:tcPr>
          <w:p>
            <w:r>
              <w:rPr>
                <w:rFonts w:ascii="Arial" w:hAnsi="Arial"/>
                <w:b/>
                <w:color w:val="2D3748"/>
                <w:sz w:val="18"/>
              </w:rPr>
              <w:t>19.3%</w:t>
            </w:r>
          </w:p>
        </w:tc>
      </w:tr>
      <w:tr>
        <w:tc>
          <w:tcPr>
            <w:tcW w:type="dxa" w:w="3120"/>
            <w:shd w:val="clear" w:color="auto" w:fill="F7FAFC"/>
            <w:tcMar>
              <w:top w:w="60" w:type="dxa"/>
              <w:bottom w:w="60" w:type="dxa"/>
              <w:left w:w="100" w:type="dxa"/>
              <w:right w:w="100" w:type="dxa"/>
            </w:tcMar>
          </w:tcPr>
          <w:p>
            <w:r>
              <w:rPr>
                <w:rFonts w:ascii="Arial" w:hAnsi="Arial"/>
                <w:color w:val="2D3748"/>
                <w:sz w:val="18"/>
              </w:rPr>
              <w:t>Masonry Technique</w:t>
            </w:r>
          </w:p>
        </w:tc>
        <w:tc>
          <w:tcPr>
            <w:tcW w:type="dxa" w:w="3120"/>
            <w:shd w:val="clear" w:color="auto" w:fill="F7FAFC"/>
            <w:tcMar>
              <w:top w:w="60" w:type="dxa"/>
              <w:bottom w:w="60" w:type="dxa"/>
              <w:left w:w="100" w:type="dxa"/>
              <w:right w:w="100" w:type="dxa"/>
            </w:tcMar>
          </w:tcPr>
          <w:p>
            <w:r>
              <w:rPr>
                <w:rFonts w:ascii="Arial" w:hAnsi="Arial"/>
                <w:color w:val="2D3748"/>
                <w:sz w:val="18"/>
              </w:rPr>
              <w:t>157</w:t>
            </w:r>
          </w:p>
        </w:tc>
        <w:tc>
          <w:tcPr>
            <w:tcW w:type="dxa" w:w="3120"/>
            <w:shd w:val="clear" w:color="auto" w:fill="F7FAFC"/>
            <w:tcMar>
              <w:top w:w="60" w:type="dxa"/>
              <w:bottom w:w="60" w:type="dxa"/>
              <w:left w:w="100" w:type="dxa"/>
              <w:right w:w="100" w:type="dxa"/>
            </w:tcMar>
          </w:tcPr>
          <w:p>
            <w:r>
              <w:rPr>
                <w:rFonts w:ascii="Arial" w:hAnsi="Arial"/>
                <w:b/>
                <w:color w:val="2D3748"/>
                <w:sz w:val="18"/>
              </w:rPr>
              <w:t>17.4%</w:t>
            </w:r>
          </w:p>
        </w:tc>
      </w:tr>
      <w:tr>
        <w:tc>
          <w:tcPr>
            <w:tcW w:type="dxa" w:w="3120"/>
            <w:shd w:val="clear" w:color="auto" w:fill="FFFFFF"/>
            <w:tcMar>
              <w:top w:w="60" w:type="dxa"/>
              <w:bottom w:w="60" w:type="dxa"/>
              <w:left w:w="100" w:type="dxa"/>
              <w:right w:w="100" w:type="dxa"/>
            </w:tcMar>
          </w:tcPr>
          <w:p>
            <w:r>
              <w:rPr>
                <w:rFonts w:ascii="Arial" w:hAnsi="Arial"/>
                <w:color w:val="2D3748"/>
                <w:sz w:val="18"/>
              </w:rPr>
              <w:t>Rock Class Classification</w:t>
            </w:r>
          </w:p>
        </w:tc>
        <w:tc>
          <w:tcPr>
            <w:tcW w:type="dxa" w:w="3120"/>
            <w:shd w:val="clear" w:color="auto" w:fill="FFFFFF"/>
            <w:tcMar>
              <w:top w:w="60" w:type="dxa"/>
              <w:bottom w:w="60" w:type="dxa"/>
              <w:left w:w="100" w:type="dxa"/>
              <w:right w:w="100" w:type="dxa"/>
            </w:tcMar>
          </w:tcPr>
          <w:p>
            <w:r>
              <w:rPr>
                <w:rFonts w:ascii="Arial" w:hAnsi="Arial"/>
                <w:color w:val="2D3748"/>
                <w:sz w:val="18"/>
              </w:rPr>
              <w:t>152</w:t>
            </w:r>
          </w:p>
        </w:tc>
        <w:tc>
          <w:tcPr>
            <w:tcW w:type="dxa" w:w="3120"/>
            <w:shd w:val="clear" w:color="auto" w:fill="FFFFFF"/>
            <w:tcMar>
              <w:top w:w="60" w:type="dxa"/>
              <w:bottom w:w="60" w:type="dxa"/>
              <w:left w:w="100" w:type="dxa"/>
              <w:right w:w="100" w:type="dxa"/>
            </w:tcMar>
          </w:tcPr>
          <w:p>
            <w:r>
              <w:rPr>
                <w:rFonts w:ascii="Arial" w:hAnsi="Arial"/>
                <w:b/>
                <w:color w:val="2D3748"/>
                <w:sz w:val="18"/>
              </w:rPr>
              <w:t>16.9%</w:t>
            </w:r>
          </w:p>
        </w:tc>
      </w:tr>
      <w:tr>
        <w:tc>
          <w:tcPr>
            <w:tcW w:type="dxa" w:w="3120"/>
            <w:shd w:val="clear" w:color="auto" w:fill="F7FAFC"/>
            <w:tcMar>
              <w:top w:w="60" w:type="dxa"/>
              <w:bottom w:w="60" w:type="dxa"/>
              <w:left w:w="100" w:type="dxa"/>
              <w:right w:w="100" w:type="dxa"/>
            </w:tcMar>
          </w:tcPr>
          <w:p>
            <w:r>
              <w:rPr>
                <w:rFonts w:ascii="Arial" w:hAnsi="Arial"/>
                <w:color w:val="2D3748"/>
                <w:sz w:val="18"/>
              </w:rPr>
              <w:t>Local vs Imported Provenance</w:t>
            </w:r>
          </w:p>
        </w:tc>
        <w:tc>
          <w:tcPr>
            <w:tcW w:type="dxa" w:w="3120"/>
            <w:shd w:val="clear" w:color="auto" w:fill="F7FAFC"/>
            <w:tcMar>
              <w:top w:w="60" w:type="dxa"/>
              <w:bottom w:w="60" w:type="dxa"/>
              <w:left w:w="100" w:type="dxa"/>
              <w:right w:w="100" w:type="dxa"/>
            </w:tcMar>
          </w:tcPr>
          <w:p>
            <w:r>
              <w:rPr>
                <w:rFonts w:ascii="Arial" w:hAnsi="Arial"/>
                <w:color w:val="2D3748"/>
                <w:sz w:val="18"/>
              </w:rPr>
              <w:t>129</w:t>
            </w:r>
          </w:p>
        </w:tc>
        <w:tc>
          <w:tcPr>
            <w:tcW w:type="dxa" w:w="3120"/>
            <w:shd w:val="clear" w:color="auto" w:fill="F7FAFC"/>
            <w:tcMar>
              <w:top w:w="60" w:type="dxa"/>
              <w:bottom w:w="60" w:type="dxa"/>
              <w:left w:w="100" w:type="dxa"/>
              <w:right w:w="100" w:type="dxa"/>
            </w:tcMar>
          </w:tcPr>
          <w:p>
            <w:r>
              <w:rPr>
                <w:rFonts w:ascii="Arial" w:hAnsi="Arial"/>
                <w:b/>
                <w:color w:val="2D3748"/>
                <w:sz w:val="18"/>
              </w:rPr>
              <w:t>14.3%</w:t>
            </w:r>
          </w:p>
        </w:tc>
      </w:tr>
      <w:tr>
        <w:tc>
          <w:tcPr>
            <w:tcW w:type="dxa" w:w="3120"/>
            <w:shd w:val="clear" w:color="auto" w:fill="FFFFFF"/>
            <w:tcMar>
              <w:top w:w="60" w:type="dxa"/>
              <w:bottom w:w="60" w:type="dxa"/>
              <w:left w:w="100" w:type="dxa"/>
              <w:right w:w="100" w:type="dxa"/>
            </w:tcMar>
          </w:tcPr>
          <w:p>
            <w:r>
              <w:rPr>
                <w:rFonts w:ascii="Arial" w:hAnsi="Arial"/>
                <w:color w:val="2D3748"/>
                <w:sz w:val="18"/>
              </w:rPr>
              <w:t>Weathering Threat Vectors</w:t>
            </w:r>
          </w:p>
        </w:tc>
        <w:tc>
          <w:tcPr>
            <w:tcW w:type="dxa" w:w="3120"/>
            <w:shd w:val="clear" w:color="auto" w:fill="FFFFFF"/>
            <w:tcMar>
              <w:top w:w="60" w:type="dxa"/>
              <w:bottom w:w="60" w:type="dxa"/>
              <w:left w:w="100" w:type="dxa"/>
              <w:right w:w="100" w:type="dxa"/>
            </w:tcMar>
          </w:tcPr>
          <w:p>
            <w:r>
              <w:rPr>
                <w:rFonts w:ascii="Arial" w:hAnsi="Arial"/>
                <w:color w:val="2D3748"/>
                <w:sz w:val="18"/>
              </w:rPr>
              <w:t>119</w:t>
            </w:r>
          </w:p>
        </w:tc>
        <w:tc>
          <w:tcPr>
            <w:tcW w:type="dxa" w:w="3120"/>
            <w:shd w:val="clear" w:color="auto" w:fill="FFFFFF"/>
            <w:tcMar>
              <w:top w:w="60" w:type="dxa"/>
              <w:bottom w:w="60" w:type="dxa"/>
              <w:left w:w="100" w:type="dxa"/>
              <w:right w:w="100" w:type="dxa"/>
            </w:tcMar>
          </w:tcPr>
          <w:p>
            <w:r>
              <w:rPr>
                <w:rFonts w:ascii="Arial" w:hAnsi="Arial"/>
                <w:b/>
                <w:color w:val="2D3748"/>
                <w:sz w:val="18"/>
              </w:rPr>
              <w:t>13.2%</w:t>
            </w:r>
          </w:p>
        </w:tc>
      </w:tr>
      <w:tr>
        <w:tc>
          <w:tcPr>
            <w:tcW w:type="dxa" w:w="3120"/>
            <w:shd w:val="clear" w:color="auto" w:fill="F7FAFC"/>
            <w:tcMar>
              <w:top w:w="60" w:type="dxa"/>
              <w:bottom w:w="60" w:type="dxa"/>
              <w:left w:w="100" w:type="dxa"/>
              <w:right w:w="100" w:type="dxa"/>
            </w:tcMar>
          </w:tcPr>
          <w:p>
            <w:r>
              <w:rPr>
                <w:rFonts w:ascii="Arial" w:hAnsi="Arial"/>
                <w:color w:val="2D3748"/>
                <w:sz w:val="18"/>
              </w:rPr>
              <w:t>Lithological Description</w:t>
            </w:r>
          </w:p>
        </w:tc>
        <w:tc>
          <w:tcPr>
            <w:tcW w:type="dxa" w:w="3120"/>
            <w:shd w:val="clear" w:color="auto" w:fill="F7FAFC"/>
            <w:tcMar>
              <w:top w:w="60" w:type="dxa"/>
              <w:bottom w:w="60" w:type="dxa"/>
              <w:left w:w="100" w:type="dxa"/>
              <w:right w:w="100" w:type="dxa"/>
            </w:tcMar>
          </w:tcPr>
          <w:p>
            <w:r>
              <w:rPr>
                <w:rFonts w:ascii="Arial" w:hAnsi="Arial"/>
                <w:color w:val="2D3748"/>
                <w:sz w:val="18"/>
              </w:rPr>
              <w:t>80</w:t>
            </w:r>
          </w:p>
        </w:tc>
        <w:tc>
          <w:tcPr>
            <w:tcW w:type="dxa" w:w="3120"/>
            <w:shd w:val="clear" w:color="auto" w:fill="F7FAFC"/>
            <w:tcMar>
              <w:top w:w="60" w:type="dxa"/>
              <w:bottom w:w="60" w:type="dxa"/>
              <w:left w:w="100" w:type="dxa"/>
              <w:right w:w="100" w:type="dxa"/>
            </w:tcMar>
          </w:tcPr>
          <w:p>
            <w:r>
              <w:rPr>
                <w:rFonts w:ascii="Arial" w:hAnsi="Arial"/>
                <w:b/>
                <w:color w:val="2D3748"/>
                <w:sz w:val="18"/>
              </w:rPr>
              <w:t>8.9%</w:t>
            </w:r>
          </w:p>
        </w:tc>
      </w:tr>
      <w:tr>
        <w:tc>
          <w:tcPr>
            <w:tcW w:type="dxa" w:w="3120"/>
            <w:shd w:val="clear" w:color="auto" w:fill="FFFFFF"/>
            <w:tcMar>
              <w:top w:w="60" w:type="dxa"/>
              <w:bottom w:w="60" w:type="dxa"/>
              <w:left w:w="100" w:type="dxa"/>
              <w:right w:w="100" w:type="dxa"/>
            </w:tcMar>
          </w:tcPr>
          <w:p>
            <w:r>
              <w:rPr>
                <w:rFonts w:ascii="Arial" w:hAnsi="Arial"/>
                <w:color w:val="2D3748"/>
                <w:sz w:val="18"/>
              </w:rPr>
              <w:t>Quarry Location / Country</w:t>
            </w:r>
          </w:p>
        </w:tc>
        <w:tc>
          <w:tcPr>
            <w:tcW w:type="dxa" w:w="3120"/>
            <w:shd w:val="clear" w:color="auto" w:fill="FFFFFF"/>
            <w:tcMar>
              <w:top w:w="60" w:type="dxa"/>
              <w:bottom w:w="60" w:type="dxa"/>
              <w:left w:w="100" w:type="dxa"/>
              <w:right w:w="100" w:type="dxa"/>
            </w:tcMar>
          </w:tcPr>
          <w:p>
            <w:r>
              <w:rPr>
                <w:rFonts w:ascii="Arial" w:hAnsi="Arial"/>
                <w:color w:val="2D3748"/>
                <w:sz w:val="18"/>
              </w:rPr>
              <w:t>62</w:t>
            </w:r>
          </w:p>
        </w:tc>
        <w:tc>
          <w:tcPr>
            <w:tcW w:type="dxa" w:w="3120"/>
            <w:shd w:val="clear" w:color="auto" w:fill="FFFFFF"/>
            <w:tcMar>
              <w:top w:w="60" w:type="dxa"/>
              <w:bottom w:w="60" w:type="dxa"/>
              <w:left w:w="100" w:type="dxa"/>
              <w:right w:w="100" w:type="dxa"/>
            </w:tcMar>
          </w:tcPr>
          <w:p>
            <w:r>
              <w:rPr>
                <w:rFonts w:ascii="Arial" w:hAnsi="Arial"/>
                <w:b/>
                <w:color w:val="2D3748"/>
                <w:sz w:val="18"/>
              </w:rPr>
              <w:t>6.9%</w:t>
            </w:r>
          </w:p>
        </w:tc>
      </w:tr>
      <w:tr>
        <w:tc>
          <w:tcPr>
            <w:tcW w:type="dxa" w:w="3120"/>
            <w:shd w:val="clear" w:color="auto" w:fill="F7FAFC"/>
            <w:tcMar>
              <w:top w:w="60" w:type="dxa"/>
              <w:bottom w:w="60" w:type="dxa"/>
              <w:left w:w="100" w:type="dxa"/>
              <w:right w:w="100" w:type="dxa"/>
            </w:tcMar>
          </w:tcPr>
          <w:p>
            <w:r>
              <w:rPr>
                <w:rFonts w:ascii="Arial" w:hAnsi="Arial"/>
                <w:color w:val="2D3748"/>
                <w:sz w:val="18"/>
              </w:rPr>
              <w:t>Local Vernacular Stone Name</w:t>
            </w:r>
          </w:p>
        </w:tc>
        <w:tc>
          <w:tcPr>
            <w:tcW w:type="dxa" w:w="3120"/>
            <w:shd w:val="clear" w:color="auto" w:fill="F7FAFC"/>
            <w:tcMar>
              <w:top w:w="60" w:type="dxa"/>
              <w:bottom w:w="60" w:type="dxa"/>
              <w:left w:w="100" w:type="dxa"/>
              <w:right w:w="100" w:type="dxa"/>
            </w:tcMar>
          </w:tcPr>
          <w:p>
            <w:r>
              <w:rPr>
                <w:rFonts w:ascii="Arial" w:hAnsi="Arial"/>
                <w:color w:val="2D3748"/>
                <w:sz w:val="18"/>
              </w:rPr>
              <w:t>43</w:t>
            </w:r>
          </w:p>
        </w:tc>
        <w:tc>
          <w:tcPr>
            <w:tcW w:type="dxa" w:w="3120"/>
            <w:shd w:val="clear" w:color="auto" w:fill="F7FAFC"/>
            <w:tcMar>
              <w:top w:w="60" w:type="dxa"/>
              <w:bottom w:w="60" w:type="dxa"/>
              <w:left w:w="100" w:type="dxa"/>
              <w:right w:w="100" w:type="dxa"/>
            </w:tcMar>
          </w:tcPr>
          <w:p>
            <w:r>
              <w:rPr>
                <w:rFonts w:ascii="Arial" w:hAnsi="Arial"/>
                <w:b/>
                <w:color w:val="2D3748"/>
                <w:sz w:val="18"/>
              </w:rPr>
              <w:t>4.8%</w:t>
            </w:r>
          </w:p>
        </w:tc>
      </w:tr>
      <w:tr>
        <w:tc>
          <w:tcPr>
            <w:tcW w:type="dxa" w:w="3120"/>
            <w:shd w:val="clear" w:color="auto" w:fill="FFFFFF"/>
            <w:tcMar>
              <w:top w:w="60" w:type="dxa"/>
              <w:bottom w:w="60" w:type="dxa"/>
              <w:left w:w="100" w:type="dxa"/>
              <w:right w:w="100" w:type="dxa"/>
            </w:tcMar>
          </w:tcPr>
          <w:p>
            <w:r>
              <w:rPr>
                <w:rFonts w:ascii="Arial" w:hAnsi="Arial"/>
                <w:color w:val="2D3748"/>
                <w:sz w:val="18"/>
              </w:rPr>
              <w:t>Mineralogical Composition</w:t>
            </w:r>
          </w:p>
        </w:tc>
        <w:tc>
          <w:tcPr>
            <w:tcW w:type="dxa" w:w="3120"/>
            <w:shd w:val="clear" w:color="auto" w:fill="FFFFFF"/>
            <w:tcMar>
              <w:top w:w="60" w:type="dxa"/>
              <w:bottom w:w="60" w:type="dxa"/>
              <w:left w:w="100" w:type="dxa"/>
              <w:right w:w="100" w:type="dxa"/>
            </w:tcMar>
          </w:tcPr>
          <w:p>
            <w:r>
              <w:rPr>
                <w:rFonts w:ascii="Arial" w:hAnsi="Arial"/>
                <w:color w:val="2D3748"/>
                <w:sz w:val="18"/>
              </w:rPr>
              <w:t>22</w:t>
            </w:r>
          </w:p>
        </w:tc>
        <w:tc>
          <w:tcPr>
            <w:tcW w:type="dxa" w:w="3120"/>
            <w:shd w:val="clear" w:color="auto" w:fill="FFFFFF"/>
            <w:tcMar>
              <w:top w:w="60" w:type="dxa"/>
              <w:bottom w:w="60" w:type="dxa"/>
              <w:left w:w="100" w:type="dxa"/>
              <w:right w:w="100" w:type="dxa"/>
            </w:tcMar>
          </w:tcPr>
          <w:p>
            <w:r>
              <w:rPr>
                <w:rFonts w:ascii="Arial" w:hAnsi="Arial"/>
                <w:b/>
                <w:color w:val="2D3748"/>
                <w:sz w:val="18"/>
              </w:rPr>
              <w:t>2.4%</w:t>
            </w:r>
          </w:p>
        </w:tc>
      </w:tr>
    </w:tbl>
    <w:p>
      <w:pPr>
        <w:spacing w:after="240"/>
      </w:pPr>
    </w:p>
    <w:p>
      <w:pPr>
        <w:spacing w:before="120" w:after="80"/>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data_completeness_bar.png"/>
                    <pic:cNvPicPr/>
                  </pic:nvPicPr>
                  <pic:blipFill>
                    <a:blip r:embed="rId10"/>
                    <a:stretch>
                      <a:fillRect/>
                    </a:stretch>
                  </pic:blipFill>
                  <pic:spPr>
                    <a:xfrm>
                      <a:off x="0" y="0"/>
                      <a:ext cx="5486400" cy="3227294"/>
                    </a:xfrm>
                    <a:prstGeom prst="rect"/>
                  </pic:spPr>
                </pic:pic>
              </a:graphicData>
            </a:graphic>
          </wp:inline>
        </w:drawing>
      </w:r>
    </w:p>
    <w:p>
      <w:pPr>
        <w:spacing w:after="280"/>
        <w:jc w:val="center"/>
      </w:pPr>
      <w:r>
        <w:rPr>
          <w:rFonts w:ascii="Arial" w:hAnsi="Arial"/>
          <w:i/>
          <w:color w:val="718096"/>
          <w:sz w:val="17"/>
        </w:rPr>
        <w:t>Figure 2: Attribute completeness percentages across 902 World Heritage Sites (Backup 37).</w:t>
      </w:r>
    </w:p>
    <w:p>
      <w:pPr>
        <w:keepNext/>
        <w:spacing w:before="360" w:after="120"/>
      </w:pPr>
      <w:r>
        <w:rPr>
          <w:rFonts w:ascii="Arial" w:hAnsi="Arial"/>
          <w:b/>
          <w:color w:val="1A365D"/>
          <w:sz w:val="32"/>
        </w:rPr>
        <w:t>4. Geological Classification: The Three Kingdoms of Stone</w:t>
      </w:r>
    </w:p>
    <w:p>
      <w:pPr>
        <w:spacing w:before="0" w:after="120" w:line="276" w:lineRule="auto"/>
      </w:pPr>
      <w:r>
        <w:rPr>
          <w:rFonts w:ascii="Arial" w:hAnsi="Arial"/>
          <w:color w:val="2D3748"/>
          <w:sz w:val="21"/>
        </w:rPr>
        <w:t>Of the 152 sites with confirmed rock class entries, sedimentary geology dominates world heritage construction. Sedimentary rocks comprise 60.5% (92 sites), followed by igneous formations at 24.3% (37 sites), and metamorphic rocks at 15.1% (23 sites).</w:t>
      </w:r>
    </w:p>
    <w:p>
      <w:pPr>
        <w:spacing w:before="120" w:after="80"/>
        <w:jc w:val="center"/>
      </w:pPr>
      <w:r>
        <w:drawing>
          <wp:inline xmlns:a="http://schemas.openxmlformats.org/drawingml/2006/main" xmlns:pic="http://schemas.openxmlformats.org/drawingml/2006/picture">
            <wp:extent cx="4754880" cy="3056709"/>
            <wp:docPr id="3" name="Picture 3"/>
            <wp:cNvGraphicFramePr>
              <a:graphicFrameLocks noChangeAspect="1"/>
            </wp:cNvGraphicFramePr>
            <a:graphic>
              <a:graphicData uri="http://schemas.openxmlformats.org/drawingml/2006/picture">
                <pic:pic>
                  <pic:nvPicPr>
                    <pic:cNvPr id="0" name="rock_class_donut.png"/>
                    <pic:cNvPicPr/>
                  </pic:nvPicPr>
                  <pic:blipFill>
                    <a:blip r:embed="rId11"/>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3: Distribution of primary rock classes across classified heritage monuments (n=152).</w:t>
      </w:r>
    </w:p>
    <w:p>
      <w:pPr>
        <w:spacing w:before="0" w:after="120" w:line="276" w:lineRule="auto"/>
      </w:pPr>
      <w:r>
        <w:rPr>
          <w:rFonts w:ascii="Arial" w:hAnsi="Arial"/>
          <w:color w:val="2D3748"/>
          <w:sz w:val="21"/>
        </w:rPr>
        <w:t>Sedimentary dominance is driven by three geological and historical realities: (1) superior manual workability of carbonate rocks under hand tools, (2) widespread occurrence of shallow marine carbonate platforms across Southern Europe, North Africa, and South Asia where urban civilization developed, and (3) natural river valley bluff exposures minimizing overburden mining costs.</w:t>
      </w:r>
    </w:p>
    <w:p>
      <w:pPr>
        <w:keepNext/>
        <w:spacing w:before="280" w:after="80"/>
      </w:pPr>
      <w:r>
        <w:rPr>
          <w:rFonts w:ascii="Arial" w:hAnsi="Arial"/>
          <w:b/>
          <w:color w:val="2B6CB0"/>
          <w:sz w:val="26"/>
        </w:rPr>
        <w:t>Regional Continental Patterns</w:t>
      </w:r>
    </w:p>
    <w:p>
      <w:pPr>
        <w:spacing w:before="0" w:after="120" w:line="276" w:lineRule="auto"/>
      </w:pPr>
      <w:r>
        <w:rPr>
          <w:rFonts w:ascii="Arial" w:hAnsi="Arial"/>
          <w:color w:val="2D3748"/>
          <w:sz w:val="21"/>
        </w:rPr>
        <w:t>Europe leads total classified sites (66 sites) with heavy reliance on sedimentary limestone cathedrals and Mediterranean marble architecture. Asia (39 sites) exhibits a dual reliance on sedimentary sandstones (Harappan and Mughal sites) and Deccan igneous basalts (rock-cut cave temples). Africa and the Americas display balanced igneous-sedimentary distributions, utilizing volcanic tuffs and granites.</w:t>
      </w:r>
    </w:p>
    <w:p>
      <w:pPr>
        <w:spacing w:before="120" w:after="80"/>
        <w:jc w:val="center"/>
      </w:pPr>
      <w:r>
        <w:drawing>
          <wp:inline xmlns:a="http://schemas.openxmlformats.org/drawingml/2006/main" xmlns:pic="http://schemas.openxmlformats.org/drawingml/2006/picture">
            <wp:extent cx="5303520" cy="2807746"/>
            <wp:docPr id="4" name="Picture 4"/>
            <wp:cNvGraphicFramePr>
              <a:graphicFrameLocks noChangeAspect="1"/>
            </wp:cNvGraphicFramePr>
            <a:graphic>
              <a:graphicData uri="http://schemas.openxmlformats.org/drawingml/2006/picture">
                <pic:pic>
                  <pic:nvPicPr>
                    <pic:cNvPr id="0" name="regional_rock_class.png"/>
                    <pic:cNvPicPr/>
                  </pic:nvPicPr>
                  <pic:blipFill>
                    <a:blip r:embed="rId12"/>
                    <a:stretch>
                      <a:fillRect/>
                    </a:stretch>
                  </pic:blipFill>
                  <pic:spPr>
                    <a:xfrm>
                      <a:off x="0" y="0"/>
                      <a:ext cx="5303520" cy="2807746"/>
                    </a:xfrm>
                    <a:prstGeom prst="rect"/>
                  </pic:spPr>
                </pic:pic>
              </a:graphicData>
            </a:graphic>
          </wp:inline>
        </w:drawing>
      </w:r>
    </w:p>
    <w:p>
      <w:pPr>
        <w:spacing w:after="280"/>
        <w:jc w:val="center"/>
      </w:pPr>
      <w:r>
        <w:rPr>
          <w:rFonts w:ascii="Arial" w:hAnsi="Arial"/>
          <w:i/>
          <w:color w:val="718096"/>
          <w:sz w:val="17"/>
        </w:rPr>
        <w:t>Figure 4: Rock class distribution broken down across geographic regions.</w:t>
      </w:r>
    </w:p>
    <w:p>
      <w:pPr>
        <w:keepNext/>
        <w:spacing w:before="360" w:after="120"/>
      </w:pPr>
      <w:r>
        <w:rPr>
          <w:rFonts w:ascii="Arial" w:hAnsi="Arial"/>
          <w:b/>
          <w:color w:val="1A365D"/>
          <w:sz w:val="32"/>
        </w:rPr>
        <w:t>5. Typological Dominance &amp; Material Taxonomy</w:t>
      </w:r>
    </w:p>
    <w:p>
      <w:pPr>
        <w:spacing w:before="0" w:after="120" w:line="276" w:lineRule="auto"/>
      </w:pPr>
      <w:r>
        <w:rPr>
          <w:rFonts w:ascii="Arial" w:hAnsi="Arial"/>
          <w:color w:val="2D3748"/>
          <w:sz w:val="21"/>
        </w:rPr>
        <w:t>Evaluating specific stone types identifies Limestone as the single most common major stone in world heritage (24 direct mentions), followed by Granite (15 entries), Sandstone (14 entries), and Marble (10 entries). Following the Backup 37 quality audit, spurious 'Flint' assignments across 6 non-prehistoric sites were corrected, leaving Spiennes (Belgium) as the genuine Neolithic flint mining entry.</w:t>
      </w:r>
    </w:p>
    <w:p>
      <w:pPr>
        <w:spacing w:before="12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op_stones_bar.png"/>
                    <pic:cNvPicPr/>
                  </pic:nvPicPr>
                  <pic:blipFill>
                    <a:blip r:embed="rId13"/>
                    <a:stretch>
                      <a:fillRect/>
                    </a:stretch>
                  </pic:blipFill>
                  <pic:spPr>
                    <a:xfrm>
                      <a:off x="0" y="0"/>
                      <a:ext cx="5303520" cy="3314700"/>
                    </a:xfrm>
                    <a:prstGeom prst="rect"/>
                  </pic:spPr>
                </pic:pic>
              </a:graphicData>
            </a:graphic>
          </wp:inline>
        </w:drawing>
      </w:r>
    </w:p>
    <w:p>
      <w:pPr>
        <w:spacing w:after="280"/>
        <w:jc w:val="center"/>
      </w:pPr>
      <w:r>
        <w:rPr>
          <w:rFonts w:ascii="Arial" w:hAnsi="Arial"/>
          <w:i/>
          <w:color w:val="718096"/>
          <w:sz w:val="17"/>
        </w:rPr>
        <w:t>Figure 5: Frequency of primary stone types directly identified across UNESCO inscriptions (Backup 37 Audit).</w:t>
      </w:r>
    </w:p>
    <w:p>
      <w:pPr>
        <w:spacing w:before="0" w:after="120" w:line="276" w:lineRule="auto"/>
      </w:pPr>
      <w:r>
        <w:rPr>
          <w:rFonts w:ascii="Arial" w:hAnsi="Arial"/>
          <w:color w:val="2D3748"/>
          <w:sz w:val="21"/>
        </w:rPr>
        <w:t>The dataset also captures highly specific local vernacular stone names: Sillar (Peru dacitic ignimbrite), Makrana Marble (India &gt;98% calcitic marble), Pietra Serena and Pietra Forte (Florentine sandstones), Pietra d'Istria (Venetian marine-resistant limestone), Aachener Blaustein (Germany), Kabook (Sri Lanka), Daga (Zimbabwe), and Sarsen (UK).</w:t>
      </w:r>
    </w:p>
    <w:p>
      <w:pPr>
        <w:keepNext/>
        <w:spacing w:before="360" w:after="120"/>
      </w:pPr>
      <w:r>
        <w:rPr>
          <w:rFonts w:ascii="Arial" w:hAnsi="Arial"/>
          <w:b/>
          <w:color w:val="1A365D"/>
          <w:sz w:val="32"/>
        </w:rPr>
        <w:t>6. Provenance Dynamics: Local Sourcing vs. Strategic Imports</w:t>
      </w:r>
    </w:p>
    <w:p>
      <w:pPr>
        <w:spacing w:before="0" w:after="120" w:line="276" w:lineRule="auto"/>
      </w:pPr>
      <w:r>
        <w:rPr>
          <w:rFonts w:ascii="Arial" w:hAnsi="Arial"/>
          <w:color w:val="2D3748"/>
          <w:sz w:val="21"/>
        </w:rPr>
        <w:t>Among 129 provenance-classified sites, 114 sites (88.4%) relied entirely on local stone extraction within a 5 to 25 km radius. Only 6 sites (4.7%) relied exclusively on long-distance imports, while 8 sites (6.2%) combined local structural stone with imported decorative elements.</w:t>
      </w:r>
    </w:p>
    <w:p>
      <w:pPr>
        <w:spacing w:before="120" w:after="80"/>
        <w:jc w:val="center"/>
      </w:pPr>
      <w:r>
        <w:drawing>
          <wp:inline xmlns:a="http://schemas.openxmlformats.org/drawingml/2006/main" xmlns:pic="http://schemas.openxmlformats.org/drawingml/2006/picture">
            <wp:extent cx="4754880" cy="3056709"/>
            <wp:docPr id="6" name="Picture 6"/>
            <wp:cNvGraphicFramePr>
              <a:graphicFrameLocks noChangeAspect="1"/>
            </wp:cNvGraphicFramePr>
            <a:graphic>
              <a:graphicData uri="http://schemas.openxmlformats.org/drawingml/2006/picture">
                <pic:pic>
                  <pic:nvPicPr>
                    <pic:cNvPr id="0" name="provenance_pie.png"/>
                    <pic:cNvPicPr/>
                  </pic:nvPicPr>
                  <pic:blipFill>
                    <a:blip r:embed="rId14"/>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6: Sourcing provenance distribution across documented heritage sites (n=129).</w:t>
      </w:r>
    </w:p>
    <w:p>
      <w:pPr>
        <w:spacing w:before="0" w:after="120" w:line="276" w:lineRule="auto"/>
      </w:pPr>
      <w:r>
        <w:rPr>
          <w:rFonts w:ascii="Arial" w:hAnsi="Arial"/>
          <w:color w:val="2D3748"/>
          <w:sz w:val="21"/>
        </w:rPr>
        <w:t>Pre-industrial overland transport of heavy stone blocks imposed immense costs. Long-distance stone transport occurred almost exclusively via maritime/river shipping routes (Istrian stone shipped to Venice) or royal imperial decree where cost was secondary to state symbolism (Makrana marble hauled 300+ km to Agra for the Taj Mahal, or Welsh bluestones moved 240 km to Stonehenge).</w:t>
      </w:r>
    </w:p>
    <w:p>
      <w:pPr>
        <w:keepNext/>
        <w:spacing w:before="360" w:after="120"/>
      </w:pPr>
      <w:r>
        <w:rPr>
          <w:rFonts w:ascii="Arial" w:hAnsi="Arial"/>
          <w:b/>
          <w:color w:val="1A365D"/>
          <w:sz w:val="32"/>
        </w:rPr>
        <w:t>7. Preservation Dynamics &amp; Degradation Vectors</w:t>
      </w:r>
    </w:p>
    <w:p>
      <w:pPr>
        <w:spacing w:before="0" w:after="120" w:line="276" w:lineRule="auto"/>
      </w:pPr>
      <w:r>
        <w:rPr>
          <w:rFonts w:ascii="Arial" w:hAnsi="Arial"/>
          <w:color w:val="2D3748"/>
          <w:sz w:val="21"/>
        </w:rPr>
        <w:t>Across 194 assessed sites, 78.4% (152 sites) are rated in Good or Excellent condition, testifying to active UNESCO management. However, 16.5% (32 sites) exhibit moderate degradation, and 5.2% (10 sites) suffer from poor or critical condition ratings requiring immediate conservation intervention.</w:t>
      </w:r>
    </w:p>
    <w:p>
      <w:pPr>
        <w:spacing w:before="120" w:after="80"/>
        <w:jc w:val="center"/>
      </w:pPr>
      <w:r>
        <w:drawing>
          <wp:inline xmlns:a="http://schemas.openxmlformats.org/drawingml/2006/main" xmlns:pic="http://schemas.openxmlformats.org/drawingml/2006/picture">
            <wp:extent cx="4754880" cy="3056709"/>
            <wp:docPr id="7" name="Picture 7"/>
            <wp:cNvGraphicFramePr>
              <a:graphicFrameLocks noChangeAspect="1"/>
            </wp:cNvGraphicFramePr>
            <a:graphic>
              <a:graphicData uri="http://schemas.openxmlformats.org/drawingml/2006/picture">
                <pic:pic>
                  <pic:nvPicPr>
                    <pic:cNvPr id="0" name="condition_assessment_pie.png"/>
                    <pic:cNvPicPr/>
                  </pic:nvPicPr>
                  <pic:blipFill>
                    <a:blip r:embed="rId15"/>
                    <a:stretch>
                      <a:fillRect/>
                    </a:stretch>
                  </pic:blipFill>
                  <pic:spPr>
                    <a:xfrm>
                      <a:off x="0" y="0"/>
                      <a:ext cx="4754880" cy="3056709"/>
                    </a:xfrm>
                    <a:prstGeom prst="rect"/>
                  </pic:spPr>
                </pic:pic>
              </a:graphicData>
            </a:graphic>
          </wp:inline>
        </w:drawing>
      </w:r>
    </w:p>
    <w:p>
      <w:pPr>
        <w:spacing w:after="280"/>
        <w:jc w:val="center"/>
      </w:pPr>
      <w:r>
        <w:rPr>
          <w:rFonts w:ascii="Arial" w:hAnsi="Arial"/>
          <w:i/>
          <w:color w:val="718096"/>
          <w:sz w:val="17"/>
        </w:rPr>
        <w:t>Figure 7: Environmental condition assessment distribution across evaluated monuments (n=194).</w:t>
      </w:r>
    </w:p>
    <w:p>
      <w:pPr>
        <w:spacing w:before="0" w:after="120" w:line="276" w:lineRule="auto"/>
      </w:pPr>
      <w:r>
        <w:rPr>
          <w:rFonts w:ascii="Arial" w:hAnsi="Arial"/>
          <w:color w:val="2D3748"/>
          <w:sz w:val="21"/>
        </w:rPr>
        <w:t>Evaluating weathering threats across 119 sites identifies Surface Erosion (31 sites) and High Ambient Humidity (17 sites) as primary agents of material decay. Atmospheric pollution and sulfur dioxide emissions (11 sites) drive severe sulfation of calcium carbonate in limestones and marbles into soluble gypsum crusts.</w:t>
      </w:r>
    </w:p>
    <w:p>
      <w:pPr>
        <w:spacing w:before="120" w:after="8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weathering_threats_bar.png"/>
                    <pic:cNvPicPr/>
                  </pic:nvPicPr>
                  <pic:blipFill>
                    <a:blip r:embed="rId16"/>
                    <a:stretch>
                      <a:fillRect/>
                    </a:stretch>
                  </pic:blipFill>
                  <pic:spPr>
                    <a:xfrm>
                      <a:off x="0" y="0"/>
                      <a:ext cx="5303520" cy="2983230"/>
                    </a:xfrm>
                    <a:prstGeom prst="rect"/>
                  </pic:spPr>
                </pic:pic>
              </a:graphicData>
            </a:graphic>
          </wp:inline>
        </w:drawing>
      </w:r>
    </w:p>
    <w:p>
      <w:pPr>
        <w:spacing w:after="280"/>
        <w:jc w:val="center"/>
      </w:pPr>
      <w:r>
        <w:rPr>
          <w:rFonts w:ascii="Arial" w:hAnsi="Arial"/>
          <w:i/>
          <w:color w:val="718096"/>
          <w:sz w:val="17"/>
        </w:rPr>
        <w:t>Figure 8: Frequency of primary weathering vectors affecting heritage stone structures.</w:t>
      </w:r>
    </w:p>
    <w:p>
      <w:pPr>
        <w:keepNext/>
        <w:spacing w:before="360" w:after="120"/>
      </w:pPr>
      <w:r>
        <w:rPr>
          <w:rFonts w:ascii="Arial" w:hAnsi="Arial"/>
          <w:b/>
          <w:color w:val="1A365D"/>
          <w:sz w:val="32"/>
        </w:rPr>
        <w:t>8. Operational Barriers to Study: 650 Skipped Sites &amp; 49 OUV Absent Records</w:t>
      </w:r>
    </w:p>
    <w:p>
      <w:pPr>
        <w:spacing w:before="0" w:after="120" w:line="276" w:lineRule="auto"/>
      </w:pPr>
      <w:r>
        <w:rPr>
          <w:rFonts w:ascii="Arial" w:hAnsi="Arial"/>
          <w:color w:val="2D3748"/>
          <w:sz w:val="21"/>
        </w:rPr>
        <w:t>A critical dimension of this research is understanding why 709 out of 902 built-monument sites (78.6%) currently remain unstudied in the primary dataset. The empirical evidence demonstrates that two operational barriers prevent immediate lithological extraction:</w:t>
      </w:r>
    </w:p>
    <w:tbl>
      <w:tblPr>
        <w:tblW w:type="auto" w:w="0"/>
        <w:jc w:val="center"/>
        <w:tblLook w:firstColumn="1" w:firstRow="1" w:lastColumn="0" w:lastRow="0" w:noHBand="0" w:noVBand="1" w:val="04A0"/>
      </w:tblPr>
      <w:tblGrid>
        <w:gridCol w:w="9360"/>
      </w:tblGrid>
      <w:tr>
        <w:tc>
          <w:tcPr>
            <w:tcW w:type="dxa" w:w="9360"/>
            <w:shd w:val="clear" w:color="auto" w:fill="FFF5F5"/>
            <w:tcMar>
              <w:top w:w="140" w:type="dxa"/>
              <w:bottom w:w="140" w:type="dxa"/>
              <w:left w:w="200" w:type="dxa"/>
              <w:right w:w="200" w:type="dxa"/>
            </w:tcMar>
            <w:tcBorders>
              <w:left w:val="single" w:sz="24" w:space="0" w:color="C53030"/>
              <w:top w:val="none"/>
              <w:bottom w:val="none"/>
              <w:right w:val="none"/>
            </w:tcBorders>
          </w:tcPr>
          <w:p>
            <w:pPr>
              <w:spacing w:before="80" w:after="80" w:line="276" w:lineRule="auto"/>
            </w:pPr>
            <w:r>
              <w:rPr>
                <w:rFonts w:ascii="Arial" w:hAnsi="Arial"/>
                <w:b/>
                <w:color w:val="1A365D"/>
                <w:sz w:val="20"/>
              </w:rPr>
              <w:t>DOCUMENTATION BARRIERS AUDIT</w:t>
              <w:br/>
            </w:r>
            <w:r>
              <w:rPr>
                <w:rFonts w:ascii="Arial" w:hAnsi="Arial"/>
                <w:color w:val="2D3748"/>
                <w:sz w:val="19"/>
              </w:rPr>
              <w:t>OPERATIONAL DATA BARRIERS:</w:t>
              <w:br/>
              <w:t>1. SKIPPED RESEARCH QUEUE (650 Sites | 72.1%): Sites where initial summary review confirmed built heritage, but stone extraction was deferred to Phase 2 due to finite researcher bandwidth (~3-15 hours required per site to consult multi-page ICOMOS evaluations and academic journals).</w:t>
              <w:br/>
              <w:t>2. OUV ABSENT / INACCESSIBLE (49 Sites | 5.4%): Sites where the official UNESCO Statement of Outstanding Universal Value (OUV) is completely missing, unindexed, or omitted from UNESCO's digital API, creating a digital 404 wall.</w:t>
              <w:br/>
              <w:t>3. OUV TEXT ISSUES (22 Sites | 2.4%): Sites where official OUV text exists but completely ignores building materials in favor of religious or historical narratives.</w:t>
            </w:r>
          </w:p>
        </w:tc>
      </w:tr>
    </w:tbl>
    <w:p>
      <w:pPr>
        <w:spacing w:before="0" w:after="120"/>
      </w:pP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742A2A"/>
            <w:tcMar>
              <w:top w:w="80" w:type="dxa"/>
              <w:bottom w:w="80" w:type="dxa"/>
              <w:left w:w="100" w:type="dxa"/>
              <w:right w:w="100" w:type="dxa"/>
            </w:tcMar>
          </w:tcPr>
          <w:p>
            <w:r>
              <w:rPr>
                <w:rFonts w:ascii="Arial" w:hAnsi="Arial"/>
                <w:b/>
                <w:color w:val="FFFFFF"/>
                <w:sz w:val="19"/>
              </w:rPr>
              <w:t>Operational Category</w:t>
            </w:r>
          </w:p>
        </w:tc>
        <w:tc>
          <w:tcPr>
            <w:tcW w:type="dxa" w:w="2340"/>
            <w:shd w:val="clear" w:color="auto" w:fill="742A2A"/>
            <w:tcMar>
              <w:top w:w="80" w:type="dxa"/>
              <w:bottom w:w="80" w:type="dxa"/>
              <w:left w:w="100" w:type="dxa"/>
              <w:right w:w="100" w:type="dxa"/>
            </w:tcMar>
          </w:tcPr>
          <w:p>
            <w:r>
              <w:rPr>
                <w:rFonts w:ascii="Arial" w:hAnsi="Arial"/>
                <w:b/>
                <w:color w:val="FFFFFF"/>
                <w:sz w:val="19"/>
              </w:rPr>
              <w:t>Site Count</w:t>
            </w:r>
          </w:p>
        </w:tc>
        <w:tc>
          <w:tcPr>
            <w:tcW w:type="dxa" w:w="2340"/>
            <w:shd w:val="clear" w:color="auto" w:fill="742A2A"/>
            <w:tcMar>
              <w:top w:w="80" w:type="dxa"/>
              <w:bottom w:w="80" w:type="dxa"/>
              <w:left w:w="100" w:type="dxa"/>
              <w:right w:w="100" w:type="dxa"/>
            </w:tcMar>
          </w:tcPr>
          <w:p>
            <w:r>
              <w:rPr>
                <w:rFonts w:ascii="Arial" w:hAnsi="Arial"/>
                <w:b/>
                <w:color w:val="FFFFFF"/>
                <w:sz w:val="19"/>
              </w:rPr>
              <w:t>% of Dataset (n=902)</w:t>
            </w:r>
          </w:p>
        </w:tc>
        <w:tc>
          <w:tcPr>
            <w:tcW w:type="dxa" w:w="2340"/>
            <w:shd w:val="clear" w:color="auto" w:fill="742A2A"/>
            <w:tcMar>
              <w:top w:w="80" w:type="dxa"/>
              <w:bottom w:w="80" w:type="dxa"/>
              <w:left w:w="100" w:type="dxa"/>
              <w:right w:w="100" w:type="dxa"/>
            </w:tcMar>
          </w:tcPr>
          <w:p>
            <w:r>
              <w:rPr>
                <w:rFonts w:ascii="Arial" w:hAnsi="Arial"/>
                <w:b/>
                <w:color w:val="FFFFFF"/>
                <w:sz w:val="19"/>
              </w:rPr>
              <w:t>Primary Mechanism Preventing Study</w:t>
            </w:r>
          </w:p>
        </w:tc>
      </w:tr>
      <w:tr>
        <w:tc>
          <w:tcPr>
            <w:tcW w:type="dxa" w:w="2340"/>
            <w:shd w:val="clear" w:color="auto" w:fill="FFFFFF"/>
            <w:tcMar>
              <w:top w:w="70" w:type="dxa"/>
              <w:bottom w:w="70" w:type="dxa"/>
              <w:left w:w="100" w:type="dxa"/>
              <w:right w:w="100" w:type="dxa"/>
            </w:tcMar>
          </w:tcPr>
          <w:p>
            <w:r>
              <w:rPr>
                <w:rFonts w:ascii="Arial" w:hAnsi="Arial"/>
                <w:color w:val="2D3748"/>
                <w:sz w:val="18"/>
              </w:rPr>
              <w:t>Skipped Research Queue</w:t>
            </w:r>
          </w:p>
        </w:tc>
        <w:tc>
          <w:tcPr>
            <w:tcW w:type="dxa" w:w="2340"/>
            <w:shd w:val="clear" w:color="auto" w:fill="FFFFFF"/>
            <w:tcMar>
              <w:top w:w="70" w:type="dxa"/>
              <w:bottom w:w="70" w:type="dxa"/>
              <w:left w:w="100" w:type="dxa"/>
              <w:right w:w="100" w:type="dxa"/>
            </w:tcMar>
          </w:tcPr>
          <w:p>
            <w:r>
              <w:rPr>
                <w:rFonts w:ascii="Arial" w:hAnsi="Arial"/>
                <w:b/>
                <w:color w:val="2D3748"/>
                <w:sz w:val="18"/>
              </w:rPr>
              <w:t>650 Sites</w:t>
            </w:r>
          </w:p>
        </w:tc>
        <w:tc>
          <w:tcPr>
            <w:tcW w:type="dxa" w:w="2340"/>
            <w:shd w:val="clear" w:color="auto" w:fill="FFFFFF"/>
            <w:tcMar>
              <w:top w:w="70" w:type="dxa"/>
              <w:bottom w:w="70" w:type="dxa"/>
              <w:left w:w="100" w:type="dxa"/>
              <w:right w:w="100" w:type="dxa"/>
            </w:tcMar>
          </w:tcPr>
          <w:p>
            <w:r>
              <w:rPr>
                <w:rFonts w:ascii="Arial" w:hAnsi="Arial"/>
                <w:color w:val="2D3748"/>
                <w:sz w:val="18"/>
              </w:rPr>
              <w:t>72.1%</w:t>
            </w:r>
          </w:p>
        </w:tc>
        <w:tc>
          <w:tcPr>
            <w:tcW w:type="dxa" w:w="2340"/>
            <w:shd w:val="clear" w:color="auto" w:fill="FFFFFF"/>
            <w:tcMar>
              <w:top w:w="70" w:type="dxa"/>
              <w:bottom w:w="70" w:type="dxa"/>
              <w:left w:w="100" w:type="dxa"/>
              <w:right w:w="100" w:type="dxa"/>
            </w:tcMar>
          </w:tcPr>
          <w:p>
            <w:r>
              <w:rPr>
                <w:rFonts w:ascii="Arial" w:hAnsi="Arial"/>
                <w:color w:val="2D3748"/>
                <w:sz w:val="18"/>
              </w:rPr>
              <w:t>Archival extraction deferred; requires manual search across external peer journals and ICOMOS reports.</w:t>
            </w:r>
          </w:p>
        </w:tc>
      </w:tr>
      <w:tr>
        <w:tc>
          <w:tcPr>
            <w:tcW w:type="dxa" w:w="2340"/>
            <w:shd w:val="clear" w:color="auto" w:fill="FFF5F5"/>
            <w:tcMar>
              <w:top w:w="70" w:type="dxa"/>
              <w:bottom w:w="70" w:type="dxa"/>
              <w:left w:w="100" w:type="dxa"/>
              <w:right w:w="100" w:type="dxa"/>
            </w:tcMar>
          </w:tcPr>
          <w:p>
            <w:r>
              <w:rPr>
                <w:rFonts w:ascii="Arial" w:hAnsi="Arial"/>
                <w:color w:val="2D3748"/>
                <w:sz w:val="18"/>
              </w:rPr>
              <w:t>OUV Text Inaccessible (Absent)</w:t>
            </w:r>
          </w:p>
        </w:tc>
        <w:tc>
          <w:tcPr>
            <w:tcW w:type="dxa" w:w="2340"/>
            <w:shd w:val="clear" w:color="auto" w:fill="FFF5F5"/>
            <w:tcMar>
              <w:top w:w="70" w:type="dxa"/>
              <w:bottom w:w="70" w:type="dxa"/>
              <w:left w:w="100" w:type="dxa"/>
              <w:right w:w="100" w:type="dxa"/>
            </w:tcMar>
          </w:tcPr>
          <w:p>
            <w:r>
              <w:rPr>
                <w:rFonts w:ascii="Arial" w:hAnsi="Arial"/>
                <w:b/>
                <w:color w:val="2D3748"/>
                <w:sz w:val="18"/>
              </w:rPr>
              <w:t>49 Sites</w:t>
            </w:r>
          </w:p>
        </w:tc>
        <w:tc>
          <w:tcPr>
            <w:tcW w:type="dxa" w:w="2340"/>
            <w:shd w:val="clear" w:color="auto" w:fill="FFF5F5"/>
            <w:tcMar>
              <w:top w:w="70" w:type="dxa"/>
              <w:bottom w:w="70" w:type="dxa"/>
              <w:left w:w="100" w:type="dxa"/>
              <w:right w:w="100" w:type="dxa"/>
            </w:tcMar>
          </w:tcPr>
          <w:p>
            <w:r>
              <w:rPr>
                <w:rFonts w:ascii="Arial" w:hAnsi="Arial"/>
                <w:color w:val="2D3748"/>
                <w:sz w:val="18"/>
              </w:rPr>
              <w:t>5.4%</w:t>
            </w:r>
          </w:p>
        </w:tc>
        <w:tc>
          <w:tcPr>
            <w:tcW w:type="dxa" w:w="2340"/>
            <w:shd w:val="clear" w:color="auto" w:fill="FFF5F5"/>
            <w:tcMar>
              <w:top w:w="70" w:type="dxa"/>
              <w:bottom w:w="70" w:type="dxa"/>
              <w:left w:w="100" w:type="dxa"/>
              <w:right w:w="100" w:type="dxa"/>
            </w:tcMar>
          </w:tcPr>
          <w:p>
            <w:r>
              <w:rPr>
                <w:rFonts w:ascii="Arial" w:hAnsi="Arial"/>
                <w:color w:val="2D3748"/>
                <w:sz w:val="18"/>
              </w:rPr>
              <w:t>Official UNESCO OUV documentation is unindexed or missing from digital APIs; forces non-digital hardcopy archival research.</w:t>
            </w:r>
          </w:p>
        </w:tc>
      </w:tr>
      <w:tr>
        <w:tc>
          <w:tcPr>
            <w:tcW w:type="dxa" w:w="2340"/>
            <w:shd w:val="clear" w:color="auto" w:fill="FFFFFF"/>
            <w:tcMar>
              <w:top w:w="70" w:type="dxa"/>
              <w:bottom w:w="70" w:type="dxa"/>
              <w:left w:w="100" w:type="dxa"/>
              <w:right w:w="100" w:type="dxa"/>
            </w:tcMar>
          </w:tcPr>
          <w:p>
            <w:r>
              <w:rPr>
                <w:rFonts w:ascii="Arial" w:hAnsi="Arial"/>
                <w:color w:val="2D3748"/>
                <w:sz w:val="18"/>
              </w:rPr>
              <w:t>OUV Text Material Silence (Issue)</w:t>
            </w:r>
          </w:p>
        </w:tc>
        <w:tc>
          <w:tcPr>
            <w:tcW w:type="dxa" w:w="2340"/>
            <w:shd w:val="clear" w:color="auto" w:fill="FFFFFF"/>
            <w:tcMar>
              <w:top w:w="70" w:type="dxa"/>
              <w:bottom w:w="70" w:type="dxa"/>
              <w:left w:w="100" w:type="dxa"/>
              <w:right w:w="100" w:type="dxa"/>
            </w:tcMar>
          </w:tcPr>
          <w:p>
            <w:r>
              <w:rPr>
                <w:rFonts w:ascii="Arial" w:hAnsi="Arial"/>
                <w:b/>
                <w:color w:val="2D3748"/>
                <w:sz w:val="18"/>
              </w:rPr>
              <w:t>22 Sites</w:t>
            </w:r>
          </w:p>
        </w:tc>
        <w:tc>
          <w:tcPr>
            <w:tcW w:type="dxa" w:w="2340"/>
            <w:shd w:val="clear" w:color="auto" w:fill="FFFFFF"/>
            <w:tcMar>
              <w:top w:w="70" w:type="dxa"/>
              <w:bottom w:w="70" w:type="dxa"/>
              <w:left w:w="100" w:type="dxa"/>
              <w:right w:w="100" w:type="dxa"/>
            </w:tcMar>
          </w:tcPr>
          <w:p>
            <w:r>
              <w:rPr>
                <w:rFonts w:ascii="Arial" w:hAnsi="Arial"/>
                <w:color w:val="2D3748"/>
                <w:sz w:val="18"/>
              </w:rPr>
              <w:t>2.4%</w:t>
            </w:r>
          </w:p>
        </w:tc>
        <w:tc>
          <w:tcPr>
            <w:tcW w:type="dxa" w:w="2340"/>
            <w:shd w:val="clear" w:color="auto" w:fill="FFFFFF"/>
            <w:tcMar>
              <w:top w:w="70" w:type="dxa"/>
              <w:bottom w:w="70" w:type="dxa"/>
              <w:left w:w="100" w:type="dxa"/>
              <w:right w:w="100" w:type="dxa"/>
            </w:tcMar>
          </w:tcPr>
          <w:p>
            <w:r>
              <w:rPr>
                <w:rFonts w:ascii="Arial" w:hAnsi="Arial"/>
                <w:color w:val="2D3748"/>
                <w:sz w:val="18"/>
              </w:rPr>
              <w:t>OUV text exists but focuses purely on historical/cultural significance, omitting physical stone names.</w:t>
            </w:r>
          </w:p>
        </w:tc>
      </w:tr>
      <w:tr>
        <w:tc>
          <w:tcPr>
            <w:tcW w:type="dxa" w:w="2340"/>
            <w:shd w:val="clear" w:color="auto" w:fill="FFF5F5"/>
            <w:tcMar>
              <w:top w:w="70" w:type="dxa"/>
              <w:bottom w:w="70" w:type="dxa"/>
              <w:left w:w="100" w:type="dxa"/>
              <w:right w:w="100" w:type="dxa"/>
            </w:tcMar>
          </w:tcPr>
          <w:p>
            <w:r>
              <w:rPr>
                <w:rFonts w:ascii="Arial" w:hAnsi="Arial"/>
                <w:color w:val="2D3748"/>
                <w:sz w:val="18"/>
              </w:rPr>
              <w:t>Researched &amp; Verified Baseline</w:t>
            </w:r>
          </w:p>
        </w:tc>
        <w:tc>
          <w:tcPr>
            <w:tcW w:type="dxa" w:w="2340"/>
            <w:shd w:val="clear" w:color="auto" w:fill="FFF5F5"/>
            <w:tcMar>
              <w:top w:w="70" w:type="dxa"/>
              <w:bottom w:w="70" w:type="dxa"/>
              <w:left w:w="100" w:type="dxa"/>
              <w:right w:w="100" w:type="dxa"/>
            </w:tcMar>
          </w:tcPr>
          <w:p>
            <w:r>
              <w:rPr>
                <w:rFonts w:ascii="Arial" w:hAnsi="Arial"/>
                <w:b/>
                <w:color w:val="2D3748"/>
                <w:sz w:val="18"/>
              </w:rPr>
              <w:t>193 Sites</w:t>
            </w:r>
          </w:p>
        </w:tc>
        <w:tc>
          <w:tcPr>
            <w:tcW w:type="dxa" w:w="2340"/>
            <w:shd w:val="clear" w:color="auto" w:fill="FFF5F5"/>
            <w:tcMar>
              <w:top w:w="70" w:type="dxa"/>
              <w:bottom w:w="70" w:type="dxa"/>
              <w:left w:w="100" w:type="dxa"/>
              <w:right w:w="100" w:type="dxa"/>
            </w:tcMar>
          </w:tcPr>
          <w:p>
            <w:r>
              <w:rPr>
                <w:rFonts w:ascii="Arial" w:hAnsi="Arial"/>
                <w:color w:val="2D3748"/>
                <w:sz w:val="18"/>
              </w:rPr>
              <w:t>21.4%</w:t>
            </w:r>
          </w:p>
        </w:tc>
        <w:tc>
          <w:tcPr>
            <w:tcW w:type="dxa" w:w="2340"/>
            <w:shd w:val="clear" w:color="auto" w:fill="FFF5F5"/>
            <w:tcMar>
              <w:top w:w="70" w:type="dxa"/>
              <w:bottom w:w="70" w:type="dxa"/>
              <w:left w:w="100" w:type="dxa"/>
              <w:right w:w="100" w:type="dxa"/>
            </w:tcMar>
          </w:tcPr>
          <w:p>
            <w:r>
              <w:rPr>
                <w:rFonts w:ascii="Arial" w:hAnsi="Arial"/>
                <w:color w:val="2D3748"/>
                <w:sz w:val="18"/>
              </w:rPr>
              <w:t>Active verified baseline with complete petrographic citations.</w:t>
            </w:r>
          </w:p>
        </w:tc>
      </w:tr>
    </w:tbl>
    <w:p>
      <w:pPr>
        <w:spacing w:after="240"/>
      </w:pPr>
    </w:p>
    <w:p>
      <w:pPr>
        <w:keepNext/>
        <w:spacing w:before="280" w:after="80"/>
      </w:pPr>
      <w:r>
        <w:rPr>
          <w:rFonts w:ascii="Arial" w:hAnsi="Arial"/>
          <w:b/>
          <w:color w:val="2B6CB0"/>
          <w:sz w:val="26"/>
        </w:rPr>
        <w:t>Detailed Audit of the 49 OUV Absent Sites</w:t>
      </w:r>
    </w:p>
    <w:p>
      <w:pPr>
        <w:spacing w:before="0" w:after="120" w:line="276" w:lineRule="auto"/>
      </w:pPr>
      <w:r>
        <w:rPr>
          <w:rFonts w:ascii="Arial" w:hAnsi="Arial"/>
          <w:color w:val="2D3748"/>
          <w:sz w:val="21"/>
        </w:rPr>
        <w:t>The 49 'OUV Absent' sites represent a critical digital infrastructure gap. Because UNESCO's central digital database lacks indexed OUV text for these records, automated scrapers and standard archival search protocols hit a dead end. Researchers are forced to hunt down physical hardcopy dossiers, non-digitized PDF nomination files from national ministries, or regional heritage monographs. Landmark monuments trapped in this category include: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742A2A"/>
            <w:tcMar>
              <w:top w:w="80" w:type="dxa"/>
              <w:bottom w:w="80" w:type="dxa"/>
              <w:left w:w="100" w:type="dxa"/>
              <w:right w:w="100" w:type="dxa"/>
            </w:tcMar>
          </w:tcPr>
          <w:p>
            <w:r>
              <w:rPr>
                <w:rFonts w:ascii="Arial" w:hAnsi="Arial"/>
                <w:b/>
                <w:color w:val="FFFFFF"/>
                <w:sz w:val="19"/>
              </w:rPr>
              <w:t>OUV Absent Monument</w:t>
            </w:r>
          </w:p>
        </w:tc>
        <w:tc>
          <w:tcPr>
            <w:tcW w:type="dxa" w:w="3120"/>
            <w:shd w:val="clear" w:color="auto" w:fill="742A2A"/>
            <w:tcMar>
              <w:top w:w="80" w:type="dxa"/>
              <w:bottom w:w="80" w:type="dxa"/>
              <w:left w:w="100" w:type="dxa"/>
              <w:right w:w="100" w:type="dxa"/>
            </w:tcMar>
          </w:tcPr>
          <w:p>
            <w:r>
              <w:rPr>
                <w:rFonts w:ascii="Arial" w:hAnsi="Arial"/>
                <w:b/>
                <w:color w:val="FFFFFF"/>
                <w:sz w:val="19"/>
              </w:rPr>
              <w:t>Country</w:t>
            </w:r>
          </w:p>
        </w:tc>
        <w:tc>
          <w:tcPr>
            <w:tcW w:type="dxa" w:w="3120"/>
            <w:shd w:val="clear" w:color="auto" w:fill="742A2A"/>
            <w:tcMar>
              <w:top w:w="80" w:type="dxa"/>
              <w:bottom w:w="80" w:type="dxa"/>
              <w:left w:w="100" w:type="dxa"/>
              <w:right w:w="100" w:type="dxa"/>
            </w:tcMar>
          </w:tcPr>
          <w:p>
            <w:r>
              <w:rPr>
                <w:rFonts w:ascii="Arial" w:hAnsi="Arial"/>
                <w:b/>
                <w:color w:val="FFFFFF"/>
                <w:sz w:val="19"/>
              </w:rPr>
              <w:t>Expected Physical Lithology &amp; Heritage Importance</w:t>
            </w:r>
          </w:p>
        </w:tc>
      </w:tr>
      <w:tr>
        <w:tc>
          <w:tcPr>
            <w:tcW w:type="dxa" w:w="3120"/>
            <w:shd w:val="clear" w:color="auto" w:fill="FFFFFF"/>
            <w:tcMar>
              <w:top w:w="70" w:type="dxa"/>
              <w:bottom w:w="70" w:type="dxa"/>
              <w:left w:w="100" w:type="dxa"/>
              <w:right w:w="100" w:type="dxa"/>
            </w:tcMar>
          </w:tcPr>
          <w:p>
            <w:r>
              <w:rPr>
                <w:rFonts w:ascii="Arial" w:hAnsi="Arial"/>
                <w:b/>
                <w:color w:val="2D3748"/>
                <w:sz w:val="18"/>
              </w:rPr>
              <w:t>Old City of Dubrovnik</w:t>
            </w:r>
          </w:p>
        </w:tc>
        <w:tc>
          <w:tcPr>
            <w:tcW w:type="dxa" w:w="3120"/>
            <w:shd w:val="clear" w:color="auto" w:fill="FFFFFF"/>
            <w:tcMar>
              <w:top w:w="70" w:type="dxa"/>
              <w:bottom w:w="70" w:type="dxa"/>
              <w:left w:w="100" w:type="dxa"/>
              <w:right w:w="100" w:type="dxa"/>
            </w:tcMar>
          </w:tcPr>
          <w:p>
            <w:r>
              <w:rPr>
                <w:rFonts w:ascii="Arial" w:hAnsi="Arial"/>
                <w:color w:val="2D3748"/>
                <w:sz w:val="18"/>
              </w:rPr>
              <w:t>Croatia</w:t>
            </w:r>
          </w:p>
        </w:tc>
        <w:tc>
          <w:tcPr>
            <w:tcW w:type="dxa" w:w="3120"/>
            <w:shd w:val="clear" w:color="auto" w:fill="FFFFFF"/>
            <w:tcMar>
              <w:top w:w="70" w:type="dxa"/>
              <w:bottom w:w="70" w:type="dxa"/>
              <w:left w:w="100" w:type="dxa"/>
              <w:right w:w="100" w:type="dxa"/>
            </w:tcMar>
          </w:tcPr>
          <w:p>
            <w:r>
              <w:rPr>
                <w:rFonts w:ascii="Arial" w:hAnsi="Arial"/>
                <w:color w:val="2D3748"/>
                <w:sz w:val="18"/>
              </w:rPr>
              <w:t>Korčula and Brač Cretaceous limestone masonry fortifications and stone paving.</w:t>
            </w:r>
          </w:p>
        </w:tc>
      </w:tr>
      <w:tr>
        <w:tc>
          <w:tcPr>
            <w:tcW w:type="dxa" w:w="3120"/>
            <w:shd w:val="clear" w:color="auto" w:fill="FFF5F5"/>
            <w:tcMar>
              <w:top w:w="70" w:type="dxa"/>
              <w:bottom w:w="70" w:type="dxa"/>
              <w:left w:w="100" w:type="dxa"/>
              <w:right w:w="100" w:type="dxa"/>
            </w:tcMar>
          </w:tcPr>
          <w:p>
            <w:r>
              <w:rPr>
                <w:rFonts w:ascii="Arial" w:hAnsi="Arial"/>
                <w:b/>
                <w:color w:val="2D3748"/>
                <w:sz w:val="18"/>
              </w:rPr>
              <w:t>Selimiye Mosque Complex</w:t>
            </w:r>
          </w:p>
        </w:tc>
        <w:tc>
          <w:tcPr>
            <w:tcW w:type="dxa" w:w="3120"/>
            <w:shd w:val="clear" w:color="auto" w:fill="FFF5F5"/>
            <w:tcMar>
              <w:top w:w="70" w:type="dxa"/>
              <w:bottom w:w="70" w:type="dxa"/>
              <w:left w:w="100" w:type="dxa"/>
              <w:right w:w="100" w:type="dxa"/>
            </w:tcMar>
          </w:tcPr>
          <w:p>
            <w:r>
              <w:rPr>
                <w:rFonts w:ascii="Arial" w:hAnsi="Arial"/>
                <w:color w:val="2D3748"/>
                <w:sz w:val="18"/>
              </w:rPr>
              <w:t>Türkiye</w:t>
            </w:r>
          </w:p>
        </w:tc>
        <w:tc>
          <w:tcPr>
            <w:tcW w:type="dxa" w:w="3120"/>
            <w:shd w:val="clear" w:color="auto" w:fill="FFF5F5"/>
            <w:tcMar>
              <w:top w:w="70" w:type="dxa"/>
              <w:bottom w:w="70" w:type="dxa"/>
              <w:left w:w="100" w:type="dxa"/>
              <w:right w:w="100" w:type="dxa"/>
            </w:tcMar>
          </w:tcPr>
          <w:p>
            <w:r>
              <w:rPr>
                <w:rFonts w:ascii="Arial" w:hAnsi="Arial"/>
                <w:color w:val="2D3748"/>
                <w:sz w:val="18"/>
              </w:rPr>
              <w:t>Marmara marble columns, local limestone masonry, and granite piers.</w:t>
            </w:r>
          </w:p>
        </w:tc>
      </w:tr>
      <w:tr>
        <w:tc>
          <w:tcPr>
            <w:tcW w:type="dxa" w:w="3120"/>
            <w:shd w:val="clear" w:color="auto" w:fill="FFFFFF"/>
            <w:tcMar>
              <w:top w:w="70" w:type="dxa"/>
              <w:bottom w:w="70" w:type="dxa"/>
              <w:left w:w="100" w:type="dxa"/>
              <w:right w:w="100" w:type="dxa"/>
            </w:tcMar>
          </w:tcPr>
          <w:p>
            <w:r>
              <w:rPr>
                <w:rFonts w:ascii="Arial" w:hAnsi="Arial"/>
                <w:b/>
                <w:color w:val="2D3748"/>
                <w:sz w:val="18"/>
              </w:rPr>
              <w:t>Ephesus</w:t>
            </w:r>
          </w:p>
        </w:tc>
        <w:tc>
          <w:tcPr>
            <w:tcW w:type="dxa" w:w="3120"/>
            <w:shd w:val="clear" w:color="auto" w:fill="FFFFFF"/>
            <w:tcMar>
              <w:top w:w="70" w:type="dxa"/>
              <w:bottom w:w="70" w:type="dxa"/>
              <w:left w:w="100" w:type="dxa"/>
              <w:right w:w="100" w:type="dxa"/>
            </w:tcMar>
          </w:tcPr>
          <w:p>
            <w:r>
              <w:rPr>
                <w:rFonts w:ascii="Arial" w:hAnsi="Arial"/>
                <w:color w:val="2D3748"/>
                <w:sz w:val="18"/>
              </w:rPr>
              <w:t>Türkiye</w:t>
            </w:r>
          </w:p>
        </w:tc>
        <w:tc>
          <w:tcPr>
            <w:tcW w:type="dxa" w:w="3120"/>
            <w:shd w:val="clear" w:color="auto" w:fill="FFFFFF"/>
            <w:tcMar>
              <w:top w:w="70" w:type="dxa"/>
              <w:bottom w:w="70" w:type="dxa"/>
              <w:left w:w="100" w:type="dxa"/>
              <w:right w:w="100" w:type="dxa"/>
            </w:tcMar>
          </w:tcPr>
          <w:p>
            <w:r>
              <w:rPr>
                <w:rFonts w:ascii="Arial" w:hAnsi="Arial"/>
                <w:color w:val="2D3748"/>
                <w:sz w:val="18"/>
              </w:rPr>
              <w:t>Hellenistic and Roman marble temples, agoras, and paved avenues.</w:t>
            </w:r>
          </w:p>
        </w:tc>
      </w:tr>
      <w:tr>
        <w:tc>
          <w:tcPr>
            <w:tcW w:type="dxa" w:w="3120"/>
            <w:shd w:val="clear" w:color="auto" w:fill="FFF5F5"/>
            <w:tcMar>
              <w:top w:w="70" w:type="dxa"/>
              <w:bottom w:w="70" w:type="dxa"/>
              <w:left w:w="100" w:type="dxa"/>
              <w:right w:w="100" w:type="dxa"/>
            </w:tcMar>
          </w:tcPr>
          <w:p>
            <w:r>
              <w:rPr>
                <w:rFonts w:ascii="Arial" w:hAnsi="Arial"/>
                <w:b/>
                <w:color w:val="2D3748"/>
                <w:sz w:val="18"/>
              </w:rPr>
              <w:t>Historical Complex of Split</w:t>
            </w:r>
          </w:p>
        </w:tc>
        <w:tc>
          <w:tcPr>
            <w:tcW w:type="dxa" w:w="3120"/>
            <w:shd w:val="clear" w:color="auto" w:fill="FFF5F5"/>
            <w:tcMar>
              <w:top w:w="70" w:type="dxa"/>
              <w:bottom w:w="70" w:type="dxa"/>
              <w:left w:w="100" w:type="dxa"/>
              <w:right w:w="100" w:type="dxa"/>
            </w:tcMar>
          </w:tcPr>
          <w:p>
            <w:r>
              <w:rPr>
                <w:rFonts w:ascii="Arial" w:hAnsi="Arial"/>
                <w:color w:val="2D3748"/>
                <w:sz w:val="18"/>
              </w:rPr>
              <w:t>Croatia</w:t>
            </w:r>
          </w:p>
        </w:tc>
        <w:tc>
          <w:tcPr>
            <w:tcW w:type="dxa" w:w="3120"/>
            <w:shd w:val="clear" w:color="auto" w:fill="FFF5F5"/>
            <w:tcMar>
              <w:top w:w="70" w:type="dxa"/>
              <w:bottom w:w="70" w:type="dxa"/>
              <w:left w:w="100" w:type="dxa"/>
              <w:right w:w="100" w:type="dxa"/>
            </w:tcMar>
          </w:tcPr>
          <w:p>
            <w:r>
              <w:rPr>
                <w:rFonts w:ascii="Arial" w:hAnsi="Arial"/>
                <w:color w:val="2D3748"/>
                <w:sz w:val="18"/>
              </w:rPr>
              <w:t>Diocletian's Palace: Proconnesian marble and local Cretaceous limestone.</w:t>
            </w:r>
          </w:p>
        </w:tc>
      </w:tr>
      <w:tr>
        <w:tc>
          <w:tcPr>
            <w:tcW w:type="dxa" w:w="3120"/>
            <w:shd w:val="clear" w:color="auto" w:fill="FFFFFF"/>
            <w:tcMar>
              <w:top w:w="70" w:type="dxa"/>
              <w:bottom w:w="70" w:type="dxa"/>
              <w:left w:w="100" w:type="dxa"/>
              <w:right w:w="100" w:type="dxa"/>
            </w:tcMar>
          </w:tcPr>
          <w:p>
            <w:r>
              <w:rPr>
                <w:rFonts w:ascii="Arial" w:hAnsi="Arial"/>
                <w:b/>
                <w:color w:val="2D3748"/>
                <w:sz w:val="18"/>
              </w:rPr>
              <w:t>Rock Shelters of Bhimbetka</w:t>
            </w:r>
          </w:p>
        </w:tc>
        <w:tc>
          <w:tcPr>
            <w:tcW w:type="dxa" w:w="3120"/>
            <w:shd w:val="clear" w:color="auto" w:fill="FFFFFF"/>
            <w:tcMar>
              <w:top w:w="70" w:type="dxa"/>
              <w:bottom w:w="70" w:type="dxa"/>
              <w:left w:w="100" w:type="dxa"/>
              <w:right w:w="100" w:type="dxa"/>
            </w:tcMar>
          </w:tcPr>
          <w:p>
            <w:r>
              <w:rPr>
                <w:rFonts w:ascii="Arial" w:hAnsi="Arial"/>
                <w:color w:val="2D3748"/>
                <w:sz w:val="18"/>
              </w:rPr>
              <w:t>India</w:t>
            </w:r>
          </w:p>
        </w:tc>
        <w:tc>
          <w:tcPr>
            <w:tcW w:type="dxa" w:w="3120"/>
            <w:shd w:val="clear" w:color="auto" w:fill="FFFFFF"/>
            <w:tcMar>
              <w:top w:w="70" w:type="dxa"/>
              <w:bottom w:w="70" w:type="dxa"/>
              <w:left w:w="100" w:type="dxa"/>
              <w:right w:w="100" w:type="dxa"/>
            </w:tcMar>
          </w:tcPr>
          <w:p>
            <w:r>
              <w:rPr>
                <w:rFonts w:ascii="Arial" w:hAnsi="Arial"/>
                <w:color w:val="2D3748"/>
                <w:sz w:val="18"/>
              </w:rPr>
              <w:t>Vindhyan Sandstone quartzite cliff shelters featuring prehistoric rock art.</w:t>
            </w:r>
          </w:p>
        </w:tc>
      </w:tr>
      <w:tr>
        <w:tc>
          <w:tcPr>
            <w:tcW w:type="dxa" w:w="3120"/>
            <w:shd w:val="clear" w:color="auto" w:fill="FFF5F5"/>
            <w:tcMar>
              <w:top w:w="70" w:type="dxa"/>
              <w:bottom w:w="70" w:type="dxa"/>
              <w:left w:w="100" w:type="dxa"/>
              <w:right w:w="100" w:type="dxa"/>
            </w:tcMar>
          </w:tcPr>
          <w:p>
            <w:r>
              <w:rPr>
                <w:rFonts w:ascii="Arial" w:hAnsi="Arial"/>
                <w:b/>
                <w:color w:val="2D3748"/>
                <w:sz w:val="18"/>
              </w:rPr>
              <w:t>Murujuga Cultural Landscape</w:t>
            </w:r>
          </w:p>
        </w:tc>
        <w:tc>
          <w:tcPr>
            <w:tcW w:type="dxa" w:w="3120"/>
            <w:shd w:val="clear" w:color="auto" w:fill="FFF5F5"/>
            <w:tcMar>
              <w:top w:w="70" w:type="dxa"/>
              <w:bottom w:w="70" w:type="dxa"/>
              <w:left w:w="100" w:type="dxa"/>
              <w:right w:w="100" w:type="dxa"/>
            </w:tcMar>
          </w:tcPr>
          <w:p>
            <w:r>
              <w:rPr>
                <w:rFonts w:ascii="Arial" w:hAnsi="Arial"/>
                <w:color w:val="2D3748"/>
                <w:sz w:val="18"/>
              </w:rPr>
              <w:t>Australia</w:t>
            </w:r>
          </w:p>
        </w:tc>
        <w:tc>
          <w:tcPr>
            <w:tcW w:type="dxa" w:w="3120"/>
            <w:shd w:val="clear" w:color="auto" w:fill="FFF5F5"/>
            <w:tcMar>
              <w:top w:w="70" w:type="dxa"/>
              <w:bottom w:w="70" w:type="dxa"/>
              <w:left w:w="100" w:type="dxa"/>
              <w:right w:w="100" w:type="dxa"/>
            </w:tcMar>
          </w:tcPr>
          <w:p>
            <w:r>
              <w:rPr>
                <w:rFonts w:ascii="Arial" w:hAnsi="Arial"/>
                <w:color w:val="2D3748"/>
                <w:sz w:val="18"/>
              </w:rPr>
              <w:t>Precambrian granite batholiths featuring over 1 million petroglyphs.</w:t>
            </w:r>
          </w:p>
        </w:tc>
      </w:tr>
    </w:tbl>
    <w:p>
      <w:pPr>
        <w:spacing w:after="240"/>
      </w:pPr>
    </w:p>
    <w:p>
      <w:pPr>
        <w:spacing w:before="120" w:after="80"/>
        <w:jc w:val="center"/>
      </w:pPr>
      <w:r>
        <w:drawing>
          <wp:inline xmlns:a="http://schemas.openxmlformats.org/drawingml/2006/main" xmlns:pic="http://schemas.openxmlformats.org/drawingml/2006/picture">
            <wp:extent cx="4754880" cy="3212891"/>
            <wp:docPr id="9" name="Picture 9"/>
            <wp:cNvGraphicFramePr>
              <a:graphicFrameLocks noChangeAspect="1"/>
            </wp:cNvGraphicFramePr>
            <a:graphic>
              <a:graphicData uri="http://schemas.openxmlformats.org/drawingml/2006/picture">
                <pic:pic>
                  <pic:nvPicPr>
                    <pic:cNvPr id="0" name="data_gap_donut.png"/>
                    <pic:cNvPicPr/>
                  </pic:nvPicPr>
                  <pic:blipFill>
                    <a:blip r:embed="rId17"/>
                    <a:stretch>
                      <a:fillRect/>
                    </a:stretch>
                  </pic:blipFill>
                  <pic:spPr>
                    <a:xfrm>
                      <a:off x="0" y="0"/>
                      <a:ext cx="4754880" cy="3212891"/>
                    </a:xfrm>
                    <a:prstGeom prst="rect"/>
                  </pic:spPr>
                </pic:pic>
              </a:graphicData>
            </a:graphic>
          </wp:inline>
        </w:drawing>
      </w:r>
    </w:p>
    <w:p>
      <w:pPr>
        <w:spacing w:after="280"/>
        <w:jc w:val="center"/>
      </w:pPr>
      <w:r>
        <w:rPr>
          <w:rFonts w:ascii="Arial" w:hAnsi="Arial"/>
          <w:i/>
          <w:color w:val="718096"/>
          <w:sz w:val="17"/>
        </w:rPr>
        <w:t>Figure 9: Inscription status breakdown across the 902 World Heritage Sites universe (Backup 37 Audit).</w:t>
      </w:r>
    </w:p>
    <w:p>
      <w:pPr>
        <w:spacing w:before="120" w:after="80"/>
        <w:jc w:val="center"/>
      </w:pPr>
      <w:r>
        <w:drawing>
          <wp:inline xmlns:a="http://schemas.openxmlformats.org/drawingml/2006/main" xmlns:pic="http://schemas.openxmlformats.org/drawingml/2006/picture">
            <wp:extent cx="5486400" cy="3098202"/>
            <wp:docPr id="10" name="Picture 10"/>
            <wp:cNvGraphicFramePr>
              <a:graphicFrameLocks noChangeAspect="1"/>
            </wp:cNvGraphicFramePr>
            <a:graphic>
              <a:graphicData uri="http://schemas.openxmlformats.org/drawingml/2006/picture">
                <pic:pic>
                  <pic:nvPicPr>
                    <pic:cNvPr id="0" name="country_unstudied_gaps.png"/>
                    <pic:cNvPicPr/>
                  </pic:nvPicPr>
                  <pic:blipFill>
                    <a:blip r:embed="rId18"/>
                    <a:stretch>
                      <a:fillRect/>
                    </a:stretch>
                  </pic:blipFill>
                  <pic:spPr>
                    <a:xfrm>
                      <a:off x="0" y="0"/>
                      <a:ext cx="5486400" cy="3098202"/>
                    </a:xfrm>
                    <a:prstGeom prst="rect"/>
                  </pic:spPr>
                </pic:pic>
              </a:graphicData>
            </a:graphic>
          </wp:inline>
        </w:drawing>
      </w:r>
    </w:p>
    <w:p>
      <w:pPr>
        <w:spacing w:after="280"/>
        <w:jc w:val="center"/>
      </w:pPr>
      <w:r>
        <w:rPr>
          <w:rFonts w:ascii="Arial" w:hAnsi="Arial"/>
          <w:i/>
          <w:color w:val="718096"/>
          <w:sz w:val="17"/>
        </w:rPr>
        <w:t>Figure 10: Unstudied site research gaps across leading World Heritage nations.</w:t>
      </w:r>
    </w:p>
    <w:p>
      <w:pPr>
        <w:keepNext/>
        <w:spacing w:before="360" w:after="120"/>
      </w:pPr>
      <w:r>
        <w:rPr>
          <w:rFonts w:ascii="Arial" w:hAnsi="Arial"/>
          <w:b/>
          <w:color w:val="1A365D"/>
          <w:sz w:val="32"/>
        </w:rPr>
        <w:t>9. The Iceberg Model &amp; Benchmark Case Studies</w:t>
      </w:r>
    </w:p>
    <w:p>
      <w:pPr>
        <w:spacing w:before="0" w:after="120" w:line="276" w:lineRule="auto"/>
      </w:pPr>
      <w:r>
        <w:rPr>
          <w:rFonts w:ascii="Arial" w:hAnsi="Arial"/>
          <w:color w:val="2D3748"/>
          <w:sz w:val="21"/>
        </w:rPr>
        <w:t>The current dataset represents an 'Iceberg Model': the 193 verified stone sites form the visible tip above water, while an estimated 532 unstudied stone monuments lie beneath the surface, hidden by documentation gaps.</w:t>
      </w:r>
    </w:p>
    <w:p>
      <w:pPr>
        <w:spacing w:before="120" w:after="80"/>
        <w:jc w:val="center"/>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iceberg_uncaptured_model.png"/>
                    <pic:cNvPicPr/>
                  </pic:nvPicPr>
                  <pic:blipFill>
                    <a:blip r:embed="rId19"/>
                    <a:stretch>
                      <a:fillRect/>
                    </a:stretch>
                  </pic:blipFill>
                  <pic:spPr>
                    <a:xfrm>
                      <a:off x="0" y="0"/>
                      <a:ext cx="5029200" cy="3017520"/>
                    </a:xfrm>
                    <a:prstGeom prst="rect"/>
                  </pic:spPr>
                </pic:pic>
              </a:graphicData>
            </a:graphic>
          </wp:inline>
        </w:drawing>
      </w:r>
    </w:p>
    <w:p>
      <w:pPr>
        <w:spacing w:after="280"/>
        <w:jc w:val="center"/>
      </w:pPr>
      <w:r>
        <w:rPr>
          <w:rFonts w:ascii="Arial" w:hAnsi="Arial"/>
          <w:i/>
          <w:color w:val="718096"/>
          <w:sz w:val="17"/>
        </w:rPr>
        <w:t>Figure 11: The Iceberg Model comparing verified baseline sites against estimated hidden stone mass.</w:t>
      </w:r>
    </w:p>
    <w:p>
      <w:pPr>
        <w:keepNext/>
        <w:spacing w:before="280" w:after="80"/>
      </w:pPr>
      <w:r>
        <w:rPr>
          <w:rFonts w:ascii="Arial" w:hAnsi="Arial"/>
          <w:b/>
          <w:color w:val="2B6CB0"/>
          <w:sz w:val="26"/>
        </w:rPr>
        <w:t>Benchmark Case Studies</w:t>
      </w:r>
    </w:p>
    <w:p>
      <w:pPr>
        <w:keepNext/>
        <w:spacing w:before="200" w:after="40"/>
      </w:pPr>
      <w:r>
        <w:rPr>
          <w:rFonts w:ascii="Arial" w:hAnsi="Arial"/>
          <w:b/>
          <w:color w:val="2D3748"/>
          <w:sz w:val="22"/>
        </w:rPr>
        <w:t>Taj Mahal (Agra, India)</w:t>
      </w:r>
    </w:p>
    <w:p>
      <w:pPr>
        <w:spacing w:before="0" w:after="40"/>
      </w:pPr>
      <w:r>
        <w:rPr>
          <w:rFonts w:ascii="Arial" w:hAnsi="Arial"/>
          <w:b/>
        </w:rPr>
        <w:t xml:space="preserve">Primary Material: </w:t>
      </w:r>
      <w:r>
        <w:rPr>
          <w:rFonts w:ascii="Arial" w:hAnsi="Arial"/>
          <w:color w:val="2B6CB0"/>
        </w:rPr>
        <w:t>Metamorphic Calcitic Marble (Makrana Marble) &amp; Red Sandstone</w:t>
      </w:r>
    </w:p>
    <w:p>
      <w:pPr>
        <w:spacing w:before="0" w:after="120" w:line="276" w:lineRule="auto"/>
      </w:pPr>
      <w:r>
        <w:rPr>
          <w:rFonts w:ascii="Arial" w:hAnsi="Arial"/>
          <w:color w:val="2D3748"/>
          <w:sz w:val="21"/>
        </w:rPr>
        <w:t>Comprising 11 filled stone fields, the Taj Mahal represents the pinnacle of dual-material imperial masonry. The main mausoleum is clad in pure granoblastic calcitic marble quarried at Makrana, Rajasthan (~300-350 km transport distance). The marble consists of &gt;98% pure calcite, rendering it translucent to sunlight. The surrounding gates, mosques, and plinths utilize red sandstone from Dholpur and Tantpur. Decorative elements incorporate intricate Pietra Dura stone inlay using semi-precious agate, carnelian, lapis lazuli, and jade.</w:t>
      </w:r>
    </w:p>
    <w:p>
      <w:pPr>
        <w:keepNext/>
        <w:spacing w:before="200" w:after="40"/>
      </w:pPr>
      <w:r>
        <w:rPr>
          <w:rFonts w:ascii="Arial" w:hAnsi="Arial"/>
          <w:b/>
          <w:color w:val="2D3748"/>
          <w:sz w:val="22"/>
        </w:rPr>
        <w:t>Historical Centre of Arequipa (Peru)</w:t>
      </w:r>
    </w:p>
    <w:p>
      <w:pPr>
        <w:spacing w:before="0" w:after="40"/>
      </w:pPr>
      <w:r>
        <w:rPr>
          <w:rFonts w:ascii="Arial" w:hAnsi="Arial"/>
          <w:b/>
        </w:rPr>
        <w:t xml:space="preserve">Primary Material: </w:t>
      </w:r>
      <w:r>
        <w:rPr>
          <w:rFonts w:ascii="Arial" w:hAnsi="Arial"/>
          <w:color w:val="2B6CB0"/>
        </w:rPr>
        <w:t>Volcanic Ignimbrite Tuff (Sillar de Arequipa)</w:t>
      </w:r>
    </w:p>
    <w:p>
      <w:pPr>
        <w:spacing w:before="0" w:after="120" w:line="276" w:lineRule="auto"/>
      </w:pPr>
      <w:r>
        <w:rPr>
          <w:rFonts w:ascii="Arial" w:hAnsi="Arial"/>
          <w:color w:val="2D3748"/>
          <w:sz w:val="21"/>
        </w:rPr>
        <w:t>Arequipa's unique urban architecture is built almost entirely of 'Sillar'—a light, porous, white-to-pinkish dacitic-rhyolitic vitric tuff deposited by pyroclastic flows from nearby volcanoes (El Misti and Chachani). Quarried locally from the Añashuayco Ravine, Sillar blocks are easily carved into intricate Mestizo Baroque relief ornament while providing high thermal insulation and structural elasticity during seismic events.</w:t>
      </w:r>
    </w:p>
    <w:p>
      <w:pPr>
        <w:keepNext/>
        <w:spacing w:before="200" w:after="40"/>
      </w:pPr>
      <w:r>
        <w:rPr>
          <w:rFonts w:ascii="Arial" w:hAnsi="Arial"/>
          <w:b/>
          <w:color w:val="2D3748"/>
          <w:sz w:val="22"/>
        </w:rPr>
        <w:t>Great Zimbabwe National Monument (Zimbabwe)</w:t>
      </w:r>
    </w:p>
    <w:p>
      <w:pPr>
        <w:spacing w:before="0" w:after="40"/>
      </w:pPr>
      <w:r>
        <w:rPr>
          <w:rFonts w:ascii="Arial" w:hAnsi="Arial"/>
          <w:b/>
        </w:rPr>
        <w:t xml:space="preserve">Primary Material: </w:t>
      </w:r>
      <w:r>
        <w:rPr>
          <w:rFonts w:ascii="Arial" w:hAnsi="Arial"/>
          <w:color w:val="2B6CB0"/>
        </w:rPr>
        <w:t>Proterozoic Biotite Granite</w:t>
      </w:r>
    </w:p>
    <w:p>
      <w:pPr>
        <w:spacing w:before="0" w:after="120" w:line="276" w:lineRule="auto"/>
      </w:pPr>
      <w:r>
        <w:rPr>
          <w:rFonts w:ascii="Arial" w:hAnsi="Arial"/>
          <w:color w:val="2D3748"/>
          <w:sz w:val="21"/>
        </w:rPr>
        <w:t>Constructed between the 11th and 15th centuries, Great Zimbabwe features massive dry-stone granite walls standing up to 11 meters high without any mortar. The builders utilized natural thermal exfoliation, harvesting exfoliated granite slabs from surrounding batholith outcrops. Sculptural uprights utilized soft talc-schist (steatite / soapstone), forming the famous carved Zimbabwe Birds.</w:t>
      </w:r>
    </w:p>
    <w:p>
      <w:pPr>
        <w:keepNext/>
        <w:spacing w:before="200" w:after="40"/>
      </w:pPr>
      <w:r>
        <w:rPr>
          <w:rFonts w:ascii="Arial" w:hAnsi="Arial"/>
          <w:b/>
          <w:color w:val="2D3748"/>
          <w:sz w:val="22"/>
        </w:rPr>
        <w:t>Ellora Caves (Maharashtra, India)</w:t>
      </w:r>
    </w:p>
    <w:p>
      <w:pPr>
        <w:spacing w:before="0" w:after="40"/>
      </w:pPr>
      <w:r>
        <w:rPr>
          <w:rFonts w:ascii="Arial" w:hAnsi="Arial"/>
          <w:b/>
        </w:rPr>
        <w:t xml:space="preserve">Primary Material: </w:t>
      </w:r>
      <w:r>
        <w:rPr>
          <w:rFonts w:ascii="Arial" w:hAnsi="Arial"/>
          <w:color w:val="2B6CB0"/>
        </w:rPr>
        <w:t>Deccan Trap Igneous Basalt</w:t>
      </w:r>
    </w:p>
    <w:p>
      <w:pPr>
        <w:spacing w:before="0" w:after="120" w:line="276" w:lineRule="auto"/>
      </w:pPr>
      <w:r>
        <w:rPr>
          <w:rFonts w:ascii="Arial" w:hAnsi="Arial"/>
          <w:color w:val="2D3748"/>
          <w:sz w:val="21"/>
        </w:rPr>
        <w:t>Ellora represents monolithic rock-cut engineering carved directly into a steep basalt cliff of the Deccan Traps. Rather than assembling blocks, ancient masons excavated over 200,000 tonnes of solid basalt top-down to reveal the monolithic Kailash Temple (Cave 16). The fine-grained, dark grey basalt provided extraordinary compressive strength and structural stability.</w:t>
      </w:r>
    </w:p>
    <w:p>
      <w:pPr>
        <w:keepNext/>
        <w:spacing w:before="200" w:after="40"/>
      </w:pPr>
      <w:r>
        <w:rPr>
          <w:rFonts w:ascii="Arial" w:hAnsi="Arial"/>
          <w:b/>
          <w:color w:val="2D3748"/>
          <w:sz w:val="22"/>
        </w:rPr>
        <w:t>Rapa Nui / Easter Island (Chile)</w:t>
      </w:r>
    </w:p>
    <w:p>
      <w:pPr>
        <w:spacing w:before="0" w:after="40"/>
      </w:pPr>
      <w:r>
        <w:rPr>
          <w:rFonts w:ascii="Arial" w:hAnsi="Arial"/>
          <w:b/>
        </w:rPr>
        <w:t xml:space="preserve">Primary Material: </w:t>
      </w:r>
      <w:r>
        <w:rPr>
          <w:rFonts w:ascii="Arial" w:hAnsi="Arial"/>
          <w:color w:val="2B6CB0"/>
        </w:rPr>
        <w:t>Pyroclastic Volcanic Lava Tuff (Rano Raraku)</w:t>
      </w:r>
    </w:p>
    <w:p>
      <w:pPr>
        <w:spacing w:before="0" w:after="120" w:line="276" w:lineRule="auto"/>
      </w:pPr>
      <w:r>
        <w:rPr>
          <w:rFonts w:ascii="Arial" w:hAnsi="Arial"/>
          <w:color w:val="2D3748"/>
          <w:sz w:val="21"/>
        </w:rPr>
        <w:t>The iconic Moai monolithic statues (887 recorded) were carved almost exclusively from yellow-brown volcanic lapilli tuff quarried inside the Rano Raraku crater. Red scoria from Puna Pau was used for topknot (Pukao) additions, while dark basalt was reserved for fine carving chisels. Anastylosis programs have systematically restored fallen moai onto coastal stone platforms (Ahu).</w:t>
      </w:r>
    </w:p>
    <w:p>
      <w:pPr>
        <w:keepNext/>
        <w:spacing w:before="200" w:after="40"/>
      </w:pPr>
      <w:r>
        <w:rPr>
          <w:rFonts w:ascii="Arial" w:hAnsi="Arial"/>
          <w:b/>
          <w:color w:val="2D3748"/>
          <w:sz w:val="22"/>
        </w:rPr>
        <w:t>Stonehenge &amp; Avebury (Wiltshire, UK)</w:t>
      </w:r>
    </w:p>
    <w:p>
      <w:pPr>
        <w:spacing w:before="0" w:after="40"/>
      </w:pPr>
      <w:r>
        <w:rPr>
          <w:rFonts w:ascii="Arial" w:hAnsi="Arial"/>
          <w:b/>
        </w:rPr>
        <w:t xml:space="preserve">Primary Material: </w:t>
      </w:r>
      <w:r>
        <w:rPr>
          <w:rFonts w:ascii="Arial" w:hAnsi="Arial"/>
          <w:color w:val="2B6CB0"/>
        </w:rPr>
        <w:t>Silicified Sandstone (Sarsen) &amp; Welsh Bluestone</w:t>
      </w:r>
    </w:p>
    <w:p>
      <w:pPr>
        <w:spacing w:before="0" w:after="120" w:line="276" w:lineRule="auto"/>
      </w:pPr>
      <w:r>
        <w:rPr>
          <w:rFonts w:ascii="Arial" w:hAnsi="Arial"/>
          <w:color w:val="2D3748"/>
          <w:sz w:val="21"/>
        </w:rPr>
        <w:t>Stonehenge incorporates two distinct stone types transported over substantial distances. The outer upright trilithons consist of local Sarsen (silicified Palaeogene sandstone) quarried ~25 km away on the Marlborough Downs. The inner circle consists of 'Bluestones' (dolerite, rhyolite, and volcanic tuffs) transported ~240 km from the Preseli Hills in Pembrokeshire, Wales.</w:t>
      </w:r>
    </w:p>
    <w:p>
      <w:pPr>
        <w:keepNext/>
        <w:spacing w:before="200" w:after="40"/>
      </w:pPr>
      <w:r>
        <w:rPr>
          <w:rFonts w:ascii="Arial" w:hAnsi="Arial"/>
          <w:b/>
          <w:color w:val="2D3748"/>
          <w:sz w:val="22"/>
        </w:rPr>
        <w:t>Dholavira: A Harappan City (Gujarat, India)</w:t>
      </w:r>
    </w:p>
    <w:p>
      <w:pPr>
        <w:spacing w:before="0" w:after="40"/>
      </w:pPr>
      <w:r>
        <w:rPr>
          <w:rFonts w:ascii="Arial" w:hAnsi="Arial"/>
          <w:b/>
        </w:rPr>
        <w:t xml:space="preserve">Primary Material: </w:t>
      </w:r>
      <w:r>
        <w:rPr>
          <w:rFonts w:ascii="Arial" w:hAnsi="Arial"/>
          <w:color w:val="2B6CB0"/>
        </w:rPr>
        <w:t>Calcareous Sandstone &amp; Gemstone Assemblage</w:t>
      </w:r>
    </w:p>
    <w:p>
      <w:pPr>
        <w:spacing w:before="0" w:after="120" w:line="276" w:lineRule="auto"/>
      </w:pPr>
      <w:r>
        <w:rPr>
          <w:rFonts w:ascii="Arial" w:hAnsi="Arial"/>
          <w:color w:val="2D3748"/>
          <w:sz w:val="21"/>
        </w:rPr>
        <w:t>Located on Khadir Island in the Rann of Kachchh, this 4,500-year-old Indus Valley metropolis was constructed using cut calcareous sandstone blocks extracted from nearby island quarries. Unlike mud-brick Harappan sites, Dholavira features dressed stone fortification walls, underground stone-lined water reservoirs, and specialized lapidary workshops processing agate, carnelian, and steatite beads.</w:t>
      </w:r>
    </w:p>
    <w:p>
      <w:pPr>
        <w:keepNext/>
        <w:spacing w:before="200" w:after="40"/>
      </w:pPr>
      <w:r>
        <w:rPr>
          <w:rFonts w:ascii="Arial" w:hAnsi="Arial"/>
          <w:b/>
          <w:color w:val="2D3748"/>
          <w:sz w:val="22"/>
        </w:rPr>
        <w:t>Aachen Cathedral (Aachen, Germany)</w:t>
      </w:r>
    </w:p>
    <w:p>
      <w:pPr>
        <w:spacing w:before="0" w:after="40"/>
      </w:pPr>
      <w:r>
        <w:rPr>
          <w:rFonts w:ascii="Arial" w:hAnsi="Arial"/>
          <w:b/>
        </w:rPr>
        <w:t xml:space="preserve">Primary Material: </w:t>
      </w:r>
      <w:r>
        <w:rPr>
          <w:rFonts w:ascii="Arial" w:hAnsi="Arial"/>
          <w:color w:val="2B6CB0"/>
        </w:rPr>
        <w:t>Devonian Fossiliferous Limestone &amp; Imperial Spolia</w:t>
      </w:r>
    </w:p>
    <w:p>
      <w:pPr>
        <w:spacing w:before="0" w:after="120" w:line="276" w:lineRule="auto"/>
      </w:pPr>
      <w:r>
        <w:rPr>
          <w:rFonts w:ascii="Arial" w:hAnsi="Arial"/>
          <w:color w:val="2D3748"/>
          <w:sz w:val="21"/>
        </w:rPr>
        <w:t>Charlemagne's Palatine Chapel (built 796–805 AD) combines local blue-grey Devonian limestone ('Aachener Blaustein') with ancient imperial spolia. Charlemagne legally secured antique marble and porphyry column shafts from ancient Roman structures in Rome and Ravenna, physically transporting them across the Alps to imbue his Carolingian capital with ancient imperial legitimacy.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