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365D"/>
          <w:sz w:val="40"/>
        </w:rPr>
        <w:t>GEOLOGICAL RESCAN &amp; METHODOLOGY REPORT</w:t>
      </w:r>
    </w:p>
    <w:p>
      <w:pPr>
        <w:spacing w:after="280"/>
      </w:pPr>
      <w:r>
        <w:rPr>
          <w:rFonts w:ascii="Arial" w:hAnsi="Arial"/>
          <w:color w:val="4A5568"/>
          <w:sz w:val="23"/>
        </w:rPr>
        <w:t>An Analytical Audit and Scoring Methodology for Rescanned Cultural Sites from Table 1 (Backup 37 Methodology)</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80" w:type="dxa"/>
              <w:bottom w:w="80" w:type="dxa"/>
              <w:left w:w="100" w:type="dxa"/>
              <w:right w:w="100" w:type="dxa"/>
            </w:tcMar>
          </w:tcPr>
          <w:p>
            <w:r>
              <w:rPr>
                <w:rFonts w:ascii="Arial" w:hAnsi="Arial"/>
                <w:b/>
                <w:color w:val="FFFFFF"/>
                <w:sz w:val="18"/>
              </w:rPr>
              <w:t>Total Rescanned</w:t>
            </w:r>
          </w:p>
        </w:tc>
        <w:tc>
          <w:tcPr>
            <w:tcW w:type="dxa" w:w="2340"/>
            <w:shd w:val="clear" w:color="auto" w:fill="1A365D"/>
            <w:tcMar>
              <w:top w:w="80" w:type="dxa"/>
              <w:bottom w:w="80" w:type="dxa"/>
              <w:left w:w="100" w:type="dxa"/>
              <w:right w:w="100" w:type="dxa"/>
            </w:tcMar>
          </w:tcPr>
          <w:p>
            <w:r>
              <w:rPr>
                <w:rFonts w:ascii="Arial" w:hAnsi="Arial"/>
                <w:b/>
                <w:color w:val="FFFFFF"/>
                <w:sz w:val="18"/>
              </w:rPr>
              <w:t>Newly Identified</w:t>
            </w:r>
          </w:p>
        </w:tc>
        <w:tc>
          <w:tcPr>
            <w:tcW w:type="dxa" w:w="2340"/>
            <w:shd w:val="clear" w:color="auto" w:fill="1A365D"/>
            <w:tcMar>
              <w:top w:w="80" w:type="dxa"/>
              <w:bottom w:w="80" w:type="dxa"/>
              <w:left w:w="100" w:type="dxa"/>
              <w:right w:w="100" w:type="dxa"/>
            </w:tcMar>
          </w:tcPr>
          <w:p>
            <w:r>
              <w:rPr>
                <w:rFonts w:ascii="Arial" w:hAnsi="Arial"/>
                <w:b/>
                <w:color w:val="FFFFFF"/>
                <w:sz w:val="18"/>
              </w:rPr>
              <w:t>Recovery Rate</w:t>
            </w:r>
          </w:p>
        </w:tc>
        <w:tc>
          <w:tcPr>
            <w:tcW w:type="dxa" w:w="2340"/>
            <w:shd w:val="clear" w:color="auto" w:fill="1A365D"/>
            <w:tcMar>
              <w:top w:w="80" w:type="dxa"/>
              <w:bottom w:w="80" w:type="dxa"/>
              <w:left w:w="100" w:type="dxa"/>
              <w:right w:w="100" w:type="dxa"/>
            </w:tcMar>
          </w:tcPr>
          <w:p>
            <w:r>
              <w:rPr>
                <w:rFonts w:ascii="Arial" w:hAnsi="Arial"/>
                <w:b/>
                <w:color w:val="FFFFFF"/>
                <w:sz w:val="18"/>
              </w:rPr>
              <w:t>Primary Model</w:t>
            </w:r>
          </w:p>
        </w:tc>
      </w:tr>
      <w:tr>
        <w:tc>
          <w:tcPr>
            <w:tcW w:type="dxa" w:w="2340"/>
            <w:shd w:val="clear" w:color="auto" w:fill="F7FAFC"/>
            <w:tcMar>
              <w:top w:w="80" w:type="dxa"/>
              <w:bottom w:w="80" w:type="dxa"/>
              <w:left w:w="100" w:type="dxa"/>
              <w:right w:w="100" w:type="dxa"/>
            </w:tcMar>
          </w:tcPr>
          <w:p>
            <w:r>
              <w:rPr>
                <w:rFonts w:ascii="Arial" w:hAnsi="Arial"/>
                <w:color w:val="2D3748"/>
                <w:sz w:val="18"/>
              </w:rPr>
              <w:t>718 Sites</w:t>
            </w:r>
          </w:p>
        </w:tc>
        <w:tc>
          <w:tcPr>
            <w:tcW w:type="dxa" w:w="2340"/>
            <w:shd w:val="clear" w:color="auto" w:fill="F7FAFC"/>
            <w:tcMar>
              <w:top w:w="80" w:type="dxa"/>
              <w:bottom w:w="80" w:type="dxa"/>
              <w:left w:w="100" w:type="dxa"/>
              <w:right w:w="100" w:type="dxa"/>
            </w:tcMar>
          </w:tcPr>
          <w:p>
            <w:r>
              <w:rPr>
                <w:rFonts w:ascii="Arial" w:hAnsi="Arial"/>
                <w:color w:val="2D3748"/>
                <w:sz w:val="18"/>
              </w:rPr>
              <w:t>591 Monuments</w:t>
            </w:r>
          </w:p>
        </w:tc>
        <w:tc>
          <w:tcPr>
            <w:tcW w:type="dxa" w:w="2340"/>
            <w:shd w:val="clear" w:color="auto" w:fill="F7FAFC"/>
            <w:tcMar>
              <w:top w:w="80" w:type="dxa"/>
              <w:bottom w:w="80" w:type="dxa"/>
              <w:left w:w="100" w:type="dxa"/>
              <w:right w:w="100" w:type="dxa"/>
            </w:tcMar>
          </w:tcPr>
          <w:p>
            <w:r>
              <w:rPr>
                <w:rFonts w:ascii="Arial" w:hAnsi="Arial"/>
                <w:color w:val="2D3748"/>
                <w:sz w:val="18"/>
              </w:rPr>
              <w:t>82.3%</w:t>
            </w:r>
          </w:p>
        </w:tc>
        <w:tc>
          <w:tcPr>
            <w:tcW w:type="dxa" w:w="2340"/>
            <w:shd w:val="clear" w:color="auto" w:fill="F7FAFC"/>
            <w:tcMar>
              <w:top w:w="80" w:type="dxa"/>
              <w:bottom w:w="80" w:type="dxa"/>
              <w:left w:w="100" w:type="dxa"/>
              <w:right w:w="100" w:type="dxa"/>
            </w:tcMar>
          </w:tcPr>
          <w:p>
            <w:r>
              <w:rPr>
                <w:rFonts w:ascii="Arial" w:hAnsi="Arial"/>
                <w:color w:val="2D3748"/>
                <w:sz w:val="18"/>
              </w:rPr>
              <w:t>Hybrid spaCy + LLM</w:t>
            </w:r>
          </w:p>
        </w:tc>
      </w:tr>
    </w:tbl>
    <w:p>
      <w:pPr>
        <w:spacing w:after="240"/>
      </w:pPr>
    </w:p>
    <w:tbl>
      <w:tblPr>
        <w:tblW w:type="auto" w:w="0"/>
        <w:jc w:val="center"/>
        <w:tblLook w:firstColumn="1" w:firstRow="1" w:lastColumn="0" w:lastRow="0" w:noHBand="0" w:noVBand="1" w:val="04A0"/>
      </w:tblPr>
      <w:tblGrid>
        <w:gridCol w:w="9360"/>
      </w:tblGrid>
      <w:tr>
        <w:tc>
          <w:tcPr>
            <w:tcW w:type="dxa" w:w="9360"/>
            <w:shd w:val="clear" w:color="auto" w:fill="F7FAFC"/>
            <w:tcMar>
              <w:top w:w="140" w:type="dxa"/>
              <w:bottom w:w="140" w:type="dxa"/>
              <w:left w:w="200" w:type="dxa"/>
              <w:right w:w="200" w:type="dxa"/>
            </w:tcMar>
            <w:tcBorders>
              <w:left w:val="single" w:sz="24" w:space="0" w:color="1A365D"/>
              <w:top w:val="none"/>
              <w:bottom w:val="none"/>
              <w:right w:val="none"/>
            </w:tcBorders>
          </w:tcPr>
          <w:p>
            <w:pPr>
              <w:spacing w:before="80" w:after="80" w:line="276" w:lineRule="auto"/>
            </w:pPr>
            <w:r>
              <w:rPr>
                <w:rFonts w:ascii="Arial" w:hAnsi="Arial"/>
                <w:b/>
                <w:color w:val="1A365D"/>
                <w:sz w:val="20"/>
              </w:rPr>
              <w:t>EXECUTIVE RESCAN FINDINGS</w:t>
              <w:br/>
            </w:r>
            <w:r>
              <w:rPr>
                <w:rFonts w:ascii="Arial" w:hAnsi="Arial"/>
                <w:color w:val="2D3748"/>
                <w:sz w:val="19"/>
              </w:rPr>
              <w:t>This methodological rescan investigated 718 UNESCO World Heritage Sites originally classified as containing no stone or having negligible stone scores. By implementing an upgraded classification engine (v2) incorporating lemmatization, title indicators, expanded rock dictionaries, and targeted Gemini LLM validation, we successfully verified 591 sites as built monuments containing geological material or stonework (a 82.3% recovery rate).</w:t>
            </w:r>
          </w:p>
        </w:tc>
      </w:tr>
    </w:tbl>
    <w:p>
      <w:pPr>
        <w:spacing w:before="0" w:after="120"/>
      </w:pPr>
    </w:p>
    <w:p>
      <w:pPr>
        <w:keepNext/>
        <w:spacing w:before="360" w:after="120"/>
      </w:pPr>
      <w:r>
        <w:rPr>
          <w:rFonts w:ascii="Arial" w:hAnsi="Arial"/>
          <w:b/>
          <w:color w:val="1A365D"/>
          <w:sz w:val="32"/>
        </w:rPr>
        <w:t>1. Introduction &amp; Objectives</w:t>
      </w:r>
    </w:p>
    <w:p>
      <w:pPr>
        <w:spacing w:before="0" w:after="120" w:line="276" w:lineRule="auto"/>
      </w:pPr>
      <w:r>
        <w:rPr>
          <w:rFonts w:ascii="Arial" w:hAnsi="Arial"/>
          <w:color w:val="2D3748"/>
          <w:sz w:val="21"/>
        </w:rPr>
        <w:t>In the primary classification of UNESCO World Heritage Sites, a portion of cultural sites did not trigger explicit rock matches due to linguistic limitations, brief descriptions, or OUV statement constraints (often describing historic structures without naming the specific geological stone types, e.g., 'masonry fortifications' or 'monolithic carved temple').</w:t>
      </w:r>
    </w:p>
    <w:p>
      <w:pPr>
        <w:spacing w:before="0" w:after="120" w:line="276" w:lineRule="auto"/>
      </w:pPr>
      <w:r>
        <w:rPr>
          <w:rFonts w:ascii="Arial" w:hAnsi="Arial"/>
          <w:color w:val="2D3748"/>
          <w:sz w:val="21"/>
        </w:rPr>
        <w:t>The objective of the Geological Rescan (v2) is to apply a more robust, multi-layer NLP parsing framework, study titles directly for architectural markers, and utilize high-performance large language models (Gemini 3.5 Flash) to extract and verify implied or unstated geological building materials from the target 'no-stone' sites.</w:t>
      </w:r>
    </w:p>
    <w:p>
      <w:pPr>
        <w:keepNext/>
        <w:spacing w:before="360" w:after="120"/>
      </w:pPr>
      <w:r>
        <w:rPr>
          <w:rFonts w:ascii="Arial" w:hAnsi="Arial"/>
          <w:b/>
          <w:color w:val="1A365D"/>
          <w:sz w:val="32"/>
        </w:rPr>
        <w:t>2. Confidence Score &amp; Classifier Methodology (v2)</w:t>
      </w:r>
    </w:p>
    <w:p>
      <w:pPr>
        <w:spacing w:before="0" w:after="120" w:line="276" w:lineRule="auto"/>
      </w:pPr>
      <w:r>
        <w:rPr>
          <w:rFonts w:ascii="Arial" w:hAnsi="Arial"/>
          <w:color w:val="2D3748"/>
          <w:sz w:val="21"/>
        </w:rPr>
        <w:t>The upgraded classification engine computes a Final Score for each site across four thematic layers using spaCy lemmatization and exact word boundaries.</w:t>
      </w:r>
    </w:p>
    <w:p>
      <w:pPr>
        <w:jc w:val="center"/>
      </w:pPr>
      <w:r>
        <w:rPr>
          <w:rFonts w:ascii="Arial" w:hAnsi="Arial"/>
          <w:b/>
          <w:color w:val="1A365D"/>
          <w:sz w:val="22"/>
        </w:rPr>
        <w:t>Final Score = Criteria Layer + Title Layer + Text Match Layer - Exclusion Deductions</w:t>
      </w:r>
    </w:p>
    <w:p>
      <w:pPr>
        <w:keepNext/>
        <w:spacing w:before="280" w:after="80"/>
      </w:pPr>
      <w:r>
        <w:rPr>
          <w:rFonts w:ascii="Arial" w:hAnsi="Arial"/>
          <w:b/>
          <w:color w:val="2B6CB0"/>
          <w:sz w:val="26"/>
        </w:rPr>
        <w:t>2.1 Scoring Weights &amp; Parameters</w:t>
      </w:r>
    </w:p>
    <w:p>
      <w:pPr>
        <w:spacing w:before="0" w:after="120" w:line="276" w:lineRule="auto"/>
      </w:pPr>
      <w:r>
        <w:rPr>
          <w:rFonts w:ascii="Arial" w:hAnsi="Arial"/>
          <w:color w:val="2D3748"/>
          <w:sz w:val="21"/>
        </w:rPr>
        <w:t>• UNESCO Criteria: Criterion (iv) adds +3 points; Criterion (i) adds +2 points; Criterion (ii) adds +1 point.</w:t>
        <w:br/>
        <w:t>• Title Indicators: Matching core stone or architectural terms directly in the site name adds +4 points (e.g. 'aqueduct', 'monolith', 'cathedral').</w:t>
        <w:br/>
        <w:t>• Geological Rock Types: Match of igneous, sedimentary, or metamorphic rock groups adds +4 (1+ matches), +7 (3+ matches), or +10 (5+ matches).</w:t>
        <w:br/>
        <w:t>• Named/Trade Stones: Specific regional stone types (e.g. Carrara marble, Portland stone) add +5 (1+ matches) or +8 (3+ matches).</w:t>
        <w:br/>
        <w:t>• Construction &amp; Masonry Terms: Specific stonework terms (e.g. ashlar, rubble, masonry) add +3 (2+ matches) or +5 (5+ matches).</w:t>
        <w:br/>
        <w:t>• Decorative Minerals: Semi-precious stones (e.g. lapis lazuli, jasper, jade) add +2 points.</w:t>
        <w:br/>
        <w:t>• Architectural Elements: Architectural structures (e.g. column, dome, vault, pier) add +3 (3+ matches) or +5 (6+ matches).</w:t>
        <w:br/>
        <w:t>• Exclusions: Non-built cultural heritage markers (e.g. rock art, intangible, textile) deduct -3 points.</w:t>
      </w:r>
    </w:p>
    <w:p>
      <w:pPr>
        <w:keepNext/>
        <w:spacing w:before="280" w:after="80"/>
      </w:pPr>
      <w:r>
        <w:rPr>
          <w:rFonts w:ascii="Arial" w:hAnsi="Arial"/>
          <w:b/>
          <w:color w:val="2B6CB0"/>
          <w:sz w:val="26"/>
        </w:rPr>
        <w:t>2.2 Confidence Tier Definitions</w:t>
      </w:r>
    </w:p>
    <w:p>
      <w:pPr>
        <w:spacing w:before="0" w:after="120" w:line="276" w:lineRule="auto"/>
      </w:pPr>
      <w:r>
        <w:rPr>
          <w:rFonts w:ascii="Arial" w:hAnsi="Arial"/>
          <w:color w:val="2D3748"/>
          <w:sz w:val="21"/>
        </w:rPr>
        <w:t>Sites are categorized into Confidence Tiers using thresholds based on scores, title indicators, and stone counts:</w:t>
        <w:br/>
        <w:br/>
        <w:t>1. HIGH Confidence: Final Score &gt;= 10, OR Stone Count &gt;= 2, OR an explicit stone title indicator is matched.</w:t>
        <w:br/>
        <w:t>2. MEDIUM Confidence: Final Score &gt;= 4, OR Stone Count &gt;= 1, OR Construction Terms &gt;= 2.</w:t>
        <w:br/>
        <w:t>3. LOW Confidence: Final Score between 1 and 3 (minor structural indicators).</w:t>
        <w:br/>
        <w:t>4. NONE: Final Score = 0 (no stone/structural elements matched).</w:t>
      </w:r>
    </w:p>
    <w:p>
      <w:pPr>
        <w:keepNext/>
        <w:spacing w:before="360" w:after="120"/>
      </w:pPr>
      <w:r>
        <w:rPr>
          <w:rFonts w:ascii="Arial" w:hAnsi="Arial"/>
          <w:b/>
          <w:color w:val="1A365D"/>
          <w:sz w:val="32"/>
        </w:rPr>
        <w:t>3. Rescan Statistics &amp; Distribution</w:t>
      </w:r>
    </w:p>
    <w:p>
      <w:pPr>
        <w:spacing w:before="0" w:after="120" w:line="276" w:lineRule="auto"/>
      </w:pPr>
      <w:r>
        <w:rPr>
          <w:rFonts w:ascii="Arial" w:hAnsi="Arial"/>
          <w:color w:val="2D3748"/>
          <w:sz w:val="21"/>
        </w:rPr>
        <w:t>The distribution of confidence tiers across the 718 rescanned sites is summarized below:</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2B6CB0"/>
            <w:tcMar>
              <w:top w:w="100" w:type="dxa"/>
              <w:bottom w:w="100" w:type="dxa"/>
              <w:left w:w="120" w:type="dxa"/>
              <w:right w:w="120" w:type="dxa"/>
            </w:tcMar>
          </w:tcPr>
          <w:p>
            <w:r>
              <w:rPr>
                <w:rFonts w:ascii="Arial" w:hAnsi="Arial"/>
                <w:b/>
                <w:color w:val="FFFFFF"/>
                <w:sz w:val="20"/>
              </w:rPr>
              <w:t>Confidence Tier</w:t>
            </w:r>
          </w:p>
        </w:tc>
        <w:tc>
          <w:tcPr>
            <w:tcW w:type="dxa" w:w="3120"/>
            <w:shd w:val="clear" w:color="auto" w:fill="2B6CB0"/>
            <w:tcMar>
              <w:top w:w="100" w:type="dxa"/>
              <w:bottom w:w="100" w:type="dxa"/>
              <w:left w:w="120" w:type="dxa"/>
              <w:right w:w="120" w:type="dxa"/>
            </w:tcMar>
          </w:tcPr>
          <w:p>
            <w:r>
              <w:rPr>
                <w:rFonts w:ascii="Arial" w:hAnsi="Arial"/>
                <w:b/>
                <w:color w:val="FFFFFF"/>
                <w:sz w:val="20"/>
              </w:rPr>
              <w:t>Site Count</w:t>
            </w:r>
          </w:p>
        </w:tc>
        <w:tc>
          <w:tcPr>
            <w:tcW w:type="dxa" w:w="3120"/>
            <w:shd w:val="clear" w:color="auto" w:fill="2B6CB0"/>
            <w:tcMar>
              <w:top w:w="100" w:type="dxa"/>
              <w:bottom w:w="100" w:type="dxa"/>
              <w:left w:w="120" w:type="dxa"/>
              <w:right w:w="120" w:type="dxa"/>
            </w:tcMar>
          </w:tcPr>
          <w:p>
            <w:r>
              <w:rPr>
                <w:rFonts w:ascii="Arial" w:hAnsi="Arial"/>
                <w:b/>
                <w:color w:val="FFFFFF"/>
                <w:sz w:val="20"/>
              </w:rPr>
              <w:t>Percentage</w:t>
            </w:r>
          </w:p>
        </w:tc>
      </w:tr>
      <w:tr>
        <w:tc>
          <w:tcPr>
            <w:tcW w:type="dxa" w:w="3120"/>
            <w:shd w:val="clear" w:color="auto" w:fill="F7FAFC"/>
            <w:tcMar>
              <w:top w:w="80" w:type="dxa"/>
              <w:bottom w:w="80" w:type="dxa"/>
              <w:left w:w="120" w:type="dxa"/>
              <w:right w:w="120" w:type="dxa"/>
            </w:tcMar>
          </w:tcPr>
          <w:p>
            <w:r>
              <w:rPr>
                <w:rFonts w:ascii="Arial" w:hAnsi="Arial"/>
                <w:b/>
                <w:color w:val="2D3748"/>
                <w:sz w:val="20"/>
              </w:rPr>
              <w:t>HIGH</w:t>
            </w:r>
          </w:p>
        </w:tc>
        <w:tc>
          <w:tcPr>
            <w:tcW w:type="dxa" w:w="3120"/>
            <w:shd w:val="clear" w:color="auto" w:fill="F7FAFC"/>
            <w:tcMar>
              <w:top w:w="80" w:type="dxa"/>
              <w:bottom w:w="80" w:type="dxa"/>
              <w:left w:w="120" w:type="dxa"/>
              <w:right w:w="120" w:type="dxa"/>
            </w:tcMar>
          </w:tcPr>
          <w:p>
            <w:r>
              <w:rPr>
                <w:rFonts w:ascii="Arial" w:hAnsi="Arial"/>
                <w:color w:val="2D3748"/>
                <w:sz w:val="20"/>
              </w:rPr>
              <w:t>223</w:t>
            </w:r>
          </w:p>
        </w:tc>
        <w:tc>
          <w:tcPr>
            <w:tcW w:type="dxa" w:w="3120"/>
            <w:shd w:val="clear" w:color="auto" w:fill="F7FAFC"/>
            <w:tcMar>
              <w:top w:w="80" w:type="dxa"/>
              <w:bottom w:w="80" w:type="dxa"/>
              <w:left w:w="120" w:type="dxa"/>
              <w:right w:w="120" w:type="dxa"/>
            </w:tcMar>
          </w:tcPr>
          <w:p>
            <w:r>
              <w:rPr>
                <w:rFonts w:ascii="Arial" w:hAnsi="Arial"/>
                <w:color w:val="2D3748"/>
                <w:sz w:val="20"/>
              </w:rPr>
              <w:t>31.1%</w:t>
            </w:r>
          </w:p>
        </w:tc>
      </w:tr>
      <w:tr>
        <w:tc>
          <w:tcPr>
            <w:tcW w:type="dxa" w:w="3120"/>
            <w:shd w:val="clear" w:color="auto" w:fill="FFFFFF"/>
            <w:tcMar>
              <w:top w:w="80" w:type="dxa"/>
              <w:bottom w:w="80" w:type="dxa"/>
              <w:left w:w="120" w:type="dxa"/>
              <w:right w:w="120" w:type="dxa"/>
            </w:tcMar>
          </w:tcPr>
          <w:p>
            <w:r>
              <w:rPr>
                <w:rFonts w:ascii="Arial" w:hAnsi="Arial"/>
                <w:b/>
                <w:color w:val="2D3748"/>
                <w:sz w:val="20"/>
              </w:rPr>
              <w:t>MEDIUM</w:t>
            </w:r>
          </w:p>
        </w:tc>
        <w:tc>
          <w:tcPr>
            <w:tcW w:type="dxa" w:w="3120"/>
            <w:shd w:val="clear" w:color="auto" w:fill="FFFFFF"/>
            <w:tcMar>
              <w:top w:w="80" w:type="dxa"/>
              <w:bottom w:w="80" w:type="dxa"/>
              <w:left w:w="120" w:type="dxa"/>
              <w:right w:w="120" w:type="dxa"/>
            </w:tcMar>
          </w:tcPr>
          <w:p>
            <w:r>
              <w:rPr>
                <w:rFonts w:ascii="Arial" w:hAnsi="Arial"/>
                <w:color w:val="2D3748"/>
                <w:sz w:val="20"/>
              </w:rPr>
              <w:t>368</w:t>
            </w:r>
          </w:p>
        </w:tc>
        <w:tc>
          <w:tcPr>
            <w:tcW w:type="dxa" w:w="3120"/>
            <w:shd w:val="clear" w:color="auto" w:fill="FFFFFF"/>
            <w:tcMar>
              <w:top w:w="80" w:type="dxa"/>
              <w:bottom w:w="80" w:type="dxa"/>
              <w:left w:w="120" w:type="dxa"/>
              <w:right w:w="120" w:type="dxa"/>
            </w:tcMar>
          </w:tcPr>
          <w:p>
            <w:r>
              <w:rPr>
                <w:rFonts w:ascii="Arial" w:hAnsi="Arial"/>
                <w:color w:val="2D3748"/>
                <w:sz w:val="20"/>
              </w:rPr>
              <w:t>51.3%</w:t>
            </w:r>
          </w:p>
        </w:tc>
      </w:tr>
      <w:tr>
        <w:tc>
          <w:tcPr>
            <w:tcW w:type="dxa" w:w="3120"/>
            <w:shd w:val="clear" w:color="auto" w:fill="F7FAFC"/>
            <w:tcMar>
              <w:top w:w="80" w:type="dxa"/>
              <w:bottom w:w="80" w:type="dxa"/>
              <w:left w:w="120" w:type="dxa"/>
              <w:right w:w="120" w:type="dxa"/>
            </w:tcMar>
          </w:tcPr>
          <w:p>
            <w:r>
              <w:rPr>
                <w:rFonts w:ascii="Arial" w:hAnsi="Arial"/>
                <w:b/>
                <w:color w:val="2D3748"/>
                <w:sz w:val="20"/>
              </w:rPr>
              <w:t>LOW</w:t>
            </w:r>
          </w:p>
        </w:tc>
        <w:tc>
          <w:tcPr>
            <w:tcW w:type="dxa" w:w="3120"/>
            <w:shd w:val="clear" w:color="auto" w:fill="F7FAFC"/>
            <w:tcMar>
              <w:top w:w="80" w:type="dxa"/>
              <w:bottom w:w="80" w:type="dxa"/>
              <w:left w:w="120" w:type="dxa"/>
              <w:right w:w="120" w:type="dxa"/>
            </w:tcMar>
          </w:tcPr>
          <w:p>
            <w:r>
              <w:rPr>
                <w:rFonts w:ascii="Arial" w:hAnsi="Arial"/>
                <w:color w:val="2D3748"/>
                <w:sz w:val="20"/>
              </w:rPr>
              <w:t>85</w:t>
            </w:r>
          </w:p>
        </w:tc>
        <w:tc>
          <w:tcPr>
            <w:tcW w:type="dxa" w:w="3120"/>
            <w:shd w:val="clear" w:color="auto" w:fill="F7FAFC"/>
            <w:tcMar>
              <w:top w:w="80" w:type="dxa"/>
              <w:bottom w:w="80" w:type="dxa"/>
              <w:left w:w="120" w:type="dxa"/>
              <w:right w:w="120" w:type="dxa"/>
            </w:tcMar>
          </w:tcPr>
          <w:p>
            <w:r>
              <w:rPr>
                <w:rFonts w:ascii="Arial" w:hAnsi="Arial"/>
                <w:color w:val="2D3748"/>
                <w:sz w:val="20"/>
              </w:rPr>
              <w:t>11.8%</w:t>
            </w:r>
          </w:p>
        </w:tc>
      </w:tr>
      <w:tr>
        <w:tc>
          <w:tcPr>
            <w:tcW w:type="dxa" w:w="3120"/>
            <w:shd w:val="clear" w:color="auto" w:fill="FFFFFF"/>
            <w:tcMar>
              <w:top w:w="80" w:type="dxa"/>
              <w:bottom w:w="80" w:type="dxa"/>
              <w:left w:w="120" w:type="dxa"/>
              <w:right w:w="120" w:type="dxa"/>
            </w:tcMar>
          </w:tcPr>
          <w:p>
            <w:r>
              <w:rPr>
                <w:rFonts w:ascii="Arial" w:hAnsi="Arial"/>
                <w:b/>
                <w:color w:val="2D3748"/>
                <w:sz w:val="20"/>
              </w:rPr>
              <w:t>NONE</w:t>
            </w:r>
          </w:p>
        </w:tc>
        <w:tc>
          <w:tcPr>
            <w:tcW w:type="dxa" w:w="3120"/>
            <w:shd w:val="clear" w:color="auto" w:fill="FFFFFF"/>
            <w:tcMar>
              <w:top w:w="80" w:type="dxa"/>
              <w:bottom w:w="80" w:type="dxa"/>
              <w:left w:w="120" w:type="dxa"/>
              <w:right w:w="120" w:type="dxa"/>
            </w:tcMar>
          </w:tcPr>
          <w:p>
            <w:r>
              <w:rPr>
                <w:rFonts w:ascii="Arial" w:hAnsi="Arial"/>
                <w:color w:val="2D3748"/>
                <w:sz w:val="20"/>
              </w:rPr>
              <w:t>42</w:t>
            </w:r>
          </w:p>
        </w:tc>
        <w:tc>
          <w:tcPr>
            <w:tcW w:type="dxa" w:w="3120"/>
            <w:shd w:val="clear" w:color="auto" w:fill="FFFFFF"/>
            <w:tcMar>
              <w:top w:w="80" w:type="dxa"/>
              <w:bottom w:w="80" w:type="dxa"/>
              <w:left w:w="120" w:type="dxa"/>
              <w:right w:w="120" w:type="dxa"/>
            </w:tcMar>
          </w:tcPr>
          <w:p>
            <w:r>
              <w:rPr>
                <w:rFonts w:ascii="Arial" w:hAnsi="Arial"/>
                <w:color w:val="2D3748"/>
                <w:sz w:val="20"/>
              </w:rPr>
              <w:t>5.8%</w:t>
            </w:r>
          </w:p>
        </w:tc>
      </w:tr>
    </w:tbl>
    <w:p>
      <w:pPr>
        <w:spacing w:after="240"/>
      </w:pPr>
    </w:p>
    <w:p>
      <w:pPr>
        <w:keepNext/>
        <w:spacing w:before="360" w:after="120"/>
      </w:pPr>
      <w:r>
        <w:rPr>
          <w:rFonts w:ascii="Arial" w:hAnsi="Arial"/>
          <w:b/>
          <w:color w:val="1A365D"/>
          <w:sz w:val="32"/>
        </w:rPr>
        <w:t>4. Geographic &amp; Country Analysis</w:t>
      </w:r>
    </w:p>
    <w:p>
      <w:pPr>
        <w:spacing w:before="0" w:after="120" w:line="276" w:lineRule="auto"/>
      </w:pPr>
      <w:r>
        <w:rPr>
          <w:rFonts w:ascii="Arial" w:hAnsi="Arial"/>
          <w:color w:val="2D3748"/>
          <w:sz w:val="21"/>
        </w:rPr>
        <w:t>Newly identified built stone monuments are distributed globally, with notable concentrations in countries possessing high historical densities of stone-built civil and religious architecture.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2C5282"/>
            <w:tcMar>
              <w:top w:w="100" w:type="dxa"/>
              <w:bottom w:w="100" w:type="dxa"/>
              <w:left w:w="120" w:type="dxa"/>
              <w:right w:w="120" w:type="dxa"/>
            </w:tcMar>
          </w:tcPr>
          <w:p>
            <w:r>
              <w:rPr>
                <w:rFonts w:ascii="Arial" w:hAnsi="Arial"/>
                <w:b/>
                <w:color w:val="FFFFFF"/>
                <w:sz w:val="20"/>
              </w:rPr>
              <w:t>Rank</w:t>
            </w:r>
          </w:p>
        </w:tc>
        <w:tc>
          <w:tcPr>
            <w:tcW w:type="dxa" w:w="3120"/>
            <w:shd w:val="clear" w:color="auto" w:fill="2C5282"/>
            <w:tcMar>
              <w:top w:w="100" w:type="dxa"/>
              <w:bottom w:w="100" w:type="dxa"/>
              <w:left w:w="120" w:type="dxa"/>
              <w:right w:w="120" w:type="dxa"/>
            </w:tcMar>
          </w:tcPr>
          <w:p>
            <w:r>
              <w:rPr>
                <w:rFonts w:ascii="Arial" w:hAnsi="Arial"/>
                <w:b/>
                <w:color w:val="FFFFFF"/>
                <w:sz w:val="20"/>
              </w:rPr>
              <w:t>Country</w:t>
            </w:r>
          </w:p>
        </w:tc>
        <w:tc>
          <w:tcPr>
            <w:tcW w:type="dxa" w:w="3120"/>
            <w:shd w:val="clear" w:color="auto" w:fill="2C5282"/>
            <w:tcMar>
              <w:top w:w="100" w:type="dxa"/>
              <w:bottom w:w="100" w:type="dxa"/>
              <w:left w:w="120" w:type="dxa"/>
              <w:right w:w="120" w:type="dxa"/>
            </w:tcMar>
          </w:tcPr>
          <w:p>
            <w:r>
              <w:rPr>
                <w:rFonts w:ascii="Arial" w:hAnsi="Arial"/>
                <w:b/>
                <w:color w:val="FFFFFF"/>
                <w:sz w:val="20"/>
              </w:rPr>
              <w:t>Newly Identified Monuments</w:t>
            </w:r>
          </w:p>
        </w:tc>
      </w:tr>
      <w:tr>
        <w:tc>
          <w:tcPr>
            <w:tcW w:type="dxa" w:w="3120"/>
            <w:shd w:val="clear" w:color="auto" w:fill="F7FAFC"/>
            <w:tcMar>
              <w:top w:w="80" w:type="dxa"/>
              <w:bottom w:w="80" w:type="dxa"/>
              <w:left w:w="120" w:type="dxa"/>
              <w:right w:w="120" w:type="dxa"/>
            </w:tcMar>
          </w:tcPr>
          <w:p>
            <w:r>
              <w:rPr>
                <w:rFonts w:ascii="Arial" w:hAnsi="Arial"/>
                <w:color w:val="2D3748"/>
                <w:sz w:val="20"/>
              </w:rPr>
              <w:t>1</w:t>
            </w:r>
          </w:p>
        </w:tc>
        <w:tc>
          <w:tcPr>
            <w:tcW w:type="dxa" w:w="3120"/>
            <w:shd w:val="clear" w:color="auto" w:fill="F7FAFC"/>
            <w:tcMar>
              <w:top w:w="80" w:type="dxa"/>
              <w:bottom w:w="80" w:type="dxa"/>
              <w:left w:w="120" w:type="dxa"/>
              <w:right w:w="120" w:type="dxa"/>
            </w:tcMar>
          </w:tcPr>
          <w:p>
            <w:r>
              <w:rPr>
                <w:rFonts w:ascii="Arial" w:hAnsi="Arial"/>
                <w:color w:val="2D3748"/>
                <w:sz w:val="20"/>
              </w:rPr>
              <w:t>China</w:t>
            </w:r>
          </w:p>
        </w:tc>
        <w:tc>
          <w:tcPr>
            <w:tcW w:type="dxa" w:w="3120"/>
            <w:shd w:val="clear" w:color="auto" w:fill="F7FAFC"/>
            <w:tcMar>
              <w:top w:w="80" w:type="dxa"/>
              <w:bottom w:w="80" w:type="dxa"/>
              <w:left w:w="120" w:type="dxa"/>
              <w:right w:w="120" w:type="dxa"/>
            </w:tcMar>
          </w:tcPr>
          <w:p>
            <w:r>
              <w:rPr>
                <w:rFonts w:ascii="Arial" w:hAnsi="Arial"/>
                <w:color w:val="2D3748"/>
                <w:sz w:val="20"/>
              </w:rPr>
              <w:t>34 Sites</w:t>
            </w:r>
          </w:p>
        </w:tc>
      </w:tr>
      <w:tr>
        <w:tc>
          <w:tcPr>
            <w:tcW w:type="dxa" w:w="3120"/>
            <w:shd w:val="clear" w:color="auto" w:fill="FFFFFF"/>
            <w:tcMar>
              <w:top w:w="80" w:type="dxa"/>
              <w:bottom w:w="80" w:type="dxa"/>
              <w:left w:w="120" w:type="dxa"/>
              <w:right w:w="120" w:type="dxa"/>
            </w:tcMar>
          </w:tcPr>
          <w:p>
            <w:r>
              <w:rPr>
                <w:rFonts w:ascii="Arial" w:hAnsi="Arial"/>
                <w:color w:val="2D3748"/>
                <w:sz w:val="20"/>
              </w:rPr>
              <w:t>2</w:t>
            </w:r>
          </w:p>
        </w:tc>
        <w:tc>
          <w:tcPr>
            <w:tcW w:type="dxa" w:w="3120"/>
            <w:shd w:val="clear" w:color="auto" w:fill="FFFFFF"/>
            <w:tcMar>
              <w:top w:w="80" w:type="dxa"/>
              <w:bottom w:w="80" w:type="dxa"/>
              <w:left w:w="120" w:type="dxa"/>
              <w:right w:w="120" w:type="dxa"/>
            </w:tcMar>
          </w:tcPr>
          <w:p>
            <w:r>
              <w:rPr>
                <w:rFonts w:ascii="Arial" w:hAnsi="Arial"/>
                <w:color w:val="2D3748"/>
                <w:sz w:val="20"/>
              </w:rPr>
              <w:t>Italy</w:t>
            </w:r>
          </w:p>
        </w:tc>
        <w:tc>
          <w:tcPr>
            <w:tcW w:type="dxa" w:w="3120"/>
            <w:shd w:val="clear" w:color="auto" w:fill="FFFFFF"/>
            <w:tcMar>
              <w:top w:w="80" w:type="dxa"/>
              <w:bottom w:w="80" w:type="dxa"/>
              <w:left w:w="120" w:type="dxa"/>
              <w:right w:w="120" w:type="dxa"/>
            </w:tcMar>
          </w:tcPr>
          <w:p>
            <w:r>
              <w:rPr>
                <w:rFonts w:ascii="Arial" w:hAnsi="Arial"/>
                <w:color w:val="2D3748"/>
                <w:sz w:val="20"/>
              </w:rPr>
              <w:t>32 Sites</w:t>
            </w:r>
          </w:p>
        </w:tc>
      </w:tr>
      <w:tr>
        <w:tc>
          <w:tcPr>
            <w:tcW w:type="dxa" w:w="3120"/>
            <w:shd w:val="clear" w:color="auto" w:fill="F7FAFC"/>
            <w:tcMar>
              <w:top w:w="80" w:type="dxa"/>
              <w:bottom w:w="80" w:type="dxa"/>
              <w:left w:w="120" w:type="dxa"/>
              <w:right w:w="120" w:type="dxa"/>
            </w:tcMar>
          </w:tcPr>
          <w:p>
            <w:r>
              <w:rPr>
                <w:rFonts w:ascii="Arial" w:hAnsi="Arial"/>
                <w:color w:val="2D3748"/>
                <w:sz w:val="20"/>
              </w:rPr>
              <w:t>3</w:t>
            </w:r>
          </w:p>
        </w:tc>
        <w:tc>
          <w:tcPr>
            <w:tcW w:type="dxa" w:w="3120"/>
            <w:shd w:val="clear" w:color="auto" w:fill="F7FAFC"/>
            <w:tcMar>
              <w:top w:w="80" w:type="dxa"/>
              <w:bottom w:w="80" w:type="dxa"/>
              <w:left w:w="120" w:type="dxa"/>
              <w:right w:w="120" w:type="dxa"/>
            </w:tcMar>
          </w:tcPr>
          <w:p>
            <w:r>
              <w:rPr>
                <w:rFonts w:ascii="Arial" w:hAnsi="Arial"/>
                <w:color w:val="2D3748"/>
                <w:sz w:val="20"/>
              </w:rPr>
              <w:t>France</w:t>
            </w:r>
          </w:p>
        </w:tc>
        <w:tc>
          <w:tcPr>
            <w:tcW w:type="dxa" w:w="3120"/>
            <w:shd w:val="clear" w:color="auto" w:fill="F7FAFC"/>
            <w:tcMar>
              <w:top w:w="80" w:type="dxa"/>
              <w:bottom w:w="80" w:type="dxa"/>
              <w:left w:w="120" w:type="dxa"/>
              <w:right w:w="120" w:type="dxa"/>
            </w:tcMar>
          </w:tcPr>
          <w:p>
            <w:r>
              <w:rPr>
                <w:rFonts w:ascii="Arial" w:hAnsi="Arial"/>
                <w:color w:val="2D3748"/>
                <w:sz w:val="20"/>
              </w:rPr>
              <w:t>30 Sites</w:t>
            </w:r>
          </w:p>
        </w:tc>
      </w:tr>
      <w:tr>
        <w:tc>
          <w:tcPr>
            <w:tcW w:type="dxa" w:w="3120"/>
            <w:shd w:val="clear" w:color="auto" w:fill="FFFFFF"/>
            <w:tcMar>
              <w:top w:w="80" w:type="dxa"/>
              <w:bottom w:w="80" w:type="dxa"/>
              <w:left w:w="120" w:type="dxa"/>
              <w:right w:w="120" w:type="dxa"/>
            </w:tcMar>
          </w:tcPr>
          <w:p>
            <w:r>
              <w:rPr>
                <w:rFonts w:ascii="Arial" w:hAnsi="Arial"/>
                <w:color w:val="2D3748"/>
                <w:sz w:val="20"/>
              </w:rPr>
              <w:t>4</w:t>
            </w:r>
          </w:p>
        </w:tc>
        <w:tc>
          <w:tcPr>
            <w:tcW w:type="dxa" w:w="3120"/>
            <w:shd w:val="clear" w:color="auto" w:fill="FFFFFF"/>
            <w:tcMar>
              <w:top w:w="80" w:type="dxa"/>
              <w:bottom w:w="80" w:type="dxa"/>
              <w:left w:w="120" w:type="dxa"/>
              <w:right w:w="120" w:type="dxa"/>
            </w:tcMar>
          </w:tcPr>
          <w:p>
            <w:r>
              <w:rPr>
                <w:rFonts w:ascii="Arial" w:hAnsi="Arial"/>
                <w:color w:val="2D3748"/>
                <w:sz w:val="20"/>
              </w:rPr>
              <w:t>Spain</w:t>
            </w:r>
          </w:p>
        </w:tc>
        <w:tc>
          <w:tcPr>
            <w:tcW w:type="dxa" w:w="3120"/>
            <w:shd w:val="clear" w:color="auto" w:fill="FFFFFF"/>
            <w:tcMar>
              <w:top w:w="80" w:type="dxa"/>
              <w:bottom w:w="80" w:type="dxa"/>
              <w:left w:w="120" w:type="dxa"/>
              <w:right w:w="120" w:type="dxa"/>
            </w:tcMar>
          </w:tcPr>
          <w:p>
            <w:r>
              <w:rPr>
                <w:rFonts w:ascii="Arial" w:hAnsi="Arial"/>
                <w:color w:val="2D3748"/>
                <w:sz w:val="20"/>
              </w:rPr>
              <w:t>29 Sites</w:t>
            </w:r>
          </w:p>
        </w:tc>
      </w:tr>
      <w:tr>
        <w:tc>
          <w:tcPr>
            <w:tcW w:type="dxa" w:w="3120"/>
            <w:shd w:val="clear" w:color="auto" w:fill="F7FAFC"/>
            <w:tcMar>
              <w:top w:w="80" w:type="dxa"/>
              <w:bottom w:w="80" w:type="dxa"/>
              <w:left w:w="120" w:type="dxa"/>
              <w:right w:w="120" w:type="dxa"/>
            </w:tcMar>
          </w:tcPr>
          <w:p>
            <w:r>
              <w:rPr>
                <w:rFonts w:ascii="Arial" w:hAnsi="Arial"/>
                <w:color w:val="2D3748"/>
                <w:sz w:val="20"/>
              </w:rPr>
              <w:t>5</w:t>
            </w:r>
          </w:p>
        </w:tc>
        <w:tc>
          <w:tcPr>
            <w:tcW w:type="dxa" w:w="3120"/>
            <w:shd w:val="clear" w:color="auto" w:fill="F7FAFC"/>
            <w:tcMar>
              <w:top w:w="80" w:type="dxa"/>
              <w:bottom w:w="80" w:type="dxa"/>
              <w:left w:w="120" w:type="dxa"/>
              <w:right w:w="120" w:type="dxa"/>
            </w:tcMar>
          </w:tcPr>
          <w:p>
            <w:r>
              <w:rPr>
                <w:rFonts w:ascii="Arial" w:hAnsi="Arial"/>
                <w:color w:val="2D3748"/>
                <w:sz w:val="20"/>
              </w:rPr>
              <w:t>Germany</w:t>
            </w:r>
          </w:p>
        </w:tc>
        <w:tc>
          <w:tcPr>
            <w:tcW w:type="dxa" w:w="3120"/>
            <w:shd w:val="clear" w:color="auto" w:fill="F7FAFC"/>
            <w:tcMar>
              <w:top w:w="80" w:type="dxa"/>
              <w:bottom w:w="80" w:type="dxa"/>
              <w:left w:w="120" w:type="dxa"/>
              <w:right w:w="120" w:type="dxa"/>
            </w:tcMar>
          </w:tcPr>
          <w:p>
            <w:r>
              <w:rPr>
                <w:rFonts w:ascii="Arial" w:hAnsi="Arial"/>
                <w:color w:val="2D3748"/>
                <w:sz w:val="20"/>
              </w:rPr>
              <w:t>27 Sites</w:t>
            </w:r>
          </w:p>
        </w:tc>
      </w:tr>
      <w:tr>
        <w:tc>
          <w:tcPr>
            <w:tcW w:type="dxa" w:w="3120"/>
            <w:shd w:val="clear" w:color="auto" w:fill="FFFFFF"/>
            <w:tcMar>
              <w:top w:w="80" w:type="dxa"/>
              <w:bottom w:w="80" w:type="dxa"/>
              <w:left w:w="120" w:type="dxa"/>
              <w:right w:w="120" w:type="dxa"/>
            </w:tcMar>
          </w:tcPr>
          <w:p>
            <w:r>
              <w:rPr>
                <w:rFonts w:ascii="Arial" w:hAnsi="Arial"/>
                <w:color w:val="2D3748"/>
                <w:sz w:val="20"/>
              </w:rPr>
              <w:t>6</w:t>
            </w:r>
          </w:p>
        </w:tc>
        <w:tc>
          <w:tcPr>
            <w:tcW w:type="dxa" w:w="3120"/>
            <w:shd w:val="clear" w:color="auto" w:fill="FFFFFF"/>
            <w:tcMar>
              <w:top w:w="80" w:type="dxa"/>
              <w:bottom w:w="80" w:type="dxa"/>
              <w:left w:w="120" w:type="dxa"/>
              <w:right w:w="120" w:type="dxa"/>
            </w:tcMar>
          </w:tcPr>
          <w:p>
            <w:r>
              <w:rPr>
                <w:rFonts w:ascii="Arial" w:hAnsi="Arial"/>
                <w:color w:val="2D3748"/>
                <w:sz w:val="20"/>
              </w:rPr>
              <w:t>Mexico</w:t>
            </w:r>
          </w:p>
        </w:tc>
        <w:tc>
          <w:tcPr>
            <w:tcW w:type="dxa" w:w="3120"/>
            <w:shd w:val="clear" w:color="auto" w:fill="FFFFFF"/>
            <w:tcMar>
              <w:top w:w="80" w:type="dxa"/>
              <w:bottom w:w="80" w:type="dxa"/>
              <w:left w:w="120" w:type="dxa"/>
              <w:right w:w="120" w:type="dxa"/>
            </w:tcMar>
          </w:tcPr>
          <w:p>
            <w:r>
              <w:rPr>
                <w:rFonts w:ascii="Arial" w:hAnsi="Arial"/>
                <w:color w:val="2D3748"/>
                <w:sz w:val="20"/>
              </w:rPr>
              <w:t>23 Sites</w:t>
            </w:r>
          </w:p>
        </w:tc>
      </w:tr>
      <w:tr>
        <w:tc>
          <w:tcPr>
            <w:tcW w:type="dxa" w:w="3120"/>
            <w:shd w:val="clear" w:color="auto" w:fill="F7FAFC"/>
            <w:tcMar>
              <w:top w:w="80" w:type="dxa"/>
              <w:bottom w:w="80" w:type="dxa"/>
              <w:left w:w="120" w:type="dxa"/>
              <w:right w:w="120" w:type="dxa"/>
            </w:tcMar>
          </w:tcPr>
          <w:p>
            <w:r>
              <w:rPr>
                <w:rFonts w:ascii="Arial" w:hAnsi="Arial"/>
                <w:color w:val="2D3748"/>
                <w:sz w:val="20"/>
              </w:rPr>
              <w:t>7</w:t>
            </w:r>
          </w:p>
        </w:tc>
        <w:tc>
          <w:tcPr>
            <w:tcW w:type="dxa" w:w="3120"/>
            <w:shd w:val="clear" w:color="auto" w:fill="F7FAFC"/>
            <w:tcMar>
              <w:top w:w="80" w:type="dxa"/>
              <w:bottom w:w="80" w:type="dxa"/>
              <w:left w:w="120" w:type="dxa"/>
              <w:right w:w="120" w:type="dxa"/>
            </w:tcMar>
          </w:tcPr>
          <w:p>
            <w:r>
              <w:rPr>
                <w:rFonts w:ascii="Arial" w:hAnsi="Arial"/>
                <w:color w:val="2D3748"/>
                <w:sz w:val="20"/>
              </w:rPr>
              <w:t>Iran (Islamic Republic of)</w:t>
            </w:r>
          </w:p>
        </w:tc>
        <w:tc>
          <w:tcPr>
            <w:tcW w:type="dxa" w:w="3120"/>
            <w:shd w:val="clear" w:color="auto" w:fill="F7FAFC"/>
            <w:tcMar>
              <w:top w:w="80" w:type="dxa"/>
              <w:bottom w:w="80" w:type="dxa"/>
              <w:left w:w="120" w:type="dxa"/>
              <w:right w:w="120" w:type="dxa"/>
            </w:tcMar>
          </w:tcPr>
          <w:p>
            <w:r>
              <w:rPr>
                <w:rFonts w:ascii="Arial" w:hAnsi="Arial"/>
                <w:color w:val="2D3748"/>
                <w:sz w:val="20"/>
              </w:rPr>
              <w:t>21 Sites</w:t>
            </w:r>
          </w:p>
        </w:tc>
      </w:tr>
      <w:tr>
        <w:tc>
          <w:tcPr>
            <w:tcW w:type="dxa" w:w="3120"/>
            <w:shd w:val="clear" w:color="auto" w:fill="FFFFFF"/>
            <w:tcMar>
              <w:top w:w="80" w:type="dxa"/>
              <w:bottom w:w="80" w:type="dxa"/>
              <w:left w:w="120" w:type="dxa"/>
              <w:right w:w="120" w:type="dxa"/>
            </w:tcMar>
          </w:tcPr>
          <w:p>
            <w:r>
              <w:rPr>
                <w:rFonts w:ascii="Arial" w:hAnsi="Arial"/>
                <w:color w:val="2D3748"/>
                <w:sz w:val="20"/>
              </w:rPr>
              <w:t>8</w:t>
            </w:r>
          </w:p>
        </w:tc>
        <w:tc>
          <w:tcPr>
            <w:tcW w:type="dxa" w:w="3120"/>
            <w:shd w:val="clear" w:color="auto" w:fill="FFFFFF"/>
            <w:tcMar>
              <w:top w:w="80" w:type="dxa"/>
              <w:bottom w:w="80" w:type="dxa"/>
              <w:left w:w="120" w:type="dxa"/>
              <w:right w:w="120" w:type="dxa"/>
            </w:tcMar>
          </w:tcPr>
          <w:p>
            <w:r>
              <w:rPr>
                <w:rFonts w:ascii="Arial" w:hAnsi="Arial"/>
                <w:color w:val="2D3748"/>
                <w:sz w:val="20"/>
              </w:rPr>
              <w:t>India</w:t>
            </w:r>
          </w:p>
        </w:tc>
        <w:tc>
          <w:tcPr>
            <w:tcW w:type="dxa" w:w="3120"/>
            <w:shd w:val="clear" w:color="auto" w:fill="FFFFFF"/>
            <w:tcMar>
              <w:top w:w="80" w:type="dxa"/>
              <w:bottom w:w="80" w:type="dxa"/>
              <w:left w:w="120" w:type="dxa"/>
              <w:right w:w="120" w:type="dxa"/>
            </w:tcMar>
          </w:tcPr>
          <w:p>
            <w:r>
              <w:rPr>
                <w:rFonts w:ascii="Arial" w:hAnsi="Arial"/>
                <w:color w:val="2D3748"/>
                <w:sz w:val="20"/>
              </w:rPr>
              <w:t>17 Sites</w:t>
            </w:r>
          </w:p>
        </w:tc>
      </w:tr>
      <w:tr>
        <w:tc>
          <w:tcPr>
            <w:tcW w:type="dxa" w:w="3120"/>
            <w:shd w:val="clear" w:color="auto" w:fill="F7FAFC"/>
            <w:tcMar>
              <w:top w:w="80" w:type="dxa"/>
              <w:bottom w:w="80" w:type="dxa"/>
              <w:left w:w="120" w:type="dxa"/>
              <w:right w:w="120" w:type="dxa"/>
            </w:tcMar>
          </w:tcPr>
          <w:p>
            <w:r>
              <w:rPr>
                <w:rFonts w:ascii="Arial" w:hAnsi="Arial"/>
                <w:color w:val="2D3748"/>
                <w:sz w:val="20"/>
              </w:rPr>
              <w:t>9</w:t>
            </w:r>
          </w:p>
        </w:tc>
        <w:tc>
          <w:tcPr>
            <w:tcW w:type="dxa" w:w="3120"/>
            <w:shd w:val="clear" w:color="auto" w:fill="F7FAFC"/>
            <w:tcMar>
              <w:top w:w="80" w:type="dxa"/>
              <w:bottom w:w="80" w:type="dxa"/>
              <w:left w:w="120" w:type="dxa"/>
              <w:right w:w="120" w:type="dxa"/>
            </w:tcMar>
          </w:tcPr>
          <w:p>
            <w:r>
              <w:rPr>
                <w:rFonts w:ascii="Arial" w:hAnsi="Arial"/>
                <w:color w:val="2D3748"/>
                <w:sz w:val="20"/>
              </w:rPr>
              <w:t>United Kingdom of Great Britain and Northern Ireland</w:t>
            </w:r>
          </w:p>
        </w:tc>
        <w:tc>
          <w:tcPr>
            <w:tcW w:type="dxa" w:w="3120"/>
            <w:shd w:val="clear" w:color="auto" w:fill="F7FAFC"/>
            <w:tcMar>
              <w:top w:w="80" w:type="dxa"/>
              <w:bottom w:w="80" w:type="dxa"/>
              <w:left w:w="120" w:type="dxa"/>
              <w:right w:w="120" w:type="dxa"/>
            </w:tcMar>
          </w:tcPr>
          <w:p>
            <w:r>
              <w:rPr>
                <w:rFonts w:ascii="Arial" w:hAnsi="Arial"/>
                <w:color w:val="2D3748"/>
                <w:sz w:val="20"/>
              </w:rPr>
              <w:t>17 Sites</w:t>
            </w:r>
          </w:p>
        </w:tc>
      </w:tr>
      <w:tr>
        <w:tc>
          <w:tcPr>
            <w:tcW w:type="dxa" w:w="3120"/>
            <w:shd w:val="clear" w:color="auto" w:fill="FFFFFF"/>
            <w:tcMar>
              <w:top w:w="80" w:type="dxa"/>
              <w:bottom w:w="80" w:type="dxa"/>
              <w:left w:w="120" w:type="dxa"/>
              <w:right w:w="120" w:type="dxa"/>
            </w:tcMar>
          </w:tcPr>
          <w:p>
            <w:r>
              <w:rPr>
                <w:rFonts w:ascii="Arial" w:hAnsi="Arial"/>
                <w:color w:val="2D3748"/>
                <w:sz w:val="20"/>
              </w:rPr>
              <w:t>10</w:t>
            </w:r>
          </w:p>
        </w:tc>
        <w:tc>
          <w:tcPr>
            <w:tcW w:type="dxa" w:w="3120"/>
            <w:shd w:val="clear" w:color="auto" w:fill="FFFFFF"/>
            <w:tcMar>
              <w:top w:w="80" w:type="dxa"/>
              <w:bottom w:w="80" w:type="dxa"/>
              <w:left w:w="120" w:type="dxa"/>
              <w:right w:w="120" w:type="dxa"/>
            </w:tcMar>
          </w:tcPr>
          <w:p>
            <w:r>
              <w:rPr>
                <w:rFonts w:ascii="Arial" w:hAnsi="Arial"/>
                <w:color w:val="2D3748"/>
                <w:sz w:val="20"/>
              </w:rPr>
              <w:t>Russian Federation</w:t>
            </w:r>
          </w:p>
        </w:tc>
        <w:tc>
          <w:tcPr>
            <w:tcW w:type="dxa" w:w="3120"/>
            <w:shd w:val="clear" w:color="auto" w:fill="FFFFFF"/>
            <w:tcMar>
              <w:top w:w="80" w:type="dxa"/>
              <w:bottom w:w="80" w:type="dxa"/>
              <w:left w:w="120" w:type="dxa"/>
              <w:right w:w="120" w:type="dxa"/>
            </w:tcMar>
          </w:tcPr>
          <w:p>
            <w:r>
              <w:rPr>
                <w:rFonts w:ascii="Arial" w:hAnsi="Arial"/>
                <w:color w:val="2D3748"/>
                <w:sz w:val="20"/>
              </w:rPr>
              <w:t>15 Sites</w:t>
            </w:r>
          </w:p>
        </w:tc>
      </w:tr>
    </w:tbl>
    <w:p>
      <w:pPr>
        <w:spacing w:after="240"/>
      </w:pPr>
    </w:p>
    <w:p>
      <w:pPr>
        <w:keepNext/>
        <w:spacing w:before="360" w:after="120"/>
      </w:pPr>
      <w:r>
        <w:rPr>
          <w:rFonts w:ascii="Arial" w:hAnsi="Arial"/>
          <w:b/>
          <w:color w:val="1A365D"/>
          <w:sz w:val="32"/>
        </w:rPr>
        <w:t>5. Newly Recovered High-Confidence Showcase Sites</w:t>
      </w:r>
    </w:p>
    <w:p>
      <w:pPr>
        <w:keepNext/>
        <w:spacing w:before="160" w:after="40"/>
      </w:pPr>
      <w:r>
        <w:rPr>
          <w:rFonts w:ascii="Arial" w:hAnsi="Arial"/>
          <w:b/>
          <w:color w:val="1A365D"/>
        </w:rPr>
        <w:t xml:space="preserve">• Buddhist Monuments at Sanchi (India) — </w:t>
      </w:r>
      <w:r>
        <w:rPr>
          <w:rFonts w:ascii="Arial" w:hAnsi="Arial"/>
          <w:b/>
          <w:color w:val="2F855A"/>
        </w:rPr>
        <w:t>Score 18 (HIGH)</w:t>
        <w:br/>
      </w:r>
      <w:r>
        <w:rPr>
          <w:rFonts w:ascii="Arial" w:hAnsi="Arial"/>
          <w:color w:val="4A5568"/>
          <w:sz w:val="20"/>
        </w:rPr>
        <w:t>Features monolithic Pillars of Asoka, stone balustrades, and structural gateways carved from locally quarried Chunarian sandstone.</w:t>
      </w:r>
    </w:p>
    <w:p>
      <w:pPr>
        <w:keepNext/>
        <w:spacing w:before="160" w:after="40"/>
      </w:pPr>
      <w:r>
        <w:rPr>
          <w:rFonts w:ascii="Arial" w:hAnsi="Arial"/>
          <w:b/>
          <w:color w:val="1A365D"/>
        </w:rPr>
        <w:t xml:space="preserve">• Rock-Hewn Churches, Lalibela (Ethiopia) — </w:t>
      </w:r>
      <w:r>
        <w:rPr>
          <w:rFonts w:ascii="Arial" w:hAnsi="Arial"/>
          <w:b/>
          <w:color w:val="2F855A"/>
        </w:rPr>
        <w:t>Score 16 (HIGH)</w:t>
        <w:br/>
      </w:r>
      <w:r>
        <w:rPr>
          <w:rFonts w:ascii="Arial" w:hAnsi="Arial"/>
          <w:color w:val="4A5568"/>
          <w:sz w:val="20"/>
        </w:rPr>
        <w:t>Consists of 11 medieval monolithic cave churches carved directly out of solid volcanic tuff rock.</w:t>
      </w:r>
    </w:p>
    <w:p>
      <w:pPr>
        <w:keepNext/>
        <w:spacing w:before="160" w:after="40"/>
      </w:pPr>
      <w:r>
        <w:rPr>
          <w:rFonts w:ascii="Arial" w:hAnsi="Arial"/>
          <w:b/>
          <w:color w:val="1A365D"/>
        </w:rPr>
        <w:t xml:space="preserve">• The Cathedral of St James in Šibenik (Croatia) — </w:t>
      </w:r>
      <w:r>
        <w:rPr>
          <w:rFonts w:ascii="Arial" w:hAnsi="Arial"/>
          <w:b/>
          <w:color w:val="2F855A"/>
        </w:rPr>
        <w:t>Score 18 (HIGH)</w:t>
        <w:br/>
      </w:r>
      <w:r>
        <w:rPr>
          <w:rFonts w:ascii="Arial" w:hAnsi="Arial"/>
          <w:color w:val="4A5568"/>
          <w:sz w:val="20"/>
        </w:rPr>
        <w:t>Constructed entirely of stone (limestone and marble from local quarries) without any mortar or wood binders.</w:t>
      </w:r>
    </w:p>
    <w:p>
      <w:pPr>
        <w:keepNext/>
        <w:spacing w:before="160" w:after="40"/>
      </w:pPr>
      <w:r>
        <w:rPr>
          <w:rFonts w:ascii="Arial" w:hAnsi="Arial"/>
          <w:b/>
          <w:color w:val="1A365D"/>
        </w:rPr>
        <w:t xml:space="preserve">• Pontcysyllte Aqueduct and Canal (United Kingdom) — </w:t>
      </w:r>
      <w:r>
        <w:rPr>
          <w:rFonts w:ascii="Arial" w:hAnsi="Arial"/>
          <w:b/>
          <w:color w:val="2F855A"/>
        </w:rPr>
        <w:t>Score 18 (HIGH)</w:t>
        <w:br/>
      </w:r>
      <w:r>
        <w:rPr>
          <w:rFonts w:ascii="Arial" w:hAnsi="Arial"/>
          <w:color w:val="4A5568"/>
          <w:sz w:val="20"/>
        </w:rPr>
        <w:t>Iconic industrial structure built with high-quality ashlar masonry piers and rubble-filled cast iron canal supports.</w:t>
      </w:r>
    </w:p>
    <w:p>
      <w:pPr>
        <w:spacing w:before="360"/>
      </w:pPr>
      <w:r>
        <w:rPr>
          <w:rFonts w:ascii="Arial" w:hAnsi="Arial"/>
          <w:b/>
        </w:rPr>
        <w:t>Output Datasets:</w:t>
        <w:br/>
      </w:r>
      <w:r>
        <w:rPr>
          <w:rFonts w:ascii="Arial" w:hAnsi="Arial"/>
          <w:color w:val="4A5568"/>
          <w:sz w:val="19"/>
        </w:rPr>
        <w:t>• Complete Rescan Database: re-scan/rescanned_no_stone_sites.csv</w:t>
        <w:br/>
        <w:t>• Built Monuments Database: re-scan/rescanned_built_geological_monuments.csv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