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87072558adb6e8fb2347467e5885c8ecf518f78"/>
      <w:r>
        <w:t xml:space="preserve">CyberAbeer Ecosystem — Design System (Phase 4)</w:t>
      </w:r>
      <w:bookmarkEnd w:id="20"/>
    </w:p>
    <w:p>
      <w:pPr>
        <w:pStyle w:val="FirstParagraph"/>
      </w:pPr>
      <w:r>
        <w:rPr>
          <w:b/>
        </w:rPr>
        <w:t xml:space="preserve">Scope:</w:t>
      </w:r>
      <w:r>
        <w:t xml:space="preserve"> </w:t>
      </w:r>
      <w:r>
        <w:t xml:space="preserve">reusable design tokens and a production component library shared by three brand surfaces — CyberAbeer, GreenTrust AI, and CyberAbeer Labs. This phase delivers the library only; no application pages are built on top of it yet.</w:t>
      </w:r>
    </w:p>
    <w:p>
      <w:r>
        <w:pict>
          <v:rect style="width:0;height:1.5pt" o:hralign="center" o:hrstd="t" o:hr="t"/>
        </w:pict>
      </w:r>
    </w:p>
    <w:p>
      <w:pPr>
        <w:pStyle w:val="Heading2"/>
      </w:pPr>
      <w:bookmarkStart w:id="21" w:name="design-principles"/>
      <w:r>
        <w:t xml:space="preserve">1. Design Principles</w:t>
      </w:r>
      <w:bookmarkEnd w:id="21"/>
    </w:p>
    <w:p>
      <w:pPr>
        <w:pStyle w:val="FirstParagraph"/>
      </w:pPr>
      <w:r>
        <w:t xml:space="preserve">One token pipeline, three brand surfaces. Every component reads CSS custom properties — never a hardcoded color, radius, or font — so switching brand and color-scheme is two DOM attributes, not a rebuild:</w:t>
      </w:r>
    </w:p>
    <w:p>
      <w:pPr>
        <w:pStyle w:val="SourceCode"/>
      </w:pPr>
      <w:r>
        <w:rPr>
          <w:rStyle w:val="VerbatimChar"/>
        </w:rPr>
        <w:t xml:space="preserve">&lt;html data-brand="greentrust" class="dark" dir="rtl" lang="ar"&gt;</w:t>
      </w:r>
    </w:p>
    <w:p>
      <w:pPr>
        <w:pStyle w:val="FirstParagraph"/>
      </w:pPr>
      <w:r>
        <w:t xml:space="preserve">Each brand keeps a distinct personality without becoming a different design system:</w:t>
      </w:r>
    </w:p>
    <w:p>
      <w:pPr>
        <w:pStyle w:val="BodyText"/>
      </w:pPr>
      <w:r>
        <w:t xml:space="preserve">CyberAbeer is the authority and education brand — approachable, warm-neutral, teal-and-gold. GreenTrust AI is the enterprise governance brand — cooler, higher-contrast, more restrained motion, forest-green-and-navy. CyberAbeer Labs is the gamified learning brand — energy comes from the violet accent and dedicated XP/streak tokens, never from cartoonish shapes or saturated primary surfaces, keeping it</w:t>
      </w:r>
      <w:r>
        <w:t xml:space="preserve"> </w:t>
      </w:r>
      <w:r>
        <w:t xml:space="preserve">“</w:t>
      </w:r>
      <w:r>
        <w:t xml:space="preserve">professional rather than childish</w:t>
      </w:r>
      <w:r>
        <w:t xml:space="preserve">”</w:t>
      </w:r>
      <w:r>
        <w:t xml:space="preserve"> </w:t>
      </w:r>
      <w:r>
        <w:t xml:space="preserve">as specified.</w:t>
      </w:r>
    </w:p>
    <w:p>
      <w:pPr>
        <w:pStyle w:val="BodyText"/>
      </w:pPr>
      <w:r>
        <w:t xml:space="preserve">Brand and color-scheme are fully independent variables. Any brand can be viewed in light or dark mode; the two never need to be special-cased together.</w:t>
      </w:r>
    </w:p>
    <w:p>
      <w:r>
        <w:pict>
          <v:rect style="width:0;height:1.5pt" o:hralign="center" o:hrstd="t" o:hr="t"/>
        </w:pict>
      </w:r>
    </w:p>
    <w:p>
      <w:pPr>
        <w:pStyle w:val="Heading2"/>
      </w:pPr>
      <w:bookmarkStart w:id="22" w:name="color-system"/>
      <w:r>
        <w:t xml:space="preserve">2. Color System</w:t>
      </w:r>
      <w:bookmarkEnd w:id="22"/>
    </w:p>
    <w:p>
      <w:pPr>
        <w:pStyle w:val="Heading3"/>
      </w:pPr>
      <w:bookmarkStart w:id="23" w:name="layering-model"/>
      <w:r>
        <w:t xml:space="preserve">2.1 Layering model</w:t>
      </w:r>
      <w:bookmarkEnd w:id="23"/>
    </w:p>
    <w:p>
      <w:pPr>
        <w:pStyle w:val="FirstParagraph"/>
      </w:pPr>
      <w:r>
        <w:t xml:space="preserve">Three CSS layers stack in order of specificity:</w:t>
      </w:r>
      <w:r>
        <w:t xml:space="preserve"> </w:t>
      </w:r>
      <w:r>
        <w:rPr>
          <w:rStyle w:val="VerbatimChar"/>
        </w:rPr>
        <w:t xml:space="preserve">:root</w:t>
      </w:r>
      <w:r>
        <w:t xml:space="preserve"> </w:t>
      </w:r>
      <w:r>
        <w:t xml:space="preserve">sets shared primitives (the neutral scale, status colors, spacing, shadows) plus the CyberAbeer theme as the default brand;</w:t>
      </w:r>
      <w:r>
        <w:t xml:space="preserve"> </w:t>
      </w:r>
      <w:r>
        <w:rPr>
          <w:rStyle w:val="VerbatimChar"/>
        </w:rPr>
        <w:t xml:space="preserve">[data-brand="greentrust"]</w:t>
      </w:r>
      <w:r>
        <w:t xml:space="preserve"> </w:t>
      </w:r>
      <w:r>
        <w:t xml:space="preserve">and</w:t>
      </w:r>
      <w:r>
        <w:t xml:space="preserve"> </w:t>
      </w:r>
      <w:r>
        <w:rPr>
          <w:rStyle w:val="VerbatimChar"/>
        </w:rPr>
        <w:t xml:space="preserve">[data-brand="labs"]</w:t>
      </w:r>
      <w:r>
        <w:t xml:space="preserve"> </w:t>
      </w:r>
      <w:r>
        <w:t xml:space="preserve">override semantic tokens only — never primitives — so a brand switch cannot accidentally break the neutral scale;</w:t>
      </w:r>
      <w:r>
        <w:t xml:space="preserve"> </w:t>
      </w:r>
      <w:r>
        <w:rPr>
          <w:rStyle w:val="VerbatimChar"/>
        </w:rPr>
        <w:t xml:space="preserve">.dark</w:t>
      </w:r>
      <w:r>
        <w:t xml:space="preserve"> </w:t>
      </w:r>
      <w:r>
        <w:t xml:space="preserve">overrides again on top of whichever brand is active, re-tuning surface, text, and shadow tokens for dark backgrounds and nudging each brand’s primary color one step lighter to hold AA contrast.</w:t>
      </w:r>
    </w:p>
    <w:p>
      <w:pPr>
        <w:pStyle w:val="Heading3"/>
      </w:pPr>
      <w:bookmarkStart w:id="24" w:name="neutral-scale-shared"/>
      <w:r>
        <w:t xml:space="preserve">2.2 Neutral scale (shared)</w:t>
      </w:r>
      <w:bookmarkEnd w:id="24"/>
    </w:p>
    <w:p>
      <w:pPr>
        <w:pStyle w:val="FirstParagraph"/>
      </w:pPr>
      <w:r>
        <w:t xml:space="preserve">A twelve-step neutral scale runs from neutral-0 (#ffffff) through neutral-50 (#f7f8f9), neutral-100 (#eef0f2), neutral-200 (#dde1e6), neutral-300 (#c2c9d1), neutral-400 (#98a2ae), neutral-500 (#71808f), neutral-600 (#566573), neutral-700 (#3f4b57), neutral-800 (#2a323b), neutral-900 (#1a2027), down to neutral-950 (#0f1317). All three brands share this exact scale for surfaces, borders, and text.</w:t>
      </w:r>
    </w:p>
    <w:p>
      <w:pPr>
        <w:pStyle w:val="Heading3"/>
      </w:pPr>
      <w:bookmarkStart w:id="25" w:name="X4f8512d0151a16a5cffbc0c9bf39ca72900dd87"/>
      <w:r>
        <w:t xml:space="preserve">2.3 Status colors (shared meaning across brands)</w:t>
      </w:r>
      <w:bookmarkEnd w:id="25"/>
    </w:p>
    <w:p>
      <w:pPr>
        <w:pStyle w:val="FirstParagraph"/>
      </w:pPr>
      <w:r>
        <w:t xml:space="preserve">Four status colors carry the same meaning across all three brands, each with a light-tint (50), a base (500), and a hover/active (600) step: success is #eafaf1 / #1f9d55 / #17803f, warning is #fff8e6 / #d99a1b / #b17c0f, danger is #fdecec / #d63c3c / #b32b2b, and info is #eaf3fb / #2673c9 / #1c5aa0.</w:t>
      </w:r>
    </w:p>
    <w:p>
      <w:pPr>
        <w:pStyle w:val="BodyText"/>
      </w:pPr>
      <w:r>
        <w:t xml:space="preserve">Risk levels (used across GreenTrust and Quantum) map onto this same scale: low → success-500, medium → warning-500, high → danger-500, and critical uses a dedicated</w:t>
      </w:r>
      <w:r>
        <w:t xml:space="preserve"> </w:t>
      </w:r>
      <w:r>
        <w:rPr>
          <w:rStyle w:val="VerbatimChar"/>
        </w:rPr>
        <w:t xml:space="preserve">#8f1d3a</w:t>
      </w:r>
      <w:r>
        <w:t xml:space="preserve"> </w:t>
      </w:r>
      <w:r>
        <w:t xml:space="preserve">one step darker than danger so it reads as visually distinct rather than</w:t>
      </w:r>
      <w:r>
        <w:t xml:space="preserve"> </w:t>
      </w:r>
      <w:r>
        <w:t xml:space="preserve">“</w:t>
      </w:r>
      <w:r>
        <w:t xml:space="preserve">extra red.</w:t>
      </w:r>
      <w:r>
        <w:t xml:space="preserve">”</w:t>
      </w:r>
    </w:p>
    <w:p>
      <w:pPr>
        <w:pStyle w:val="Heading3"/>
      </w:pPr>
      <w:bookmarkStart w:id="26" w:name="brand-palettes"/>
      <w:r>
        <w:t xml:space="preserve">2.4 Brand palettes</w:t>
      </w:r>
      <w:bookmarkEnd w:id="26"/>
    </w:p>
    <w:p>
      <w:pPr>
        <w:pStyle w:val="FirstParagraph"/>
      </w:pPr>
      <w:r>
        <w:rPr>
          <w:b/>
        </w:rPr>
        <w:t xml:space="preserve">CyberAbeer (default)</w:t>
      </w:r>
      <w:r>
        <w:t xml:space="preserve"> </w:t>
      </w:r>
      <w:r>
        <w:t xml:space="preserve">— primary #0f4c5c (deep teal), hover #0c3d49, active #0a323c; accent #c9a227 (gold). Control corner radius: 0.5rem. Card radius: 0.75rem.</w:t>
      </w:r>
    </w:p>
    <w:p>
      <w:pPr>
        <w:pStyle w:val="BodyText"/>
      </w:pPr>
      <w:r>
        <w:rPr>
          <w:b/>
        </w:rPr>
        <w:t xml:space="preserve">GreenTrust AI</w:t>
      </w:r>
      <w:r>
        <w:t xml:space="preserve"> </w:t>
      </w:r>
      <w:r>
        <w:t xml:space="preserve">— primary #1f6e43 (forest green), hover #175934, active #124529; accent #16324f (navy). Control corner radius: 0.375rem — slightly sharper than CyberAbeer, reinforcing the</w:t>
      </w:r>
      <w:r>
        <w:t xml:space="preserve"> </w:t>
      </w:r>
      <w:r>
        <w:t xml:space="preserve">“</w:t>
      </w:r>
      <w:r>
        <w:t xml:space="preserve">premium/serious</w:t>
      </w:r>
      <w:r>
        <w:t xml:space="preserve">”</w:t>
      </w:r>
      <w:r>
        <w:t xml:space="preserve"> </w:t>
      </w:r>
      <w:r>
        <w:t xml:space="preserve">register. Card radius: 0.625rem.</w:t>
      </w:r>
    </w:p>
    <w:p>
      <w:pPr>
        <w:pStyle w:val="BodyText"/>
      </w:pPr>
      <w:r>
        <w:rPr>
          <w:b/>
        </w:rPr>
        <w:t xml:space="preserve">CyberAbeer Labs</w:t>
      </w:r>
      <w:r>
        <w:t xml:space="preserve"> </w:t>
      </w:r>
      <w:r>
        <w:t xml:space="preserve">— primary #0891a8 (cyan-teal), hover #076f82, active #075866; accent #7c3aed (violet). Two gamification-only tokens exist solely for XP and streak components and are never used for primary UI chrome:</w:t>
      </w:r>
      <w:r>
        <w:t xml:space="preserve"> </w:t>
      </w:r>
      <w:r>
        <w:rPr>
          <w:rStyle w:val="VerbatimChar"/>
        </w:rPr>
        <w:t xml:space="preserve">--color-xp: #d99a1b</w:t>
      </w:r>
      <w:r>
        <w:t xml:space="preserve"> </w:t>
      </w:r>
      <w:r>
        <w:t xml:space="preserve">and</w:t>
      </w:r>
      <w:r>
        <w:t xml:space="preserve"> </w:t>
      </w:r>
      <w:r>
        <w:rPr>
          <w:rStyle w:val="VerbatimChar"/>
        </w:rPr>
        <w:t xml:space="preserve">--color-streak: #ef6820</w:t>
      </w:r>
      <w:r>
        <w:t xml:space="preserve">. Control corner radius: 0.625rem, card radius: 1rem — friendlier, but still restrained compared to a typical consumer gamified app.</w:t>
      </w:r>
    </w:p>
    <w:p>
      <w:pPr>
        <w:pStyle w:val="Heading3"/>
      </w:pPr>
      <w:bookmarkStart w:id="27" w:name="dark-mode"/>
      <w:r>
        <w:t xml:space="preserve">2.5 Dark mode</w:t>
      </w:r>
      <w:bookmarkEnd w:id="27"/>
    </w:p>
    <w:p>
      <w:pPr>
        <w:pStyle w:val="FirstParagraph"/>
      </w:pPr>
      <w:r>
        <w:t xml:space="preserve">Dark mode overrides only semantic surface and text tokens, never brand hues directly: background moves to neutral-950, raised surfaces to neutral-800/900, border to neutral-700, primary text to neutral-50. Each brand’s primary color is swapped to its lighter</w:t>
      </w:r>
      <w:r>
        <w:t xml:space="preserve"> </w:t>
      </w:r>
      <w:r>
        <w:rPr>
          <w:rStyle w:val="VerbatimChar"/>
        </w:rPr>
        <w:t xml:space="preserve">-300</w:t>
      </w:r>
      <w:r>
        <w:t xml:space="preserve"> </w:t>
      </w:r>
      <w:r>
        <w:t xml:space="preserve">step in dark mode (e.g. CyberAbeer’s primary becomes</w:t>
      </w:r>
      <w:r>
        <w:t xml:space="preserve"> </w:t>
      </w:r>
      <w:r>
        <w:rPr>
          <w:rStyle w:val="VerbatimChar"/>
        </w:rPr>
        <w:t xml:space="preserve">#6ea3ab</w:t>
      </w:r>
      <w:r>
        <w:t xml:space="preserve"> </w:t>
      </w:r>
      <w:r>
        <w:t xml:space="preserve">instead of</w:t>
      </w:r>
      <w:r>
        <w:t xml:space="preserve"> </w:t>
      </w:r>
      <w:r>
        <w:rPr>
          <w:rStyle w:val="VerbatimChar"/>
        </w:rPr>
        <w:t xml:space="preserve">#0f4c5c</w:t>
      </w:r>
      <w:r>
        <w:t xml:space="preserve">) to hold WCAG AA contrast against dark backgrounds;</w:t>
      </w:r>
      <w:r>
        <w:t xml:space="preserve"> </w:t>
      </w:r>
      <w:r>
        <w:rPr>
          <w:rStyle w:val="VerbatimChar"/>
        </w:rPr>
        <w:t xml:space="preserve">--color-text-on-primary</w:t>
      </w:r>
      <w:r>
        <w:t xml:space="preserve"> </w:t>
      </w:r>
      <w:r>
        <w:t xml:space="preserve">flips to near-black so text on a now-light-teal button stays legible. Status-color</w:t>
      </w:r>
      <w:r>
        <w:t xml:space="preserve"> </w:t>
      </w:r>
      <w:r>
        <w:t xml:space="preserve">“</w:t>
      </w:r>
      <w:r>
        <w:t xml:space="preserve">50</w:t>
      </w:r>
      <w:r>
        <w:t xml:space="preserve">”</w:t>
      </w:r>
      <w:r>
        <w:t xml:space="preserve"> </w:t>
      </w:r>
      <w:r>
        <w:t xml:space="preserve">tints become low-opacity overlays instead of near-white fills so success/warning/danger backgrounds don’t glow against a dark UI.</w:t>
      </w:r>
    </w:p>
    <w:p>
      <w:r>
        <w:pict>
          <v:rect style="width:0;height:1.5pt" o:hralign="center" o:hrstd="t" o:hr="t"/>
        </w:pict>
      </w:r>
    </w:p>
    <w:p>
      <w:pPr>
        <w:pStyle w:val="Heading2"/>
      </w:pPr>
      <w:bookmarkStart w:id="28" w:name="typography"/>
      <w:r>
        <w:t xml:space="preserve">3. Typography</w:t>
      </w:r>
      <w:bookmarkEnd w:id="28"/>
    </w:p>
    <w:p>
      <w:pPr>
        <w:pStyle w:val="Heading3"/>
      </w:pPr>
      <w:bookmarkStart w:id="29" w:name="font-families"/>
      <w:r>
        <w:t xml:space="preserve">3.1 Font families</w:t>
      </w:r>
      <w:bookmarkEnd w:id="29"/>
    </w:p>
    <w:p>
      <w:pPr>
        <w:pStyle w:val="FirstParagraph"/>
      </w:pPr>
      <w:r>
        <w:t xml:space="preserve">Body text uses Inter (Latin) and Tajawal (Arabic, self-hosted via</w:t>
      </w:r>
      <w:r>
        <w:t xml:space="preserve"> </w:t>
      </w:r>
      <w:r>
        <w:rPr>
          <w:rStyle w:val="VerbatimChar"/>
        </w:rPr>
        <w:t xml:space="preserve">@font-face</w:t>
      </w:r>
      <w:r>
        <w:t xml:space="preserve"> </w:t>
      </w:r>
      <w:r>
        <w:t xml:space="preserve">since it isn’t reliably available through next/font’s built-in Google list). Display text uses Inter for CyberAbeer and GreenTrust, Space Grotesk for Labs only, and Cairo for Arabic display across all three brands. Monospace text (code, IDs) uses JetBrains Mono, Latin only.</w:t>
      </w:r>
    </w:p>
    <w:p>
      <w:pPr>
        <w:pStyle w:val="BodyText"/>
      </w:pPr>
      <w:r>
        <w:t xml:space="preserve">Labs is the only brand with a distinct display typeface — Space Grotesk’s slightly more geometric character gives it energy without touching color saturation. CyberAbeer and GreenTrust both use Inter for display text; their differentiation comes from color and radius, not typography, keeping the</w:t>
      </w:r>
      <w:r>
        <w:t xml:space="preserve"> </w:t>
      </w:r>
      <w:r>
        <w:t xml:space="preserve">“</w:t>
      </w:r>
      <w:r>
        <w:t xml:space="preserve">one ecosystem</w:t>
      </w:r>
      <w:r>
        <w:t xml:space="preserve">”</w:t>
      </w:r>
      <w:r>
        <w:t xml:space="preserve"> </w:t>
      </w:r>
      <w:r>
        <w:t xml:space="preserve">feeling intact.</w:t>
      </w:r>
    </w:p>
    <w:p>
      <w:pPr>
        <w:pStyle w:val="Heading3"/>
      </w:pPr>
      <w:bookmarkStart w:id="30" w:name="type-scale"/>
      <w:r>
        <w:t xml:space="preserve">3.2 Type scale</w:t>
      </w:r>
      <w:bookmarkEnd w:id="30"/>
    </w:p>
    <w:p>
      <w:pPr>
        <w:pStyle w:val="FirstParagraph"/>
      </w:pPr>
      <w:r>
        <w:t xml:space="preserve">Nine steps run from xs (0.75rem, 1.5 line-height) through sm (0.875rem, 1.5), base (1rem, 1.6), lg (1.125rem, 1.55), xl (1.25rem, 1.5), 2xl (1.5rem, 1.4), 3xl (1.875rem, 1.3), 4xl (2.25rem, 1.2), up to 5xl (3rem, 1.1). Line-heights are unitless so they scale proportionally with font-size, and tighten slightly at larger sizes the way display type conventionally does.</w:t>
      </w:r>
    </w:p>
    <w:p>
      <w:pPr>
        <w:pStyle w:val="Heading3"/>
      </w:pPr>
      <w:bookmarkStart w:id="31" w:name="arabic-typography-rules"/>
      <w:r>
        <w:t xml:space="preserve">3.3 Arabic typography rules</w:t>
      </w:r>
      <w:bookmarkEnd w:id="31"/>
    </w:p>
    <w:p>
      <w:pPr>
        <w:pStyle w:val="FirstParagraph"/>
      </w:pPr>
      <w:r>
        <w:t xml:space="preserve">Arabic script gets zero negative letter-spacing — Latin headings use a tight</w:t>
      </w:r>
      <w:r>
        <w:t xml:space="preserve"> </w:t>
      </w:r>
      <w:r>
        <w:rPr>
          <w:rStyle w:val="VerbatimChar"/>
        </w:rPr>
        <w:t xml:space="preserve">-0.01em</w:t>
      </w:r>
      <w:r>
        <w:t xml:space="preserve"> </w:t>
      </w:r>
      <w:r>
        <w:t xml:space="preserve">tracking, but negative tracking breaks Arabic letter-joining, so</w:t>
      </w:r>
      <w:r>
        <w:t xml:space="preserve"> </w:t>
      </w:r>
      <w:r>
        <w:rPr>
          <w:rStyle w:val="VerbatimChar"/>
        </w:rPr>
        <w:t xml:space="preserve">[lang="ar"]</w:t>
      </w:r>
      <w:r>
        <w:t xml:space="preserve"> </w:t>
      </w:r>
      <w:r>
        <w:t xml:space="preserve">always resets tracking to</w:t>
      </w:r>
      <w:r>
        <w:t xml:space="preserve"> </w:t>
      </w:r>
      <w:r>
        <w:rPr>
          <w:rStyle w:val="VerbatimChar"/>
        </w:rPr>
        <w:t xml:space="preserve">0em</w:t>
      </w:r>
      <w:r>
        <w:t xml:space="preserve">. Arabic also needs more breathing room vertically: an</w:t>
      </w:r>
      <w:r>
        <w:t xml:space="preserve"> </w:t>
      </w:r>
      <w:r>
        <w:rPr>
          <w:rStyle w:val="VerbatimChar"/>
        </w:rPr>
        <w:t xml:space="preserve">--arabic-leading-boost</w:t>
      </w:r>
      <w:r>
        <w:t xml:space="preserve"> </w:t>
      </w:r>
      <w:r>
        <w:t xml:space="preserve">multiplier (1.15×) is applied to line-height under</w:t>
      </w:r>
      <w:r>
        <w:t xml:space="preserve"> </w:t>
      </w:r>
      <w:r>
        <w:rPr>
          <w:rStyle w:val="VerbatimChar"/>
        </w:rPr>
        <w:t xml:space="preserve">[lang="ar"]</w:t>
      </w:r>
      <w:r>
        <w:t xml:space="preserve"> </w:t>
      </w:r>
      <w:r>
        <w:t xml:space="preserve">so Tajawal and Cairo — both taller-in-x-height scripts than Inter — don’t feel cramped. Font family switches automatically by attribute:</w:t>
      </w:r>
      <w:r>
        <w:t xml:space="preserve"> </w:t>
      </w:r>
      <w:r>
        <w:rPr>
          <w:rStyle w:val="VerbatimChar"/>
        </w:rPr>
        <w:t xml:space="preserve">[lang="ar"] { font-family: var(--font-arabic-body); }</w:t>
      </w:r>
      <w:r>
        <w:t xml:space="preserve"> </w:t>
      </w:r>
      <w:r>
        <w:t xml:space="preserve">and</w:t>
      </w:r>
      <w:r>
        <w:t xml:space="preserve"> </w:t>
      </w:r>
      <w:r>
        <w:rPr>
          <w:rStyle w:val="VerbatimChar"/>
        </w:rPr>
        <w:t xml:space="preserve">[lang="ar"] .font-display { font-family: var(--font-arabic-display); }</w:t>
      </w:r>
      <w:r>
        <w:t xml:space="preserve">, so no component needs to know which language it’s rendering — it inherits the right font from the</w:t>
      </w:r>
      <w:r>
        <w:t xml:space="preserve"> </w:t>
      </w:r>
      <w:r>
        <w:rPr>
          <w:rStyle w:val="VerbatimChar"/>
        </w:rPr>
        <w:t xml:space="preserve">lang</w:t>
      </w:r>
      <w:r>
        <w:t xml:space="preserve"> </w:t>
      </w:r>
      <w:r>
        <w:t xml:space="preserve">attribute on</w:t>
      </w:r>
      <w:r>
        <w:t xml:space="preserve"> </w:t>
      </w:r>
      <w:r>
        <w:rPr>
          <w:rStyle w:val="VerbatimChar"/>
        </w:rPr>
        <w:t xml:space="preserve">&lt;html&gt;</w:t>
      </w:r>
      <w:r>
        <w:t xml:space="preserve">.</w:t>
      </w:r>
    </w:p>
    <w:p>
      <w:r>
        <w:pict>
          <v:rect style="width:0;height:1.5pt" o:hralign="center" o:hrstd="t" o:hr="t"/>
        </w:pict>
      </w:r>
    </w:p>
    <w:p>
      <w:pPr>
        <w:pStyle w:val="Heading2"/>
      </w:pPr>
      <w:bookmarkStart w:id="32" w:name="spacing-grid-and-breakpoints"/>
      <w:r>
        <w:t xml:space="preserve">4. Spacing, Grid, and Breakpoints</w:t>
      </w:r>
      <w:bookmarkEnd w:id="32"/>
    </w:p>
    <w:p>
      <w:pPr>
        <w:pStyle w:val="Heading3"/>
      </w:pPr>
      <w:bookmarkStart w:id="33" w:name="spacing-scale"/>
      <w:r>
        <w:t xml:space="preserve">4.1 Spacing scale</w:t>
      </w:r>
      <w:bookmarkEnd w:id="33"/>
    </w:p>
    <w:p>
      <w:pPr>
        <w:pStyle w:val="FirstParagraph"/>
      </w:pPr>
      <w:r>
        <w:t xml:space="preserve">4px base unit: 0, 4, 8, 12, 16, 20, 24, 32, 40, 48, 64, 80, 96, 128px (tokens</w:t>
      </w:r>
      <w:r>
        <w:t xml:space="preserve"> </w:t>
      </w:r>
      <w:r>
        <w:rPr>
          <w:rStyle w:val="VerbatimChar"/>
        </w:rPr>
        <w:t xml:space="preserve">--space-0</w:t>
      </w:r>
      <w:r>
        <w:t xml:space="preserve"> </w:t>
      </w:r>
      <w:r>
        <w:t xml:space="preserve">through</w:t>
      </w:r>
      <w:r>
        <w:t xml:space="preserve"> </w:t>
      </w:r>
      <w:r>
        <w:rPr>
          <w:rStyle w:val="VerbatimChar"/>
        </w:rPr>
        <w:t xml:space="preserve">--space-32</w:t>
      </w:r>
      <w:r>
        <w:t xml:space="preserve">). Components exclusively use these tokens (via Tailwind’s spacing scale, which maps 1:1) rather than arbitrary pixel values, so density is consistent across all three brands.</w:t>
      </w:r>
    </w:p>
    <w:p>
      <w:pPr>
        <w:pStyle w:val="Heading3"/>
      </w:pPr>
      <w:bookmarkStart w:id="34" w:name="breakpoints"/>
      <w:r>
        <w:t xml:space="preserve">4.2 Breakpoints</w:t>
      </w:r>
      <w:bookmarkEnd w:id="34"/>
    </w:p>
    <w:p>
      <w:pPr>
        <w:pStyle w:val="FirstParagraph"/>
      </w:pPr>
      <w:r>
        <w:t xml:space="preserve">Four breakpoints, mobile-first: mobile at 0px (default, no prefix), tablet at 640px (</w:t>
      </w:r>
      <w:r>
        <w:rPr>
          <w:rStyle w:val="VerbatimChar"/>
        </w:rPr>
        <w:t xml:space="preserve">tablet:</w:t>
      </w:r>
      <w:r>
        <w:t xml:space="preserve"> </w:t>
      </w:r>
      <w:r>
        <w:t xml:space="preserve">prefix), desktop at 1024px (</w:t>
      </w:r>
      <w:r>
        <w:rPr>
          <w:rStyle w:val="VerbatimChar"/>
        </w:rPr>
        <w:t xml:space="preserve">desktop:</w:t>
      </w:r>
      <w:r>
        <w:t xml:space="preserve"> </w:t>
      </w:r>
      <w:r>
        <w:t xml:space="preserve">prefix), and wide at 1536px (</w:t>
      </w:r>
      <w:r>
        <w:rPr>
          <w:rStyle w:val="VerbatimChar"/>
        </w:rPr>
        <w:t xml:space="preserve">wide:</w:t>
      </w:r>
      <w:r>
        <w:t xml:space="preserve"> </w:t>
      </w:r>
      <w:r>
        <w:t xml:space="preserve">prefix), the last one reserved for GreenTrust executive dashboards with dense multi-column layouts.</w:t>
      </w:r>
    </w:p>
    <w:p>
      <w:pPr>
        <w:pStyle w:val="BodyText"/>
      </w:pPr>
      <w:r>
        <w:t xml:space="preserve">These are defined once in</w:t>
      </w:r>
      <w:r>
        <w:t xml:space="preserve"> </w:t>
      </w:r>
      <w:r>
        <w:rPr>
          <w:rStyle w:val="VerbatimChar"/>
        </w:rPr>
        <w:t xml:space="preserve">tailwind.config.ts</w:t>
      </w:r>
      <w:r>
        <w:t xml:space="preserve"> </w:t>
      </w:r>
      <w:r>
        <w:t xml:space="preserve">and mirrored as</w:t>
      </w:r>
      <w:r>
        <w:t xml:space="preserve"> </w:t>
      </w:r>
      <w:r>
        <w:rPr>
          <w:rStyle w:val="VerbatimChar"/>
        </w:rPr>
        <w:t xml:space="preserve">--bp-*</w:t>
      </w:r>
      <w:r>
        <w:t xml:space="preserve"> </w:t>
      </w:r>
      <w:r>
        <w:t xml:space="preserve">CSS variables for any plain-CSS media query that needs to match Tailwind’s breakpoints without a build step.</w:t>
      </w:r>
    </w:p>
    <w:p>
      <w:pPr>
        <w:pStyle w:val="Heading3"/>
      </w:pPr>
      <w:bookmarkStart w:id="35" w:name="radii-elevation-motion-z-index"/>
      <w:r>
        <w:t xml:space="preserve">4.3 Radii, elevation, motion, z-index</w:t>
      </w:r>
      <w:bookmarkEnd w:id="35"/>
    </w:p>
    <w:p>
      <w:pPr>
        <w:pStyle w:val="FirstParagraph"/>
      </w:pPr>
      <w:r>
        <w:t xml:space="preserve">Radius, shadow, motion-duration/easing, and z-index all follow the same</w:t>
      </w:r>
      <w:r>
        <w:t xml:space="preserve"> </w:t>
      </w:r>
      <w:r>
        <w:t xml:space="preserve">“</w:t>
      </w:r>
      <w:r>
        <w:t xml:space="preserve">shared scale, brand overrides one value</w:t>
      </w:r>
      <w:r>
        <w:t xml:space="preserve">”</w:t>
      </w:r>
      <w:r>
        <w:t xml:space="preserve"> </w:t>
      </w:r>
      <w:r>
        <w:t xml:space="preserve">pattern as color: the base scale (</w:t>
      </w:r>
      <w:r>
        <w:rPr>
          <w:rStyle w:val="VerbatimChar"/>
        </w:rPr>
        <w:t xml:space="preserve">--radius-sm</w:t>
      </w:r>
      <w:r>
        <w:t xml:space="preserve"> </w:t>
      </w:r>
      <w:r>
        <w:t xml:space="preserve">through</w:t>
      </w:r>
      <w:r>
        <w:t xml:space="preserve"> </w:t>
      </w:r>
      <w:r>
        <w:rPr>
          <w:rStyle w:val="VerbatimChar"/>
        </w:rPr>
        <w:t xml:space="preserve">--radius-full</w:t>
      </w:r>
      <w:r>
        <w:t xml:space="preserve">,</w:t>
      </w:r>
      <w:r>
        <w:t xml:space="preserve"> </w:t>
      </w:r>
      <w:r>
        <w:rPr>
          <w:rStyle w:val="VerbatimChar"/>
        </w:rPr>
        <w:t xml:space="preserve">--shadow-sm</w:t>
      </w:r>
      <w:r>
        <w:t xml:space="preserve"> </w:t>
      </w:r>
      <w:r>
        <w:t xml:space="preserve">through</w:t>
      </w:r>
      <w:r>
        <w:t xml:space="preserve"> </w:t>
      </w:r>
      <w:r>
        <w:rPr>
          <w:rStyle w:val="VerbatimChar"/>
        </w:rPr>
        <w:t xml:space="preserve">--shadow-xl</w:t>
      </w:r>
      <w:r>
        <w:t xml:space="preserve">) is shared, while</w:t>
      </w:r>
      <w:r>
        <w:t xml:space="preserve"> </w:t>
      </w:r>
      <w:r>
        <w:rPr>
          <w:rStyle w:val="VerbatimChar"/>
        </w:rPr>
        <w:t xml:space="preserve">--radius-brand-control</w:t>
      </w:r>
      <w:r>
        <w:t xml:space="preserve"> </w:t>
      </w:r>
      <w:r>
        <w:t xml:space="preserve">and</w:t>
      </w:r>
      <w:r>
        <w:t xml:space="preserve"> </w:t>
      </w:r>
      <w:r>
        <w:rPr>
          <w:rStyle w:val="VerbatimChar"/>
        </w:rPr>
        <w:t xml:space="preserve">--radius-brand-card</w:t>
      </w:r>
      <w:r>
        <w:t xml:space="preserve"> </w:t>
      </w:r>
      <w:r>
        <w:t xml:space="preserve">are the only radius values each brand actually overrides. Motion uses two named eases —</w:t>
      </w:r>
      <w:r>
        <w:t xml:space="preserve"> </w:t>
      </w:r>
      <w:r>
        <w:rPr>
          <w:rStyle w:val="VerbatimChar"/>
        </w:rPr>
        <w:t xml:space="preserve">--ease-standard</w:t>
      </w:r>
      <w:r>
        <w:t xml:space="preserve"> </w:t>
      </w:r>
      <w:r>
        <w:t xml:space="preserve">for ordinary transitions and</w:t>
      </w:r>
      <w:r>
        <w:t xml:space="preserve"> </w:t>
      </w:r>
      <w:r>
        <w:rPr>
          <w:rStyle w:val="VerbatimChar"/>
        </w:rPr>
        <w:t xml:space="preserve">--ease-emphasized</w:t>
      </w:r>
      <w:r>
        <w:t xml:space="preserve"> </w:t>
      </w:r>
      <w:r>
        <w:t xml:space="preserve">for the rare</w:t>
      </w:r>
      <w:r>
        <w:t xml:space="preserve"> </w:t>
      </w:r>
      <w:r>
        <w:t xml:space="preserve">“</w:t>
      </w:r>
      <w:r>
        <w:t xml:space="preserve">reward</w:t>
      </w:r>
      <w:r>
        <w:t xml:space="preserve">”</w:t>
      </w:r>
      <w:r>
        <w:t xml:space="preserve"> </w:t>
      </w:r>
      <w:r>
        <w:t xml:space="preserve">moment (XP bar fill, achievement unlock) — plus</w:t>
      </w:r>
      <w:r>
        <w:t xml:space="preserve"> </w:t>
      </w:r>
      <w:r>
        <w:rPr>
          <w:rStyle w:val="VerbatimChar"/>
        </w:rPr>
        <w:t xml:space="preserve">prefers-reduced-motion</w:t>
      </w:r>
      <w:r>
        <w:t xml:space="preserve"> </w:t>
      </w:r>
      <w:r>
        <w:t xml:space="preserve">handling at the base layer so all motion is disabled for users who’ve requested it, system-wide, with no per-component opt-out needed. Z-index is a fixed nine-step scale (dropdown → tooltip) so stacking order is never guessed component-by-component.</w:t>
      </w:r>
    </w:p>
    <w:p>
      <w:r>
        <w:pict>
          <v:rect style="width:0;height:1.5pt" o:hralign="center" o:hrstd="t" o:hr="t"/>
        </w:pict>
      </w:r>
    </w:p>
    <w:p>
      <w:pPr>
        <w:pStyle w:val="Heading2"/>
      </w:pPr>
      <w:bookmarkStart w:id="36" w:name="component-inventory"/>
      <w:r>
        <w:t xml:space="preserve">5. Component Inventory</w:t>
      </w:r>
      <w:bookmarkEnd w:id="36"/>
    </w:p>
    <w:p>
      <w:pPr>
        <w:pStyle w:val="FirstParagraph"/>
      </w:pPr>
      <w:r>
        <w:t xml:space="preserve">All components live under</w:t>
      </w:r>
      <w:r>
        <w:t xml:space="preserve"> </w:t>
      </w:r>
      <w:r>
        <w:rPr>
          <w:rStyle w:val="VerbatimChar"/>
        </w:rPr>
        <w:t xml:space="preserve">components/ui</w:t>
      </w:r>
      <w:r>
        <w:t xml:space="preserve"> </w:t>
      </w:r>
      <w:r>
        <w:t xml:space="preserve">(brand-agnostic primitives),</w:t>
      </w:r>
      <w:r>
        <w:t xml:space="preserve"> </w:t>
      </w:r>
      <w:r>
        <w:rPr>
          <w:rStyle w:val="VerbatimChar"/>
        </w:rPr>
        <w:t xml:space="preserve">components/shared</w:t>
      </w:r>
      <w:r>
        <w:t xml:space="preserve"> </w:t>
      </w:r>
      <w:r>
        <w:t xml:space="preserve">(brand/theme/locale chrome),</w:t>
      </w:r>
      <w:r>
        <w:t xml:space="preserve"> </w:t>
      </w:r>
      <w:r>
        <w:rPr>
          <w:rStyle w:val="VerbatimChar"/>
        </w:rPr>
        <w:t xml:space="preserve">components/greentrust</w:t>
      </w:r>
      <w:r>
        <w:t xml:space="preserve">,</w:t>
      </w:r>
      <w:r>
        <w:t xml:space="preserve"> </w:t>
      </w:r>
      <w:r>
        <w:rPr>
          <w:rStyle w:val="VerbatimChar"/>
        </w:rPr>
        <w:t xml:space="preserve">components/labs</w:t>
      </w:r>
      <w:r>
        <w:t xml:space="preserve">,</w:t>
      </w:r>
      <w:r>
        <w:t xml:space="preserve"> </w:t>
      </w:r>
      <w:r>
        <w:rPr>
          <w:rStyle w:val="VerbatimChar"/>
        </w:rPr>
        <w:t xml:space="preserve">components/assessment</w:t>
      </w:r>
      <w:r>
        <w:t xml:space="preserve">, and</w:t>
      </w:r>
      <w:r>
        <w:t xml:space="preserve"> </w:t>
      </w:r>
      <w:r>
        <w:rPr>
          <w:rStyle w:val="VerbatimChar"/>
        </w:rPr>
        <w:t xml:space="preserve">components/charts</w:t>
      </w:r>
      <w:r>
        <w:t xml:space="preserve">.</w:t>
      </w:r>
    </w:p>
    <w:p>
      <w:pPr>
        <w:pStyle w:val="BodyText"/>
      </w:pPr>
      <w:r>
        <w:rPr>
          <w:b/>
        </w:rPr>
        <w:t xml:space="preserve">Primitives (</w:t>
      </w:r>
      <w:r>
        <w:rPr>
          <w:rStyle w:val="VerbatimChar"/>
          <w:b/>
        </w:rPr>
        <w:t xml:space="preserve">components/ui</w:t>
      </w:r>
      <w:r>
        <w:rPr>
          <w:b/>
        </w:rPr>
        <w:t xml:space="preserve">):</w:t>
      </w:r>
      <w:r>
        <w:t xml:space="preserve"> </w:t>
      </w:r>
      <w:r>
        <w:t xml:space="preserve">Button, Badge, Input, Textarea, Label, FormField, Checkbox, RadioGroup, Switch, Select, Card, Table, Tabs, Dialog, Drawer, Tooltip, Toast/Toaster, Progress, Skeleton, EmptyState, ErrorState, Breadcrumb, Avatar, StatusIndicator, RiskIndicator.</w:t>
      </w:r>
    </w:p>
    <w:p>
      <w:pPr>
        <w:pStyle w:val="BodyText"/>
      </w:pPr>
      <w:r>
        <w:rPr>
          <w:b/>
        </w:rPr>
        <w:t xml:space="preserve">Shared chrome (</w:t>
      </w:r>
      <w:r>
        <w:rPr>
          <w:rStyle w:val="VerbatimChar"/>
          <w:b/>
        </w:rPr>
        <w:t xml:space="preserve">components/shared</w:t>
      </w:r>
      <w:r>
        <w:rPr>
          <w:b/>
        </w:rPr>
        <w:t xml:space="preserve">):</w:t>
      </w:r>
      <w:r>
        <w:t xml:space="preserve"> </w:t>
      </w:r>
      <w:r>
        <w:t xml:space="preserve">BrandProvider, ThemeToggle, LanguageSwitcher, Navbar, Sidebar.</w:t>
      </w:r>
    </w:p>
    <w:p>
      <w:pPr>
        <w:pStyle w:val="BodyText"/>
      </w:pPr>
      <w:r>
        <w:rPr>
          <w:b/>
        </w:rPr>
        <w:t xml:space="preserve">GreenTrust-specific:</w:t>
      </w:r>
      <w:r>
        <w:t xml:space="preserve"> </w:t>
      </w:r>
      <w:r>
        <w:t xml:space="preserve">ExecutiveCard (KPI tile with trend indicator), ScoreGauge (circular GreenTrust/Quantum score readout), AgentCard (AI agent inventory row), RiskAssessmentCard (per-factor risk breakdown).</w:t>
      </w:r>
    </w:p>
    <w:p>
      <w:pPr>
        <w:pStyle w:val="BodyText"/>
      </w:pPr>
      <w:r>
        <w:rPr>
          <w:b/>
        </w:rPr>
        <w:t xml:space="preserve">Labs-specific:</w:t>
      </w:r>
      <w:r>
        <w:t xml:space="preserve"> </w:t>
      </w:r>
      <w:r>
        <w:t xml:space="preserve">XPBar, LevelBadge, StreakIndicator, LabCard, ChallengeCard, LeaderboardRow, AchievementBadge.</w:t>
      </w:r>
    </w:p>
    <w:p>
      <w:pPr>
        <w:pStyle w:val="BodyText"/>
      </w:pPr>
      <w:r>
        <w:rPr>
          <w:b/>
        </w:rPr>
        <w:t xml:space="preserve">Assessment (shared across GreenTrust/Quantum/Labs flows):</w:t>
      </w:r>
      <w:r>
        <w:t xml:space="preserve"> </w:t>
      </w:r>
      <w:r>
        <w:t xml:space="preserve">AssessmentProgress, AssessmentQuestion (single/multiple-choice, plain native controls for accessibility), AssessmentResultCard (headline score always visible before any email gate, per the Phase 1</w:t>
      </w:r>
      <w:r>
        <w:t xml:space="preserve"> </w:t>
      </w:r>
      <w:r>
        <w:t xml:space="preserve">“</w:t>
      </w:r>
      <w:r>
        <w:t xml:space="preserve">value before ask</w:t>
      </w:r>
      <w:r>
        <w:t xml:space="preserve">”</w:t>
      </w:r>
      <w:r>
        <w:t xml:space="preserve"> </w:t>
      </w:r>
      <w:r>
        <w:t xml:space="preserve">rule).</w:t>
      </w:r>
    </w:p>
    <w:p>
      <w:pPr>
        <w:pStyle w:val="BodyText"/>
      </w:pPr>
      <w:r>
        <w:rPr>
          <w:b/>
        </w:rPr>
        <w:t xml:space="preserve">Charts:</w:t>
      </w:r>
      <w:r>
        <w:t xml:space="preserve"> </w:t>
      </w:r>
      <w:r>
        <w:t xml:space="preserve">ScoreTrendChart — a themed Recharts wrapper over the append-only</w:t>
      </w:r>
      <w:r>
        <w:t xml:space="preserve"> </w:t>
      </w:r>
      <w:r>
        <w:rPr>
          <w:rStyle w:val="VerbatimChar"/>
        </w:rPr>
        <w:t xml:space="preserve">greentrust_scores</w:t>
      </w:r>
      <w:r>
        <w:t xml:space="preserve"> </w:t>
      </w:r>
      <w:r>
        <w:t xml:space="preserve">/</w:t>
      </w:r>
      <w:r>
        <w:t xml:space="preserve"> </w:t>
      </w:r>
      <w:r>
        <w:rPr>
          <w:rStyle w:val="VerbatimChar"/>
        </w:rPr>
        <w:t xml:space="preserve">quantum_readiness_scores</w:t>
      </w:r>
      <w:r>
        <w:t xml:space="preserve"> </w:t>
      </w:r>
      <w:r>
        <w:t xml:space="preserve">history tables from Phase 3.</w:t>
      </w:r>
    </w:p>
    <w:p>
      <w:pPr>
        <w:pStyle w:val="BodyText"/>
      </w:pPr>
      <w:r>
        <w:t xml:space="preserve">Every component category above is rendered together in</w:t>
      </w:r>
      <w:r>
        <w:t xml:space="preserve"> </w:t>
      </w:r>
      <w:r>
        <w:rPr>
          <w:rStyle w:val="VerbatimChar"/>
        </w:rPr>
        <w:t xml:space="preserve">app/style-guide/page.tsx</w:t>
      </w:r>
      <w:r>
        <w:t xml:space="preserve">, a dedicated (non-application) QA surface with a live brand switcher and the shared ThemeToggle, so any brand/dark-mode/RTL combination can be inspected in one place before real application pages are built on top of the library.</w:t>
      </w:r>
    </w:p>
    <w:p>
      <w:r>
        <w:pict>
          <v:rect style="width:0;height:1.5pt" o:hralign="center" o:hrstd="t" o:hr="t"/>
        </w:pict>
      </w:r>
    </w:p>
    <w:p>
      <w:pPr>
        <w:pStyle w:val="Heading2"/>
      </w:pPr>
      <w:bookmarkStart w:id="37" w:name="dark-mode-rtl-and-responsive-strategy"/>
      <w:r>
        <w:t xml:space="preserve">6. Dark Mode, RTL, and Responsive Strategy</w:t>
      </w:r>
      <w:bookmarkEnd w:id="37"/>
    </w:p>
    <w:p>
      <w:pPr>
        <w:pStyle w:val="Heading3"/>
      </w:pPr>
      <w:bookmarkStart w:id="38" w:name="dark-mode-1"/>
      <w:r>
        <w:t xml:space="preserve">6.1 Dark mode</w:t>
      </w:r>
      <w:bookmarkEnd w:id="38"/>
    </w:p>
    <w:p>
      <w:pPr>
        <w:pStyle w:val="FirstParagraph"/>
      </w:pPr>
      <w:r>
        <w:t xml:space="preserve">Implemented via Tailwind’s</w:t>
      </w:r>
      <w:r>
        <w:t xml:space="preserve"> </w:t>
      </w:r>
      <w:r>
        <w:rPr>
          <w:rStyle w:val="VerbatimChar"/>
        </w:rPr>
        <w:t xml:space="preserve">darkMode: ["class"]</w:t>
      </w:r>
      <w:r>
        <w:t xml:space="preserve"> </w:t>
      </w:r>
      <w:r>
        <w:t xml:space="preserve">strategy rather than the</w:t>
      </w:r>
      <w:r>
        <w:t xml:space="preserve"> </w:t>
      </w:r>
      <w:r>
        <w:rPr>
          <w:rStyle w:val="VerbatimChar"/>
        </w:rPr>
        <w:t xml:space="preserve">prefers-color-scheme</w:t>
      </w:r>
      <w:r>
        <w:t xml:space="preserve"> </w:t>
      </w:r>
      <w:r>
        <w:t xml:space="preserve">media query, because brand and color-scheme must combine independently (e.g. GreenTrust + dark), which a pure media-query approach cannot express. Toggling is a single class on</w:t>
      </w:r>
      <w:r>
        <w:t xml:space="preserve"> </w:t>
      </w:r>
      <w:r>
        <w:rPr>
          <w:rStyle w:val="VerbatimChar"/>
        </w:rPr>
        <w:t xml:space="preserve">&lt;html&gt;</w:t>
      </w:r>
      <w:r>
        <w:t xml:space="preserve">;</w:t>
      </w:r>
      <w:r>
        <w:t xml:space="preserve"> </w:t>
      </w:r>
      <w:r>
        <w:rPr>
          <w:rStyle w:val="VerbatimChar"/>
        </w:rPr>
        <w:t xml:space="preserve">ThemeToggle</w:t>
      </w:r>
      <w:r>
        <w:t xml:space="preserve"> </w:t>
      </w:r>
      <w:r>
        <w:t xml:space="preserve">persists the user’s choice.</w:t>
      </w:r>
    </w:p>
    <w:p>
      <w:pPr>
        <w:pStyle w:val="Heading3"/>
      </w:pPr>
      <w:bookmarkStart w:id="39" w:name="rtl-ltr"/>
      <w:r>
        <w:t xml:space="preserve">6.2 RTL / LTR</w:t>
      </w:r>
      <w:bookmarkEnd w:id="39"/>
    </w:p>
    <w:p>
      <w:pPr>
        <w:pStyle w:val="FirstParagraph"/>
      </w:pPr>
      <w:r>
        <w:t xml:space="preserve">Tailwind’s native logical properties (</w:t>
      </w:r>
      <w:r>
        <w:rPr>
          <w:rStyle w:val="VerbatimChar"/>
        </w:rPr>
        <w:t xml:space="preserve">ms-</w:t>
      </w:r>
      <w:r>
        <w:t xml:space="preserve">,</w:t>
      </w:r>
      <w:r>
        <w:t xml:space="preserve"> </w:t>
      </w:r>
      <w:r>
        <w:rPr>
          <w:rStyle w:val="VerbatimChar"/>
        </w:rPr>
        <w:t xml:space="preserve">me-</w:t>
      </w:r>
      <w:r>
        <w:t xml:space="preserve">,</w:t>
      </w:r>
      <w:r>
        <w:t xml:space="preserve"> </w:t>
      </w:r>
      <w:r>
        <w:rPr>
          <w:rStyle w:val="VerbatimChar"/>
        </w:rPr>
        <w:t xml:space="preserve">text-start</w:t>
      </w:r>
      <w:r>
        <w:t xml:space="preserve">,</w:t>
      </w:r>
      <w:r>
        <w:t xml:space="preserve"> </w:t>
      </w:r>
      <w:r>
        <w:rPr>
          <w:rStyle w:val="VerbatimChar"/>
        </w:rPr>
        <w:t xml:space="preserve">text-end</w:t>
      </w:r>
      <w:r>
        <w:t xml:space="preserve">,</w:t>
      </w:r>
      <w:r>
        <w:t xml:space="preserve"> </w:t>
      </w:r>
      <w:r>
        <w:rPr>
          <w:rStyle w:val="VerbatimChar"/>
        </w:rPr>
        <w:t xml:space="preserve">ps-</w:t>
      </w:r>
      <w:r>
        <w:t xml:space="preserve">,</w:t>
      </w:r>
      <w:r>
        <w:t xml:space="preserve"> </w:t>
      </w:r>
      <w:r>
        <w:rPr>
          <w:rStyle w:val="VerbatimChar"/>
        </w:rPr>
        <w:t xml:space="preserve">pe-</w:t>
      </w:r>
      <w:r>
        <w:t xml:space="preserve"> </w:t>
      </w:r>
      <w:r>
        <w:t xml:space="preserve">— available natively since Tailwind v3.3, no extra RTL plugin needed) replace every</w:t>
      </w:r>
      <w:r>
        <w:t xml:space="preserve"> </w:t>
      </w:r>
      <w:r>
        <w:rPr>
          <w:rStyle w:val="VerbatimChar"/>
        </w:rPr>
        <w:t xml:space="preserve">left-</w:t>
      </w:r>
      <w:r>
        <w:t xml:space="preserve">/</w:t>
      </w:r>
      <w:r>
        <w:rPr>
          <w:rStyle w:val="VerbatimChar"/>
        </w:rPr>
        <w:t xml:space="preserve">right-</w:t>
      </w:r>
      <w:r>
        <w:t xml:space="preserve">/</w:t>
      </w:r>
      <w:r>
        <w:rPr>
          <w:rStyle w:val="VerbatimChar"/>
        </w:rPr>
        <w:t xml:space="preserve">ml-</w:t>
      </w:r>
      <w:r>
        <w:t xml:space="preserve">/</w:t>
      </w:r>
      <w:r>
        <w:rPr>
          <w:rStyle w:val="VerbatimChar"/>
        </w:rPr>
        <w:t xml:space="preserve">mr-</w:t>
      </w:r>
      <w:r>
        <w:t xml:space="preserve"> </w:t>
      </w:r>
      <w:r>
        <w:t xml:space="preserve">utility across the component library, so flipping</w:t>
      </w:r>
      <w:r>
        <w:t xml:space="preserve"> </w:t>
      </w:r>
      <w:r>
        <w:rPr>
          <w:rStyle w:val="VerbatimChar"/>
        </w:rPr>
        <w:t xml:space="preserve">dir="rtl"</w:t>
      </w:r>
      <w:r>
        <w:t xml:space="preserve"> </w:t>
      </w:r>
      <w:r>
        <w:t xml:space="preserve">on</w:t>
      </w:r>
      <w:r>
        <w:t xml:space="preserve"> </w:t>
      </w:r>
      <w:r>
        <w:rPr>
          <w:rStyle w:val="VerbatimChar"/>
        </w:rPr>
        <w:t xml:space="preserve">&lt;html&gt;</w:t>
      </w:r>
      <w:r>
        <w:t xml:space="preserve"> </w:t>
      </w:r>
      <w:r>
        <w:t xml:space="preserve">re-mirrors layout automatically with zero per-component RTL branches. Two components needed additional explicit handling beyond logical properties: icons that convey directionality (breadcrumb chevrons, back arrows) use</w:t>
      </w:r>
      <w:r>
        <w:t xml:space="preserve"> </w:t>
      </w:r>
      <w:r>
        <w:rPr>
          <w:rStyle w:val="VerbatimChar"/>
        </w:rPr>
        <w:t xml:space="preserve">rtl:rotate-180</w:t>
      </w:r>
      <w:r>
        <w:t xml:space="preserve"> </w:t>
      </w:r>
      <w:r>
        <w:t xml:space="preserve">so the arrow still points the correct visual direction in RTL, and Progress bars use a width-based fill (</w:t>
      </w:r>
      <w:r>
        <w:rPr>
          <w:rStyle w:val="VerbatimChar"/>
        </w:rPr>
        <w:t xml:space="preserve">style={{ width: '${value}%' }}</w:t>
      </w:r>
      <w:r>
        <w:t xml:space="preserve">) rather than a</w:t>
      </w:r>
      <w:r>
        <w:t xml:space="preserve"> </w:t>
      </w:r>
      <w:r>
        <w:rPr>
          <w:rStyle w:val="VerbatimChar"/>
        </w:rPr>
        <w:t xml:space="preserve">transform: translateX()</w:t>
      </w:r>
      <w:r>
        <w:t xml:space="preserve"> </w:t>
      </w:r>
      <w:r>
        <w:t xml:space="preserve">fill, because a transform-based fill is LTR-specific math and silently renders backwards under</w:t>
      </w:r>
      <w:r>
        <w:t xml:space="preserve"> </w:t>
      </w:r>
      <w:r>
        <w:rPr>
          <w:rStyle w:val="VerbatimChar"/>
        </w:rPr>
        <w:t xml:space="preserve">dir="rtl"</w:t>
      </w:r>
      <w:r>
        <w:t xml:space="preserve"> </w:t>
      </w:r>
      <w:r>
        <w:t xml:space="preserve">— this was caught and fixed during the build.</w:t>
      </w:r>
    </w:p>
    <w:p>
      <w:pPr>
        <w:pStyle w:val="Heading3"/>
      </w:pPr>
      <w:bookmarkStart w:id="40" w:name="responsive"/>
      <w:r>
        <w:t xml:space="preserve">6.3 Responsive</w:t>
      </w:r>
      <w:bookmarkEnd w:id="40"/>
    </w:p>
    <w:p>
      <w:pPr>
        <w:pStyle w:val="FirstParagraph"/>
      </w:pPr>
      <w:r>
        <w:t xml:space="preserve">Mobile-first throughout: base (unprefixed) styles target mobile, with</w:t>
      </w:r>
      <w:r>
        <w:t xml:space="preserve"> </w:t>
      </w:r>
      <w:r>
        <w:rPr>
          <w:rStyle w:val="VerbatimChar"/>
        </w:rPr>
        <w:t xml:space="preserve">tablet:</w:t>
      </w:r>
      <w:r>
        <w:t xml:space="preserve">,</w:t>
      </w:r>
      <w:r>
        <w:t xml:space="preserve"> </w:t>
      </w:r>
      <w:r>
        <w:rPr>
          <w:rStyle w:val="VerbatimChar"/>
        </w:rPr>
        <w:t xml:space="preserve">desktop:</w:t>
      </w:r>
      <w:r>
        <w:t xml:space="preserve">, and</w:t>
      </w:r>
      <w:r>
        <w:t xml:space="preserve"> </w:t>
      </w:r>
      <w:r>
        <w:rPr>
          <w:rStyle w:val="VerbatimChar"/>
        </w:rPr>
        <w:t xml:space="preserve">wide:</w:t>
      </w:r>
      <w:r>
        <w:t xml:space="preserve"> </w:t>
      </w:r>
      <w:r>
        <w:t xml:space="preserve">progressively enhancing layout density. Sidebar collapses to a drawer below</w:t>
      </w:r>
      <w:r>
        <w:t xml:space="preserve"> </w:t>
      </w:r>
      <w:r>
        <w:rPr>
          <w:rStyle w:val="VerbatimChar"/>
        </w:rPr>
        <w:t xml:space="preserve">desktop:</w:t>
      </w:r>
      <w:r>
        <w:t xml:space="preserve">; ExecutiveCard grids go from one column (mobile) to two (tablet) to four (desktop/wide).</w:t>
      </w:r>
    </w:p>
    <w:p>
      <w:r>
        <w:pict>
          <v:rect style="width:0;height:1.5pt" o:hralign="center" o:hrstd="t" o:hr="t"/>
        </w:pict>
      </w:r>
    </w:p>
    <w:p>
      <w:pPr>
        <w:pStyle w:val="Heading2"/>
      </w:pPr>
      <w:bookmarkStart w:id="41" w:name="accessibility-wcag-2.2-aa"/>
      <w:r>
        <w:t xml:space="preserve">7. Accessibility (WCAG 2.2 AA)</w:t>
      </w:r>
      <w:bookmarkEnd w:id="41"/>
    </w:p>
    <w:p>
      <w:pPr>
        <w:pStyle w:val="FirstParagraph"/>
      </w:pPr>
      <w:r>
        <w:t xml:space="preserve">Focus is visible everywhere: a</w:t>
      </w:r>
      <w:r>
        <w:t xml:space="preserve"> </w:t>
      </w:r>
      <w:r>
        <w:rPr>
          <w:rStyle w:val="VerbatimChar"/>
        </w:rPr>
        <w:t xml:space="preserve">:focus-visible</w:t>
      </w:r>
      <w:r>
        <w:t xml:space="preserve"> </w:t>
      </w:r>
      <w:r>
        <w:t xml:space="preserve">ring (</w:t>
      </w:r>
      <w:r>
        <w:rPr>
          <w:rStyle w:val="VerbatimChar"/>
        </w:rPr>
        <w:t xml:space="preserve">--focus-ring-width</w:t>
      </w:r>
      <w:r>
        <w:t xml:space="preserve">/</w:t>
      </w:r>
      <w:r>
        <w:rPr>
          <w:rStyle w:val="VerbatimChar"/>
        </w:rPr>
        <w:t xml:space="preserve">--focus-ring-color</w:t>
      </w:r>
      <w:r>
        <w:t xml:space="preserve">, tuned per-brand via</w:t>
      </w:r>
      <w:r>
        <w:t xml:space="preserve"> </w:t>
      </w:r>
      <w:r>
        <w:rPr>
          <w:rStyle w:val="VerbatimChar"/>
        </w:rPr>
        <w:t xml:space="preserve">--color-focus-ring</w:t>
      </w:r>
      <w:r>
        <w:t xml:space="preserve">) applies at the base CSS layer to every interactive element, not opted into per-component.</w:t>
      </w:r>
    </w:p>
    <w:p>
      <w:pPr>
        <w:pStyle w:val="BodyText"/>
      </w:pPr>
      <w:r>
        <w:t xml:space="preserve">Motion respects user preference: a</w:t>
      </w:r>
      <w:r>
        <w:t xml:space="preserve"> </w:t>
      </w:r>
      <w:r>
        <w:rPr>
          <w:rStyle w:val="VerbatimChar"/>
        </w:rPr>
        <w:t xml:space="preserve">prefers-reduced-motion</w:t>
      </w:r>
      <w:r>
        <w:t xml:space="preserve"> </w:t>
      </w:r>
      <w:r>
        <w:t xml:space="preserve">media query at the base layer disables non-essential transitions and animations globally.</w:t>
      </w:r>
    </w:p>
    <w:p>
      <w:pPr>
        <w:pStyle w:val="BodyText"/>
      </w:pPr>
      <w:r>
        <w:t xml:space="preserve">Touch targets meet minimum size on all interactive controls (buttons, checkboxes, switches, radio items) regardless of visual density.</w:t>
      </w:r>
    </w:p>
    <w:p>
      <w:pPr>
        <w:pStyle w:val="BodyText"/>
      </w:pPr>
      <w:r>
        <w:t xml:space="preserve">Forms wire ARIA correctly:</w:t>
      </w:r>
      <w:r>
        <w:t xml:space="preserve"> </w:t>
      </w:r>
      <w:r>
        <w:rPr>
          <w:rStyle w:val="VerbatimChar"/>
        </w:rPr>
        <w:t xml:space="preserve">FormField</w:t>
      </w:r>
      <w:r>
        <w:t xml:space="preserve"> </w:t>
      </w:r>
      <w:r>
        <w:t xml:space="preserve">connects its label, hint, and error text to the control via</w:t>
      </w:r>
      <w:r>
        <w:t xml:space="preserve"> </w:t>
      </w:r>
      <w:r>
        <w:rPr>
          <w:rStyle w:val="VerbatimChar"/>
        </w:rPr>
        <w:t xml:space="preserve">aria-describedby</w:t>
      </w:r>
      <w:r>
        <w:t xml:space="preserve"> </w:t>
      </w:r>
      <w:r>
        <w:t xml:space="preserve">and sets</w:t>
      </w:r>
      <w:r>
        <w:t xml:space="preserve"> </w:t>
      </w:r>
      <w:r>
        <w:rPr>
          <w:rStyle w:val="VerbatimChar"/>
        </w:rPr>
        <w:t xml:space="preserve">aria-invalid</w:t>
      </w:r>
      <w:r>
        <w:t xml:space="preserve"> </w:t>
      </w:r>
      <w:r>
        <w:t xml:space="preserve">automatically when an error is present;</w:t>
      </w:r>
      <w:r>
        <w:t xml:space="preserve"> </w:t>
      </w:r>
      <w:r>
        <w:rPr>
          <w:rStyle w:val="VerbatimChar"/>
        </w:rPr>
        <w:t xml:space="preserve">AssessmentQuestion</w:t>
      </w:r>
      <w:r>
        <w:t xml:space="preserve"> </w:t>
      </w:r>
      <w:r>
        <w:t xml:space="preserve">uses native</w:t>
      </w:r>
      <w:r>
        <w:t xml:space="preserve"> </w:t>
      </w:r>
      <w:r>
        <w:rPr>
          <w:rStyle w:val="VerbatimChar"/>
        </w:rPr>
        <w:t xml:space="preserve">&lt;fieldset&gt;</w:t>
      </w:r>
      <w:r>
        <w:t xml:space="preserve">/</w:t>
      </w:r>
      <w:r>
        <w:rPr>
          <w:rStyle w:val="VerbatimChar"/>
        </w:rPr>
        <w:t xml:space="preserve">&lt;legend&gt;</w:t>
      </w:r>
      <w:r>
        <w:t xml:space="preserve"> </w:t>
      </w:r>
      <w:r>
        <w:t xml:space="preserve">grouping rather than custom</w:t>
      </w:r>
      <w:r>
        <w:t xml:space="preserve"> </w:t>
      </w:r>
      <w:r>
        <w:t xml:space="preserve">“</w:t>
      </w:r>
      <w:r>
        <w:t xml:space="preserve">card select</w:t>
      </w:r>
      <w:r>
        <w:t xml:space="preserve">”</w:t>
      </w:r>
      <w:r>
        <w:t xml:space="preserve"> </w:t>
      </w:r>
      <w:r>
        <w:t xml:space="preserve">widgets specifically so screen-reader and keyboard behavior is the browser’s well-tested native behavior, not something the design system has to reinvent.</w:t>
      </w:r>
    </w:p>
    <w:p>
      <w:pPr>
        <w:pStyle w:val="BodyText"/>
      </w:pPr>
      <w:r>
        <w:t xml:space="preserve">State communication follows correct ARIA roles:</w:t>
      </w:r>
      <w:r>
        <w:t xml:space="preserve"> </w:t>
      </w:r>
      <w:r>
        <w:rPr>
          <w:rStyle w:val="VerbatimChar"/>
        </w:rPr>
        <w:t xml:space="preserve">ErrorState</w:t>
      </w:r>
      <w:r>
        <w:t xml:space="preserve"> </w:t>
      </w:r>
      <w:r>
        <w:t xml:space="preserve">uses</w:t>
      </w:r>
      <w:r>
        <w:t xml:space="preserve"> </w:t>
      </w:r>
      <w:r>
        <w:rPr>
          <w:rStyle w:val="VerbatimChar"/>
        </w:rPr>
        <w:t xml:space="preserve">role="alert"</w:t>
      </w:r>
      <w:r>
        <w:t xml:space="preserve"> </w:t>
      </w:r>
      <w:r>
        <w:t xml:space="preserve">so a failed data load interrupts and announces immediately, while</w:t>
      </w:r>
      <w:r>
        <w:t xml:space="preserve"> </w:t>
      </w:r>
      <w:r>
        <w:rPr>
          <w:rStyle w:val="VerbatimChar"/>
        </w:rPr>
        <w:t xml:space="preserve">EmptyState</w:t>
      </w:r>
      <w:r>
        <w:t xml:space="preserve"> </w:t>
      </w:r>
      <w:r>
        <w:t xml:space="preserve">(an expected, non-error condition) carries no such role and does not interrupt. The Toast region is a live region so notifications are announced without stealing focus.</w:t>
      </w:r>
    </w:p>
    <w:p>
      <w:pPr>
        <w:pStyle w:val="BodyText"/>
      </w:pPr>
      <w:r>
        <w:t xml:space="preserve">Modals and drawers get correct focus management for free from Radix UI primitives — automatic focus trapping,</w:t>
      </w:r>
      <w:r>
        <w:t xml:space="preserve"> </w:t>
      </w:r>
      <w:r>
        <w:rPr>
          <w:rStyle w:val="VerbatimChar"/>
        </w:rPr>
        <w:t xml:space="preserve">aria-modal</w:t>
      </w:r>
      <w:r>
        <w:t xml:space="preserve">, and restore-focus-on-close — rather than being hand-rolled.</w:t>
      </w:r>
    </w:p>
    <w:p>
      <w:pPr>
        <w:pStyle w:val="BodyText"/>
      </w:pPr>
      <w:r>
        <w:t xml:space="preserve">Color is never the only signal: StatusIndicator and RiskIndicator always pair color with a text label (and RiskIndicator with an icon), so colorblind users and screen-reader users get the same information as sighted users relying on color alone.</w:t>
      </w:r>
    </w:p>
    <w:p>
      <w:pPr>
        <w:pStyle w:val="BodyText"/>
      </w:pPr>
      <w:r>
        <w:t xml:space="preserve">One open item flagged for future work rather than resolved in this phase:</w:t>
      </w:r>
      <w:r>
        <w:t xml:space="preserve"> </w:t>
      </w:r>
      <w:r>
        <w:rPr>
          <w:rStyle w:val="VerbatimChar"/>
        </w:rPr>
        <w:t xml:space="preserve">ScoreTrendChart</w:t>
      </w:r>
      <w:r>
        <w:t xml:space="preserve"> </w:t>
      </w:r>
      <w:r>
        <w:t xml:space="preserve">renders to SVG via Recharts with a</w:t>
      </w:r>
      <w:r>
        <w:t xml:space="preserve"> </w:t>
      </w:r>
      <w:r>
        <w:rPr>
          <w:rStyle w:val="VerbatimChar"/>
        </w:rPr>
        <w:t xml:space="preserve">role="img"</w:t>
      </w:r>
      <w:r>
        <w:t xml:space="preserve"> </w:t>
      </w:r>
      <w:r>
        <w:t xml:space="preserve">and required</w:t>
      </w:r>
      <w:r>
        <w:t xml:space="preserve"> </w:t>
      </w:r>
      <w:r>
        <w:rPr>
          <w:rStyle w:val="VerbatimChar"/>
        </w:rPr>
        <w:t xml:space="preserve">ariaLabel</w:t>
      </w:r>
      <w:r>
        <w:t xml:space="preserve"> </w:t>
      </w:r>
      <w:r>
        <w:t xml:space="preserve">summary, giving screen-reader users a text equivalent, but does not yet expose per-data-point values via keyboard navigation — full parity here would need either a custom keyboard-navigable data table fallback or an accessible-charts library, and is noted as a backlog item rather than blocking this phase.</w:t>
      </w:r>
    </w:p>
    <w:p>
      <w:r>
        <w:pict>
          <v:rect style="width:0;height:1.5pt" o:hralign="center" o:hrstd="t" o:hr="t"/>
        </w:pict>
      </w:r>
    </w:p>
    <w:p>
      <w:pPr>
        <w:pStyle w:val="Heading2"/>
      </w:pPr>
      <w:bookmarkStart w:id="42" w:name="implementation-notes"/>
      <w:r>
        <w:t xml:space="preserve">8. Implementation Notes</w:t>
      </w:r>
      <w:bookmarkEnd w:id="42"/>
    </w:p>
    <w:p>
      <w:pPr>
        <w:pStyle w:val="FirstParagraph"/>
      </w:pPr>
      <w:r>
        <w:t xml:space="preserve">Built as a Next.js 14 component library (matching the Phase 2 architecture decision): Tailwind CSS v3.3+ for the utility layer, Radix UI primitives underneath every component with built-in interaction/accessibility behavior (Dialog, Drawer, Tabs, Tooltip, Select, RadioGroup, Switch, Checkbox, Toast), class-variance-authority (CVA) for typed variant props, and a</w:t>
      </w:r>
      <w:r>
        <w:t xml:space="preserve"> </w:t>
      </w:r>
      <w:r>
        <w:rPr>
          <w:rStyle w:val="VerbatimChar"/>
        </w:rPr>
        <w:t xml:space="preserve">cn()</w:t>
      </w:r>
      <w:r>
        <w:t xml:space="preserve"> </w:t>
      </w:r>
      <w:r>
        <w:t xml:space="preserve">helper (clsx + tailwind-merge) for safely composing conditional class names — the same pattern shadcn/ui popularized, chosen so the library stays fully owned/readable source rather than an opaque installed dependency.</w:t>
      </w:r>
    </w:p>
    <w:p>
      <w:pPr>
        <w:pStyle w:val="BodyText"/>
      </w:pPr>
      <w:r>
        <w:t xml:space="preserve">Every component that uses a hook, attaches an event handler directly to a native element, or wraps a Radix primitive is explicitly marked</w:t>
      </w:r>
      <w:r>
        <w:t xml:space="preserve"> </w:t>
      </w:r>
      <w:r>
        <w:rPr>
          <w:rStyle w:val="VerbatimChar"/>
        </w:rPr>
        <w:t xml:space="preserve">"use client"</w:t>
      </w:r>
      <w:r>
        <w:t xml:space="preserve">, so the library works correctly if consumed from a Server Component page by default — this was verified mechanically across all ~50 component files rather than assumed, since no local Next.js build/dev server was available to catch a missing-directive error at build time.</w:t>
      </w:r>
    </w:p>
    <w:p>
      <w:r>
        <w:pict>
          <v:rect style="width:0;height:1.5pt" o:hralign="center" o:hrstd="t" o:hr="t"/>
        </w:pict>
      </w:r>
    </w:p>
    <w:p>
      <w:pPr>
        <w:pStyle w:val="Heading2"/>
      </w:pPr>
      <w:bookmarkStart w:id="43" w:name="what-was-verified-and-how"/>
      <w:r>
        <w:t xml:space="preserve">9. What Was Verified, and How</w:t>
      </w:r>
      <w:bookmarkEnd w:id="43"/>
    </w:p>
    <w:p>
      <w:pPr>
        <w:pStyle w:val="FirstParagraph"/>
      </w:pPr>
      <w:r>
        <w:t xml:space="preserve">No local Node/npm registry access was available in this build environment, so</w:t>
      </w:r>
      <w:r>
        <w:t xml:space="preserve"> </w:t>
      </w:r>
      <w:r>
        <w:rPr>
          <w:rStyle w:val="VerbatimChar"/>
        </w:rPr>
        <w:t xml:space="preserve">next build</w:t>
      </w:r>
      <w:r>
        <w:t xml:space="preserve"> </w:t>
      </w:r>
      <w:r>
        <w:t xml:space="preserve">/</w:t>
      </w:r>
      <w:r>
        <w:t xml:space="preserve"> </w:t>
      </w:r>
      <w:r>
        <w:rPr>
          <w:rStyle w:val="VerbatimChar"/>
        </w:rPr>
        <w:t xml:space="preserve">tsc</w:t>
      </w:r>
      <w:r>
        <w:t xml:space="preserve"> </w:t>
      </w:r>
      <w:r>
        <w:t xml:space="preserve">could not be run directly to catch type or bundling errors. In its place, verification was mechanical: every</w:t>
      </w:r>
      <w:r>
        <w:t xml:space="preserve"> </w:t>
      </w:r>
      <w:r>
        <w:rPr>
          <w:rStyle w:val="VerbatimChar"/>
        </w:rPr>
        <w:t xml:space="preserve">@/...</w:t>
      </w:r>
      <w:r>
        <w:t xml:space="preserve"> </w:t>
      </w:r>
      <w:r>
        <w:t xml:space="preserve">import across all component and page files was resolved against the actual file it points to and checked against that file’s real named/default exports (catching typos, missing exports, or renamed files); every file was checked for balanced braces/parens/brackets; and every file using a hook, a directly-attached event handler, or a Radix primitive was checked for the required</w:t>
      </w:r>
      <w:r>
        <w:t xml:space="preserve"> </w:t>
      </w:r>
      <w:r>
        <w:rPr>
          <w:rStyle w:val="VerbatimChar"/>
        </w:rPr>
        <w:t xml:space="preserve">"use client"</w:t>
      </w:r>
      <w:r>
        <w:t xml:space="preserve"> </w:t>
      </w:r>
      <w:r>
        <w:t xml:space="preserve">directive — this pass caught and fixed 15 files missing the directive (all nine Radix-wrapped primitives, plus six leaf components in GreenTrust/Labs/assessment that attach</w:t>
      </w:r>
      <w:r>
        <w:t xml:space="preserve"> </w:t>
      </w:r>
      <w:r>
        <w:rPr>
          <w:rStyle w:val="VerbatimChar"/>
        </w:rPr>
        <w:t xml:space="preserve">onClick</w:t>
      </w:r>
      <w:r>
        <w:t xml:space="preserve"> </w:t>
      </w:r>
      <w:r>
        <w:t xml:space="preserve">directly) before this document was written. This mirrors the verification approach used for the Phase 3 SQL schema, where a live database also wasn’t available.</w:t>
      </w:r>
    </w:p>
    <w:p>
      <w:r>
        <w:pict>
          <v:rect style="width:0;height:1.5pt" o:hralign="center" o:hrstd="t" o:hr="t"/>
        </w:pict>
      </w:r>
    </w:p>
    <w:p>
      <w:pPr>
        <w:pStyle w:val="Heading2"/>
      </w:pPr>
      <w:bookmarkStart w:id="44" w:name="summary"/>
      <w:r>
        <w:t xml:space="preserve">Summary</w:t>
      </w:r>
      <w:bookmarkEnd w:id="44"/>
    </w:p>
    <w:p>
      <w:pPr>
        <w:pStyle w:val="FirstParagraph"/>
      </w:pPr>
      <w:r>
        <w:t xml:space="preserve">Every requirement from the Phase 4 brief maps to a concrete deliverable: the color system is a shared neutral and status scale layered under three independent brand palettes; typography covers Inter/Space Grotesk for Latin and Tajawal/Cairo for Arabic, with Arabic-specific tracking and leading rules; spacing, grid, and breakpoints follow a 4px-base scale with mobile/tablet(640)/desktop(1024)/wide(1536) breakpoints; the full component set spans roughly 35 components across the ui, shared, greentrust, labs, assessment, and charts folders; dark mode is class-based and brand-independent, verified across all three brands; Arabic RTL and English LTR are handled through Tailwind logical properties plus two explicit fixes (icon mirroring, progress-bar fill direction); mobile, tablet, and desktop are covered mobile-first across three progressive breakpoints; WCAG 2.2 AA is addressed through focus rings, reduced-motion handling, touch target sizing, ARIA wiring, correct alert/status roles, and Radix’s built-in focus management; and the deliverable stops at reusable tokens and components, with a style-guide QA page built for verification but no application pages built in this phase.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2026-07-25T09:44:54Z</dcterms:created>
  <dcterms:modified xsi:type="dcterms:W3CDTF">2026-07-25T09:44:54Z</dcterms:modified>
</cp:coreProperties>
</file>

<file path=docProps/custom.xml><?xml version="1.0" encoding="utf-8"?>
<Properties xmlns="http://schemas.openxmlformats.org/officeDocument/2006/custom-properties" xmlns:vt="http://schemas.openxmlformats.org/officeDocument/2006/docPropsVTypes"/>
</file>