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yberabeer.com-phase-1-product-blueprint"/>
      <w:r>
        <w:t xml:space="preserve">CyberAbeer.com — Phase 1 Product Blueprint</w:t>
      </w:r>
      <w:bookmarkEnd w:id="20"/>
    </w:p>
    <w:p>
      <w:pPr>
        <w:pStyle w:val="Heading3"/>
      </w:pPr>
      <w:bookmarkStart w:id="21" w:name="authority-acquisition-platform"/>
      <w:r>
        <w:t xml:space="preserve">Authority + Acquisition Platform</w:t>
      </w:r>
      <w:bookmarkEnd w:id="21"/>
    </w:p>
    <w:p>
      <w:pPr>
        <w:pStyle w:val="FirstParagraph"/>
      </w:pPr>
      <w:r>
        <w:t xml:space="preserve">Prepared for Dr. Abeer Alshammari, Founder — CyberAbeer / GreenTrust AI</w:t>
      </w:r>
      <w:r>
        <w:t xml:space="preserve"> </w:t>
      </w:r>
      <w:r>
        <w:t xml:space="preserve">Draft date: July 25, 2026</w:t>
      </w:r>
    </w:p>
    <w:p>
      <w:r>
        <w:pict>
          <v:rect style="width:0;height:1.5pt" o:hralign="center" o:hrstd="t" o:hr="t"/>
        </w:pict>
      </w:r>
    </w:p>
    <w:p>
      <w:pPr>
        <w:pStyle w:val="Heading2"/>
      </w:pPr>
      <w:bookmarkStart w:id="22" w:name="business-objectives"/>
      <w:r>
        <w:t xml:space="preserve">1. Business Objectives</w:t>
      </w:r>
      <w:bookmarkEnd w:id="22"/>
    </w:p>
    <w:p>
      <w:pPr>
        <w:pStyle w:val="FirstParagraph"/>
      </w:pPr>
      <w:r>
        <w:t xml:space="preserve">Phase 1 exists to prove and monetize demand before any heavy engineering is committed. The ten objectives, in priority order: establish Dr. Abeer as a recognized cybersecurity and AI-governance authority; grow organic Arabic and English search traffic; convert social followers (Instagram, LinkedIn, YouTube) into registered users; build a segmented email list; deliver visible free value before any paywall; generate the first digital-product and membership sales; acquire the first GreenTrust AI enterprise conversations and pilot customers; collect testimonials and case studies from both learner and enterprise users; convert proven demand into recurring SaaS and membership revenue; and begin accumulating defensible IP — proprietary assessment methodology, content corpus, and a GreenTrust scoring model — that compounds in value over time.</w:t>
      </w:r>
    </w:p>
    <w:p>
      <w:pPr>
        <w:pStyle w:val="BodyText"/>
      </w:pPr>
      <w:r>
        <w:t xml:space="preserve">Phase 1 is a website, not an application platform. Its job is to generate traffic, trust, and leads, and to validate — cheaply — that people will pay. GreenTrust’s full governance product and CyberAbeer Labs’ full gamified platform are Phase 2+.</w:t>
      </w:r>
    </w:p>
    <w:p>
      <w:pPr>
        <w:pStyle w:val="Heading2"/>
      </w:pPr>
      <w:bookmarkStart w:id="23" w:name="target-audiences"/>
      <w:r>
        <w:t xml:space="preserve">2. Target Audiences</w:t>
      </w:r>
      <w:bookmarkEnd w:id="23"/>
    </w:p>
    <w:p>
      <w:pPr>
        <w:pStyle w:val="FirstParagraph"/>
      </w:pPr>
      <w:r>
        <w:t xml:space="preserve">Five distinct audiences, each with different intent and different content needs.</w:t>
      </w:r>
    </w:p>
    <w:p>
      <w:pPr>
        <w:pStyle w:val="BodyText"/>
      </w:pPr>
      <w:r>
        <w:rPr>
          <w:b/>
        </w:rPr>
        <w:t xml:space="preserve">Enterprise security and risk leaders</w:t>
      </w:r>
      <w:r>
        <w:t xml:space="preserve"> </w:t>
      </w:r>
      <w:r>
        <w:t xml:space="preserve">— CISOs, heads of GRC, AI governance leads, mostly in GCC enterprises and government, some international. They arrive searching for AI agent governance, non-human identity management, or post-quantum readiness, and they need credibility signals (credentials, research, methodology) before they will engage a consultant or pilot a SaaS tool.</w:t>
      </w:r>
    </w:p>
    <w:p>
      <w:pPr>
        <w:pStyle w:val="BodyText"/>
      </w:pPr>
      <w:r>
        <w:rPr>
          <w:b/>
        </w:rPr>
        <w:t xml:space="preserve">Arabic-speaking cybersecurity students and early-career professionals</w:t>
      </w:r>
      <w:r>
        <w:t xml:space="preserve"> </w:t>
      </w:r>
      <w:r>
        <w:t xml:space="preserve">— university students, bootcamp graduates, career changers, drawn from Dr. Abeer’s existing social audience. They want practical, gamified, affordable skill-building and certification prep in natural Arabic with correct English technical terminology.</w:t>
      </w:r>
    </w:p>
    <w:p>
      <w:pPr>
        <w:pStyle w:val="BodyText"/>
      </w:pPr>
      <w:r>
        <w:rPr>
          <w:b/>
        </w:rPr>
        <w:t xml:space="preserve">International English-speaking learners</w:t>
      </w:r>
      <w:r>
        <w:t xml:space="preserve"> </w:t>
      </w:r>
      <w:r>
        <w:t xml:space="preserve">— a smaller but valuable segment for CyberAbeer Labs, drawn from SEO and general cybersecurity-education search demand (CISSP prep, SOC training, network security labs).</w:t>
      </w:r>
    </w:p>
    <w:p>
      <w:pPr>
        <w:pStyle w:val="BodyText"/>
      </w:pPr>
      <w:r>
        <w:rPr>
          <w:b/>
        </w:rPr>
        <w:t xml:space="preserve">Consultants, speakers, and media</w:t>
      </w:r>
      <w:r>
        <w:t xml:space="preserve"> </w:t>
      </w:r>
      <w:r>
        <w:t xml:space="preserve">— people evaluating Dr. Abeer for speaking engagements, advisory roles, or press commentary, who land on the About/Research/Speaking pages.</w:t>
      </w:r>
    </w:p>
    <w:p>
      <w:pPr>
        <w:pStyle w:val="BodyText"/>
      </w:pPr>
      <w:r>
        <w:rPr>
          <w:b/>
        </w:rPr>
        <w:t xml:space="preserve">Journalists, researchers, and academics</w:t>
      </w:r>
      <w:r>
        <w:t xml:space="preserve"> </w:t>
      </w:r>
      <w:r>
        <w:t xml:space="preserve">— a smaller audience consuming the Research and Insights sections, valuable for backlinks, citations, and third-party credibility.</w:t>
      </w:r>
    </w:p>
    <w:p>
      <w:pPr>
        <w:pStyle w:val="Heading2"/>
      </w:pPr>
      <w:bookmarkStart w:id="24" w:name="value-propositions"/>
      <w:r>
        <w:t xml:space="preserve">3. Value Propositions</w:t>
      </w:r>
      <w:bookmarkEnd w:id="24"/>
    </w:p>
    <w:p>
      <w:pPr>
        <w:pStyle w:val="FirstParagraph"/>
      </w:pPr>
      <w:r>
        <w:t xml:space="preserve">For organizations:</w:t>
      </w:r>
      <w:r>
        <w:t xml:space="preserve"> </w:t>
      </w:r>
      <w:r>
        <w:t xml:space="preserve">“</w:t>
      </w:r>
      <w:r>
        <w:t xml:space="preserve">Know what your AI agents are doing, who is accountable for them, and whether your cryptography will survive the next decade — before a regulator or an auditor asks.</w:t>
      </w:r>
      <w:r>
        <w:t xml:space="preserve">”</w:t>
      </w:r>
      <w:r>
        <w:t xml:space="preserve"> </w:t>
      </w:r>
      <w:r>
        <w:t xml:space="preserve">GreenTrust turns invisible AI-agent sprawl and looming post-quantum risk into a governed, auditable, scored program.</w:t>
      </w:r>
    </w:p>
    <w:p>
      <w:pPr>
        <w:pStyle w:val="BodyText"/>
      </w:pPr>
      <w:r>
        <w:t xml:space="preserve">For learners:</w:t>
      </w:r>
      <w:r>
        <w:t xml:space="preserve"> </w:t>
      </w:r>
      <w:r>
        <w:t xml:space="preserve">“</w:t>
      </w:r>
      <w:r>
        <w:t xml:space="preserve">Learn cybersecurity the way it’s actually practiced — in Arabic and English, through real scenarios, not just lecture videos.</w:t>
      </w:r>
      <w:r>
        <w:t xml:space="preserve">”</w:t>
      </w:r>
      <w:r>
        <w:t xml:space="preserve"> </w:t>
      </w:r>
      <w:r>
        <w:t xml:space="preserve">CyberAbeer Labs converts passive content consumption into hands-on, gamified competence with visible progress (XP, badges, certificates).</w:t>
      </w:r>
    </w:p>
    <w:p>
      <w:pPr>
        <w:pStyle w:val="BodyText"/>
      </w:pPr>
      <w:r>
        <w:t xml:space="preserve">For the market broadly: Dr. Abeer is the rare practitioner who holds both the enterprise governance credibility (CISSP, CISM, ISO 27001 Lead Auditor, two decades of practice) and the ability to teach the next generation in their own language. No competing brand currently occupies both positions credibly in the Arabic-speaking cybersecurity market.</w:t>
      </w:r>
    </w:p>
    <w:p>
      <w:pPr>
        <w:pStyle w:val="Heading2"/>
      </w:pPr>
      <w:bookmarkStart w:id="25" w:name="brand-architecture"/>
      <w:r>
        <w:t xml:space="preserve">4. Brand Architecture</w:t>
      </w:r>
      <w:bookmarkEnd w:id="25"/>
    </w:p>
    <w:p>
      <w:pPr>
        <w:pStyle w:val="FirstParagraph"/>
      </w:pPr>
      <w:r>
        <w:t xml:space="preserve">CyberAbeer (cyberabeer.com) is the parent authority brand — Dr. Abeer’s personal and professional identity, housing research, thought leadership, speaking, and the entry point to both commercial engines. It is not itself a product.</w:t>
      </w:r>
    </w:p>
    <w:p>
      <w:pPr>
        <w:pStyle w:val="BodyText"/>
      </w:pPr>
      <w:r>
        <w:t xml:space="preserve">GreenTrust AI is the enterprise product brand, positioned as</w:t>
      </w:r>
      <w:r>
        <w:t xml:space="preserve"> </w:t>
      </w:r>
      <w:r>
        <w:t xml:space="preserve">“</w:t>
      </w:r>
      <w:r>
        <w:t xml:space="preserve">Trust, Governance and Protection for the Agentic Enterprise</w:t>
      </w:r>
      <w:r>
        <w:t xml:space="preserve">”</w:t>
      </w:r>
      <w:r>
        <w:t xml:space="preserve"> </w:t>
      </w:r>
      <w:r>
        <w:t xml:space="preserve">/</w:t>
      </w:r>
      <w:r>
        <w:t xml:space="preserve"> </w:t>
      </w:r>
      <w:r>
        <w:t xml:space="preserve">“</w:t>
      </w:r>
      <w:r>
        <w:t xml:space="preserve">الثقة والحوكمة والحماية لعصر الوكلاء الذكيين.</w:t>
      </w:r>
      <w:r>
        <w:t xml:space="preserve">”</w:t>
      </w:r>
      <w:r>
        <w:t xml:space="preserve"> </w:t>
      </w:r>
      <w:r>
        <w:t xml:space="preserve">It lives at cyberabeer.com/greentrust in Phase 1 (a dedicated greentrust.ai or similar domain is a Phase 2+ decision once demand is validated).</w:t>
      </w:r>
    </w:p>
    <w:p>
      <w:pPr>
        <w:pStyle w:val="BodyText"/>
      </w:pPr>
      <w:r>
        <w:t xml:space="preserve">CyberAbeer Labs is the learner-facing product brand, visually and commercially distinct from GreenTrust. It lives at cyberabeer.com/cyber-labs in Phase 1. Its visual identity (color, tone, gamified UI language) must never bleed into GreenTrust’s enterprise screens, and vice versa — an enterprise buyer evaluating GreenTrust should never see game mechanics, and a student should never be confronted with enterprise sales language.</w:t>
      </w:r>
    </w:p>
    <w:p>
      <w:pPr>
        <w:pStyle w:val="BodyText"/>
      </w:pPr>
      <w:r>
        <w:t xml:space="preserve">Relationship: CyberAbeer is the umbrella that lends credibility to both. GreenTrust monetizes enterprises; CyberAbeer Labs monetizes individuals. Both funnels originate from CyberAbeer’s authority content.</w:t>
      </w:r>
    </w:p>
    <w:p>
      <w:pPr>
        <w:pStyle w:val="Heading2"/>
      </w:pPr>
      <w:bookmarkStart w:id="26" w:name="complete-bilingual-sitemap"/>
      <w:r>
        <w:t xml:space="preserve">5. Complete Bilingual Sitemap</w:t>
      </w:r>
      <w:bookmarkEnd w:id="26"/>
    </w:p>
    <w:p>
      <w:pPr>
        <w:pStyle w:val="FirstParagraph"/>
      </w:pPr>
      <w:r>
        <w:t xml:space="preserve">Every public route exists in parallel under</w:t>
      </w:r>
      <w:r>
        <w:t xml:space="preserve"> </w:t>
      </w:r>
      <w:r>
        <w:rPr>
          <w:rStyle w:val="VerbatimChar"/>
        </w:rPr>
        <w:t xml:space="preserve">/en/</w:t>
      </w:r>
      <w:r>
        <w:t xml:space="preserve"> </w:t>
      </w:r>
      <w:r>
        <w:t xml:space="preserve">and</w:t>
      </w:r>
      <w:r>
        <w:t xml:space="preserve"> </w:t>
      </w:r>
      <w:r>
        <w:rPr>
          <w:rStyle w:val="VerbatimChar"/>
        </w:rPr>
        <w:t xml:space="preserve">/ar/</w:t>
      </w:r>
      <w:r>
        <w:t xml:space="preserve">, sharing a single content model with locale-specific fields (title, body, meta, slug) rather than duplicated page types.</w:t>
      </w:r>
    </w:p>
    <w:p>
      <w:pPr>
        <w:pStyle w:val="SourceCode"/>
      </w:pPr>
      <w:r>
        <w:rPr>
          <w:rStyle w:val="VerbatimChar"/>
        </w:rPr>
        <w:t xml:space="preserve">/en/                              /ar/</w:t>
      </w:r>
      <w:r>
        <w:br/>
      </w:r>
      <w:r>
        <w:rPr>
          <w:rStyle w:val="VerbatimChar"/>
        </w:rPr>
        <w:t xml:space="preserve">/en/about                         /ar/about                    (About Dr. Abeer)</w:t>
      </w:r>
      <w:r>
        <w:br/>
      </w:r>
      <w:r>
        <w:rPr>
          <w:rStyle w:val="VerbatimChar"/>
        </w:rPr>
        <w:t xml:space="preserve">/en/greentrust                    /ar/greentrust                (GreenTrust AI landing)</w:t>
      </w:r>
      <w:r>
        <w:br/>
      </w:r>
      <w:r>
        <w:rPr>
          <w:rStyle w:val="VerbatimChar"/>
        </w:rPr>
        <w:t xml:space="preserve">/en/greentrust/assessment         /ar/greentrust/assessment     (Free AI governance assessment)</w:t>
      </w:r>
      <w:r>
        <w:br/>
      </w:r>
      <w:r>
        <w:rPr>
          <w:rStyle w:val="VerbatimChar"/>
        </w:rPr>
        <w:t xml:space="preserve">/en/greentrust/quantum-assessment /ar/greentrust/quantum-assessment</w:t>
      </w:r>
      <w:r>
        <w:br/>
      </w:r>
      <w:r>
        <w:rPr>
          <w:rStyle w:val="VerbatimChar"/>
        </w:rPr>
        <w:t xml:space="preserve">/en/cyber-labs                    /ar/cyber-labs                (CyberAbeer Labs landing)</w:t>
      </w:r>
      <w:r>
        <w:br/>
      </w:r>
      <w:r>
        <w:rPr>
          <w:rStyle w:val="VerbatimChar"/>
        </w:rPr>
        <w:t xml:space="preserve">/en/cyber-labs/challenge          /ar/cyber-labs/challenge      (Free weekly challenge)</w:t>
      </w:r>
      <w:r>
        <w:br/>
      </w:r>
      <w:r>
        <w:rPr>
          <w:rStyle w:val="VerbatimChar"/>
        </w:rPr>
        <w:t xml:space="preserve">/en/cyber-labs/paths/[path]       /ar/cyber-labs/paths/[path]</w:t>
      </w:r>
      <w:r>
        <w:br/>
      </w:r>
      <w:r>
        <w:rPr>
          <w:rStyle w:val="VerbatimChar"/>
        </w:rPr>
        <w:t xml:space="preserve">/en/research                      /ar/research</w:t>
      </w:r>
      <w:r>
        <w:br/>
      </w:r>
      <w:r>
        <w:rPr>
          <w:rStyle w:val="VerbatimChar"/>
        </w:rPr>
        <w:t xml:space="preserve">/en/insights                      /ar/insights                  (blog index)</w:t>
      </w:r>
      <w:r>
        <w:br/>
      </w:r>
      <w:r>
        <w:rPr>
          <w:rStyle w:val="VerbatimChar"/>
        </w:rPr>
        <w:t xml:space="preserve">/en/insights/[slug]               /ar/insights/[slug]</w:t>
      </w:r>
      <w:r>
        <w:br/>
      </w:r>
      <w:r>
        <w:rPr>
          <w:rStyle w:val="VerbatimChar"/>
        </w:rPr>
        <w:t xml:space="preserve">/en/tools                         /ar/tools                     (free tools index)</w:t>
      </w:r>
      <w:r>
        <w:br/>
      </w:r>
      <w:r>
        <w:rPr>
          <w:rStyle w:val="VerbatimChar"/>
        </w:rPr>
        <w:t xml:space="preserve">/en/tools/[tool-slug]             /ar/tools/[tool-slug]</w:t>
      </w:r>
      <w:r>
        <w:br/>
      </w:r>
      <w:r>
        <w:rPr>
          <w:rStyle w:val="VerbatimChar"/>
        </w:rPr>
        <w:t xml:space="preserve">/en/resources                     /ar/resources                 (templates, checklists, downloads)</w:t>
      </w:r>
      <w:r>
        <w:br/>
      </w:r>
      <w:r>
        <w:rPr>
          <w:rStyle w:val="VerbatimChar"/>
        </w:rPr>
        <w:t xml:space="preserve">/en/speaking                      /ar/speaking</w:t>
      </w:r>
      <w:r>
        <w:br/>
      </w:r>
      <w:r>
        <w:rPr>
          <w:rStyle w:val="VerbatimChar"/>
        </w:rPr>
        <w:t xml:space="preserve">/en/contact                       /ar/contact</w:t>
      </w:r>
      <w:r>
        <w:br/>
      </w:r>
      <w:r>
        <w:rPr>
          <w:rStyle w:val="VerbatimChar"/>
        </w:rPr>
        <w:t xml:space="preserve">/en/login                         /ar/login</w:t>
      </w:r>
      <w:r>
        <w:br/>
      </w:r>
      <w:r>
        <w:rPr>
          <w:rStyle w:val="VerbatimChar"/>
        </w:rPr>
        <w:t xml:space="preserve">/en/register                      /ar/register</w:t>
      </w:r>
      <w:r>
        <w:br/>
      </w:r>
      <w:r>
        <w:rPr>
          <w:rStyle w:val="VerbatimChar"/>
        </w:rPr>
        <w:t xml:space="preserve">/en/account                       /ar/account                   (authenticated area, minimal in Phase 1)</w:t>
      </w:r>
      <w:r>
        <w:br/>
      </w:r>
      <w:r>
        <w:rPr>
          <w:rStyle w:val="VerbatimChar"/>
        </w:rPr>
        <w:t xml:space="preserve">/en/legal/privacy                 /ar/legal/privacy</w:t>
      </w:r>
      <w:r>
        <w:br/>
      </w:r>
      <w:r>
        <w:rPr>
          <w:rStyle w:val="VerbatimChar"/>
        </w:rPr>
        <w:t xml:space="preserve">/en/legal/terms                   /ar/legal/terms</w:t>
      </w:r>
      <w:r>
        <w:br/>
      </w:r>
      <w:r>
        <w:rPr>
          <w:rStyle w:val="VerbatimChar"/>
        </w:rPr>
        <w:t xml:space="preserve">/sitemap.xml   /robots.txt        (shared, locale-aware via hreflang)</w:t>
      </w:r>
    </w:p>
    <w:p>
      <w:pPr>
        <w:pStyle w:val="Heading2"/>
      </w:pPr>
      <w:bookmarkStart w:id="27" w:name="english-information-architecture"/>
      <w:r>
        <w:t xml:space="preserve">6. English Information Architecture</w:t>
      </w:r>
      <w:bookmarkEnd w:id="27"/>
    </w:p>
    <w:p>
      <w:pPr>
        <w:pStyle w:val="FirstParagraph"/>
      </w:pPr>
      <w:r>
        <w:t xml:space="preserve">Primary navigation: Home, About Dr. Abeer, GreenTrust AI, CyberAbeer Labs, Free Tools, Research, Insights, Resources, Speaking, Contact, Login. Utility navigation: language switcher (EN/AR), Login/Register.</w:t>
      </w:r>
    </w:p>
    <w:p>
      <w:pPr>
        <w:pStyle w:val="BodyText"/>
      </w:pPr>
      <w:r>
        <w:t xml:space="preserve">Footer architecture carries secondary depth: GreenTrust submenu (Overview, Free Assessment, AI Agent Governance, Post-Quantum Readiness, Pricing, Contact Sales); CyberAbeer Labs submenu (Overview, Learning Paths, Free Challenge, Pricing, For Universities); Company (About, Research, Speaking, Contact, Privacy, Terms); Resources (Insights, Free Tools, Newsletter signup).</w:t>
      </w:r>
    </w:p>
    <w:p>
      <w:pPr>
        <w:pStyle w:val="BodyText"/>
      </w:pPr>
      <w:r>
        <w:t xml:space="preserve">Breadcrumb structure follows the URL hierarchy exactly (Home &gt; Insights &gt; [Article]) to support both users and breadcrumb schema.</w:t>
      </w:r>
    </w:p>
    <w:p>
      <w:pPr>
        <w:pStyle w:val="Heading2"/>
      </w:pPr>
      <w:bookmarkStart w:id="28" w:name="arabic-information-architecture"/>
      <w:r>
        <w:t xml:space="preserve">7. Arabic Information Architecture</w:t>
      </w:r>
      <w:bookmarkEnd w:id="28"/>
    </w:p>
    <w:p>
      <w:pPr>
        <w:pStyle w:val="FirstParagraph"/>
      </w:pPr>
      <w:r>
        <w:t xml:space="preserve">Arabic IA mirrors the English structure one-to-one for consistency and maintainability, but is not a mirror of English wording. Navigation labels, page order emphasis, and even which free tools are promoted first can differ if Arabic search demand or audience behavior warrants it (for example, the free cyber challenge may be given more homepage prominence in Arabic given the existing student audience, while English may lead with the GreenTrust assessment). RTL layout is applied at the document level (</w:t>
      </w:r>
      <w:r>
        <w:rPr>
          <w:rStyle w:val="VerbatimChar"/>
        </w:rPr>
        <w:t xml:space="preserve">dir="rtl"</w:t>
      </w:r>
      <w:r>
        <w:t xml:space="preserve"> </w:t>
      </w:r>
      <w:r>
        <w:t xml:space="preserve">on</w:t>
      </w:r>
      <w:r>
        <w:t xml:space="preserve"> </w:t>
      </w:r>
      <w:r>
        <w:rPr>
          <w:rStyle w:val="VerbatimChar"/>
        </w:rPr>
        <w:t xml:space="preserve">&lt;html lang="ar"&gt;</w:t>
      </w:r>
      <w:r>
        <w:t xml:space="preserve">), not per-component, so every shared component must be built RTL-aware (logical CSS properties —</w:t>
      </w:r>
      <w:r>
        <w:t xml:space="preserve"> </w:t>
      </w:r>
      <w:r>
        <w:rPr>
          <w:rStyle w:val="VerbatimChar"/>
        </w:rPr>
        <w:t xml:space="preserve">margin-inline-start</w:t>
      </w:r>
      <w:r>
        <w:t xml:space="preserve"> </w:t>
      </w:r>
      <w:r>
        <w:t xml:space="preserve">rather than</w:t>
      </w:r>
      <w:r>
        <w:t xml:space="preserve"> </w:t>
      </w:r>
      <w:r>
        <w:rPr>
          <w:rStyle w:val="VerbatimChar"/>
        </w:rPr>
        <w:t xml:space="preserve">margin-left</w:t>
      </w:r>
      <w:r>
        <w:t xml:space="preserve">, mirrored icons/arrows, right-aligned forms).</w:t>
      </w:r>
    </w:p>
    <w:p>
      <w:pPr>
        <w:pStyle w:val="Heading2"/>
      </w:pPr>
      <w:bookmarkStart w:id="29" w:name="homepage-structure"/>
      <w:r>
        <w:t xml:space="preserve">8. Homepage Structure</w:t>
      </w:r>
      <w:bookmarkEnd w:id="29"/>
    </w:p>
    <w:p>
      <w:pPr>
        <w:pStyle w:val="FirstParagraph"/>
      </w:pPr>
      <w:r>
        <w:t xml:space="preserve">Hero: Dr. Abeer’s authority statement and credentials, with two immediate, equally weighted CTAs —</w:t>
      </w:r>
      <w:r>
        <w:t xml:space="preserve"> </w:t>
      </w:r>
      <w:r>
        <w:t xml:space="preserve">“</w:t>
      </w:r>
      <w:r>
        <w:t xml:space="preserve">For Organizations: Explore GreenTrust AI</w:t>
      </w:r>
      <w:r>
        <w:t xml:space="preserve">”</w:t>
      </w:r>
      <w:r>
        <w:t xml:space="preserve"> </w:t>
      </w:r>
      <w:r>
        <w:t xml:space="preserve">and</w:t>
      </w:r>
      <w:r>
        <w:t xml:space="preserve"> </w:t>
      </w:r>
      <w:r>
        <w:t xml:space="preserve">“</w:t>
      </w:r>
      <w:r>
        <w:t xml:space="preserve">For Learners: Enter CyberAbeer Labs</w:t>
      </w:r>
      <w:r>
        <w:t xml:space="preserve">”</w:t>
      </w:r>
      <w:r>
        <w:t xml:space="preserve"> </w:t>
      </w:r>
      <w:r>
        <w:t xml:space="preserve">— so the page never reads as a course marketplace or a single-product SaaS site.</w:t>
      </w:r>
    </w:p>
    <w:p>
      <w:pPr>
        <w:pStyle w:val="BodyText"/>
      </w:pPr>
      <w:r>
        <w:t xml:space="preserve">Below the fold, in order: a short authority/credibility strip (CISSP, CISM, ISO 27001 Lead Auditor, years of experience, notable research or speaking); a</w:t>
      </w:r>
      <w:r>
        <w:t xml:space="preserve"> </w:t>
      </w:r>
      <w:r>
        <w:t xml:space="preserve">“</w:t>
      </w:r>
      <w:r>
        <w:t xml:space="preserve">Why AI Agent Governance Matters Now</w:t>
      </w:r>
      <w:r>
        <w:t xml:space="preserve">”</w:t>
      </w:r>
      <w:r>
        <w:t xml:space="preserve"> </w:t>
      </w:r>
      <w:r>
        <w:t xml:space="preserve">teaser linking to GreenTrust; a</w:t>
      </w:r>
      <w:r>
        <w:t xml:space="preserve"> </w:t>
      </w:r>
      <w:r>
        <w:t xml:space="preserve">“</w:t>
      </w:r>
      <w:r>
        <w:t xml:space="preserve">Learn Cybersecurity, Gamified</w:t>
      </w:r>
      <w:r>
        <w:t xml:space="preserve">”</w:t>
      </w:r>
      <w:r>
        <w:t xml:space="preserve"> </w:t>
      </w:r>
      <w:r>
        <w:t xml:space="preserve">teaser linking to Labs with a preview of XP/badges/leaderboard; a free-tools strip (assessment, checklist, weekly challenge) with single-field email capture; latest Insights articles (3–4, mixed EN topics); a testimonials/social-proof section (populated as they’re collected — placeholder framing in Phase 1); a newsletter signup with segment choice (</w:t>
      </w:r>
      <w:r>
        <w:t xml:space="preserve">“</w:t>
      </w:r>
      <w:r>
        <w:t xml:space="preserve">Enterprise &amp; AI Governance</w:t>
      </w:r>
      <w:r>
        <w:t xml:space="preserve">”</w:t>
      </w:r>
      <w:r>
        <w:t xml:space="preserve"> </w:t>
      </w:r>
      <w:r>
        <w:t xml:space="preserve">vs. </w:t>
      </w:r>
      <w:r>
        <w:t xml:space="preserve">“</w:t>
      </w:r>
      <w:r>
        <w:t xml:space="preserve">Student &amp; Learning</w:t>
      </w:r>
      <w:r>
        <w:t xml:space="preserve">”</w:t>
      </w:r>
      <w:r>
        <w:t xml:space="preserve">); and a final dual CTA repeating the two-audience split.</w:t>
      </w:r>
    </w:p>
    <w:p>
      <w:pPr>
        <w:pStyle w:val="Heading2"/>
      </w:pPr>
      <w:bookmarkStart w:id="30" w:name="greentrust-landing-page-structure"/>
      <w:r>
        <w:t xml:space="preserve">9. GreenTrust Landing-Page Structure</w:t>
      </w:r>
      <w:bookmarkEnd w:id="30"/>
    </w:p>
    <w:p>
      <w:pPr>
        <w:pStyle w:val="FirstParagraph"/>
      </w:pPr>
      <w:r>
        <w:t xml:space="preserve">Hero establishes the specific pain (ungoverned AI agents, non-human identity sprawl, unknown cryptographic exposure) and the tagline. Followed by: a three-pillar explainer (AI Agent Governance, Non-Human Identity &amp; Accountability, Post-Quantum Readiness); a</w:t>
      </w:r>
      <w:r>
        <w:t xml:space="preserve"> </w:t>
      </w:r>
      <w:r>
        <w:t xml:space="preserve">“</w:t>
      </w:r>
      <w:r>
        <w:t xml:space="preserve">How GreenTrust Works</w:t>
      </w:r>
      <w:r>
        <w:t xml:space="preserve">”</w:t>
      </w:r>
      <w:r>
        <w:t xml:space="preserve"> </w:t>
      </w:r>
      <w:r>
        <w:t xml:space="preserve">section (Agent Inventory → Agent Passport → Risk Assessment → Governance Controls → Executive Dashboard → GreenTrust Score); a primary CTA to the free Quick Assessment; a secondary CTA to the Quantum Readiness Quick Assessment; a pricing/engagement-model overview (Free Assessment, Professional Assessment, Consultant Plan, SME Annual, Enterprise/Government — Contact Sales, no self-service checkout required for the top tiers); FAQ block (schema-marked); and a contact-sales form capturing company, role, use case, and timeline.</w:t>
      </w:r>
    </w:p>
    <w:p>
      <w:pPr>
        <w:pStyle w:val="Heading2"/>
      </w:pPr>
      <w:bookmarkStart w:id="31" w:name="cyberabeer-labs-landing-page-structure"/>
      <w:r>
        <w:t xml:space="preserve">10. CyberAbeer Labs Landing-Page Structure</w:t>
      </w:r>
      <w:bookmarkEnd w:id="31"/>
    </w:p>
    <w:p>
      <w:pPr>
        <w:pStyle w:val="FirstParagraph"/>
      </w:pPr>
      <w:r>
        <w:t xml:space="preserve">Distinct visual system (more energetic color palette, progress/gamification motifs) clearly separated from GreenTrust’s enterprise tone. Hero leads with the value proposition and a single strong CTA:</w:t>
      </w:r>
      <w:r>
        <w:t xml:space="preserve"> </w:t>
      </w:r>
      <w:r>
        <w:t xml:space="preserve">“</w:t>
      </w:r>
      <w:r>
        <w:t xml:space="preserve">Try a Free Challenge</w:t>
      </w:r>
      <w:r>
        <w:t xml:space="preserve">”</w:t>
      </w:r>
      <w:r>
        <w:t xml:space="preserve"> </w:t>
      </w:r>
      <w:r>
        <w:t xml:space="preserve">(lowest-friction entry, no signup required to attempt, signup required to save progress/XP). Followed by: learning-path cards (Foundations, Network Defender, SOC Analyst, Web Security, GRC &amp; Governance, Cloud Security, AI Security, Quantum Security (future), Certification Foundations) each showing what a learner earns; a</w:t>
      </w:r>
      <w:r>
        <w:t xml:space="preserve"> </w:t>
      </w:r>
      <w:r>
        <w:t xml:space="preserve">“</w:t>
      </w:r>
      <w:r>
        <w:t xml:space="preserve">How It Works</w:t>
      </w:r>
      <w:r>
        <w:t xml:space="preserve">”</w:t>
      </w:r>
      <w:r>
        <w:t xml:space="preserve"> </w:t>
      </w:r>
      <w:r>
        <w:t xml:space="preserve">gamification explainer (XP, levels, badges, streaks, leaderboard); an Arabic-first callout for Arabic-speaking students; pricing tiers (Free, Premium Monthly, Premium Annual, University/Team); testimonials from students; and a final CTA to create a free account.</w:t>
      </w:r>
    </w:p>
    <w:p>
      <w:pPr>
        <w:pStyle w:val="Heading2"/>
      </w:pPr>
      <w:bookmarkStart w:id="32" w:name="research-page"/>
      <w:r>
        <w:t xml:space="preserve">11. Research Page</w:t>
      </w:r>
      <w:bookmarkEnd w:id="32"/>
    </w:p>
    <w:p>
      <w:pPr>
        <w:pStyle w:val="FirstParagraph"/>
      </w:pPr>
      <w:r>
        <w:t xml:space="preserve">Positions Dr. Abeer’s scholarly and applied research (adaptive cybersecurity governance and related work). Structure: research overview/bio framing, publication list with abstracts and links (DOI or PDF where rights allow), research themes (AI governance, agentic security, post-quantum readiness, GRC), and a citation-friendly format (Person and Article/ScholarlyArticle schema) so the page is indexable and citable. Includes a CTA to Speaking and to relevant Insights articles that translate research into practitioner content.</w:t>
      </w:r>
    </w:p>
    <w:p>
      <w:pPr>
        <w:pStyle w:val="Heading2"/>
      </w:pPr>
      <w:bookmarkStart w:id="33" w:name="insights-architecture"/>
      <w:r>
        <w:t xml:space="preserve">12. Insights Architecture</w:t>
      </w:r>
      <w:bookmarkEnd w:id="33"/>
    </w:p>
    <w:p>
      <w:pPr>
        <w:pStyle w:val="FirstParagraph"/>
      </w:pPr>
      <w:r>
        <w:t xml:space="preserve">Insights is the blog/publishing engine, structured around content pillars rather than a flat chronological feed. Each pillar page (e.g., AI Agent Governance, Post-Quantum Security, Cybersecurity Careers) aggregates and links to its supporting articles; every supporting article links back to its pillar. Each article carries: locale-specific slug, title, meta description, canonical URL, hreflang pair, author (Person schema linking to Dr. Abeer), publish/updated dates, category/pillar tag, estimated read time, table of contents for long-form pieces, related-articles module, and a single contextual CTA matched to the topic (assessment, checklist, free trial, or newsletter — never a generic</w:t>
      </w:r>
      <w:r>
        <w:t xml:space="preserve"> </w:t>
      </w:r>
      <w:r>
        <w:t xml:space="preserve">“</w:t>
      </w:r>
      <w:r>
        <w:t xml:space="preserve">buy now</w:t>
      </w:r>
      <w:r>
        <w:t xml:space="preserve">”</w:t>
      </w:r>
      <w:r>
        <w:t xml:space="preserve">). Article schema and, where applicable, FAQ schema are applied automatically based on content structure.</w:t>
      </w:r>
    </w:p>
    <w:p>
      <w:pPr>
        <w:pStyle w:val="Heading2"/>
      </w:pPr>
      <w:bookmarkStart w:id="34" w:name="free-tools-architecture"/>
      <w:r>
        <w:t xml:space="preserve">13. Free Tools Architecture</w:t>
      </w:r>
      <w:bookmarkEnd w:id="34"/>
    </w:p>
    <w:p>
      <w:pPr>
        <w:pStyle w:val="FirstParagraph"/>
      </w:pPr>
      <w:r>
        <w:t xml:space="preserve">A dedicated</w:t>
      </w:r>
      <w:r>
        <w:t xml:space="preserve"> </w:t>
      </w:r>
      <w:r>
        <w:rPr>
          <w:rStyle w:val="VerbatimChar"/>
        </w:rPr>
        <w:t xml:space="preserve">/tools</w:t>
      </w:r>
      <w:r>
        <w:t xml:space="preserve"> </w:t>
      </w:r>
      <w:r>
        <w:t xml:space="preserve">index presenting each tool as a card with a one-line value statement. Priority tools for Phase 1: GreenTrust AI Agent Governance Quick Assessment, GreenTrust Quantum Readiness Quick Assessment, AI Agent Governance Checklist (download), Post-Quantum Readiness Checklist (download), Beginner Cybersecurity Skill Assessment, and the Free Cyber Challenge of the Week. Each tool follows the same interaction pattern: the user gets genuine value immediately (a score, a result, a downloadable artifact) and only afterward is invited to enter an email to receive the full report, save results, or get follow-up recommendations — value before ask, never a gate before the first result. Tools are built as lightweight client-side or server-rendered forms (no heavy backend needed in Phase 1) that write submissions to the leads/assessments table.</w:t>
      </w:r>
    </w:p>
    <w:p>
      <w:pPr>
        <w:pStyle w:val="Heading2"/>
      </w:pPr>
      <w:bookmarkStart w:id="35" w:name="user-acquisition-funnels"/>
      <w:r>
        <w:t xml:space="preserve">14. User Acquisition Funnels</w:t>
      </w:r>
      <w:bookmarkEnd w:id="35"/>
    </w:p>
    <w:p>
      <w:pPr>
        <w:pStyle w:val="FirstParagraph"/>
      </w:pPr>
      <w:r>
        <w:t xml:space="preserve">Two parallel funnels sharing the same top-of-funnel authority content.</w:t>
      </w:r>
    </w:p>
    <w:p>
      <w:pPr>
        <w:pStyle w:val="BodyText"/>
      </w:pPr>
      <w:r>
        <w:t xml:space="preserve">Enterprise funnel: organic/LinkedIn search → pillar or supporting Insights article → GreenTrust free assessment or governance checklist → email captured and segmented as</w:t>
      </w:r>
      <w:r>
        <w:t xml:space="preserve"> </w:t>
      </w:r>
      <w:r>
        <w:t xml:space="preserve">“</w:t>
      </w:r>
      <w:r>
        <w:t xml:space="preserve">Enterprise/AI Governance</w:t>
      </w:r>
      <w:r>
        <w:t xml:space="preserve">”</w:t>
      </w:r>
      <w:r>
        <w:t xml:space="preserve"> </w:t>
      </w:r>
      <w:r>
        <w:t xml:space="preserve">→ nurture sequence → contact-sales or professional assessment purchase → pilot/consulting engagement → case study.</w:t>
      </w:r>
    </w:p>
    <w:p>
      <w:pPr>
        <w:pStyle w:val="BodyText"/>
      </w:pPr>
      <w:r>
        <w:t xml:space="preserve">Learner funnel: Instagram/YouTube/organic search → mobile-optimized landing page or Insights article → free cyber challenge or skill assessment → free account creation → engagement with a learning path → upgrade prompt at a natural ceiling (path completion, leaderboard, certificate) → Premium Monthly/Annual → possible referral back into the community.</w:t>
      </w:r>
    </w:p>
    <w:p>
      <w:pPr>
        <w:pStyle w:val="BodyText"/>
      </w:pPr>
      <w:r>
        <w:t xml:space="preserve">Both funnels are designed to move anonymous visitors to known users (email) before known users to paying customers, never skipping the middle step.</w:t>
      </w:r>
    </w:p>
    <w:p>
      <w:pPr>
        <w:pStyle w:val="Heading2"/>
      </w:pPr>
      <w:bookmarkStart w:id="36" w:name="lead-generation-strategy"/>
      <w:r>
        <w:t xml:space="preserve">15. Lead-Generation Strategy</w:t>
      </w:r>
      <w:bookmarkEnd w:id="36"/>
    </w:p>
    <w:p>
      <w:pPr>
        <w:pStyle w:val="FirstParagraph"/>
      </w:pPr>
      <w:r>
        <w:t xml:space="preserve">Every content type maps to exactly one appropriate next action, never a hard sell: enterprise/AI-governance articles route to the free assessment or the governance checklist; quantum articles route to the Quantum Readiness Assessment; certification-related content routes to a free practice test; social (especially Instagram) traffic routes to the weekly challenge; general Labs content routes to free account creation. Every lead capture records source (page, campaign/UTM, locale) and audience segment at the point of capture so downstream email and sales workflows are pre-segmented, not sorted after the fact.</w:t>
      </w:r>
    </w:p>
    <w:p>
      <w:pPr>
        <w:pStyle w:val="Heading2"/>
      </w:pPr>
      <w:bookmarkStart w:id="37" w:name="seo-architecture"/>
      <w:r>
        <w:t xml:space="preserve">16. SEO Architecture</w:t>
      </w:r>
      <w:bookmarkEnd w:id="37"/>
    </w:p>
    <w:p>
      <w:pPr>
        <w:pStyle w:val="FirstParagraph"/>
      </w:pPr>
      <w:r>
        <w:t xml:space="preserve">Rendering approach uses static generation or server-side rendering for all public content (no client-side-only rendering of indexable pages), ensuring fast Core Web Vitals and mobile-first layouts. Every page ships semantic HTML, correct heading hierarchy, descriptive alt text, canonical URLs, and accessible navigation. Structured data is applied per page type: Organization and Person (site-wide/About), Article (Insights), Course (Labs learning paths, where accurate), FAQ (GreenTrust and Labs landing pages, Insights where relevant), Breadcrumb (all deep pages), and Product (GreenTrust and Labs pricing tiers, where applicable). Open Graph and X/Twitter card metadata are generated per page from the same content model. A single XML sitemap strategy covers both locales with</w:t>
      </w:r>
      <w:r>
        <w:t xml:space="preserve"> </w:t>
      </w:r>
      <w:r>
        <w:rPr>
          <w:rStyle w:val="VerbatimChar"/>
        </w:rPr>
        <w:t xml:space="preserve">hreflang="en"</w:t>
      </w:r>
      <w:r>
        <w:t xml:space="preserve"> </w:t>
      </w:r>
      <w:r>
        <w:t xml:space="preserve">/</w:t>
      </w:r>
      <w:r>
        <w:t xml:space="preserve"> </w:t>
      </w:r>
      <w:r>
        <w:rPr>
          <w:rStyle w:val="VerbatimChar"/>
        </w:rPr>
        <w:t xml:space="preserve">hreflang="ar"</w:t>
      </w:r>
      <w:r>
        <w:t xml:space="preserve"> </w:t>
      </w:r>
      <w:r>
        <w:t xml:space="preserve">/</w:t>
      </w:r>
      <w:r>
        <w:t xml:space="preserve"> </w:t>
      </w:r>
      <w:r>
        <w:rPr>
          <w:rStyle w:val="VerbatimChar"/>
        </w:rPr>
        <w:t xml:space="preserve">hreflang="x-default"</w:t>
      </w:r>
      <w:r>
        <w:t xml:space="preserve"> </w:t>
      </w:r>
      <w:r>
        <w:t xml:space="preserve">alternates declared on every localized pair, and</w:t>
      </w:r>
      <w:r>
        <w:t xml:space="preserve"> </w:t>
      </w:r>
      <w:r>
        <w:rPr>
          <w:rStyle w:val="VerbatimChar"/>
        </w:rPr>
        <w:t xml:space="preserve">robots.txt</w:t>
      </w:r>
      <w:r>
        <w:t xml:space="preserve"> </w:t>
      </w:r>
      <w:r>
        <w:t xml:space="preserve">references the sitemap and disallows account/auth routes only.</w:t>
      </w:r>
    </w:p>
    <w:p>
      <w:pPr>
        <w:pStyle w:val="Heading2"/>
      </w:pPr>
      <w:bookmarkStart w:id="38" w:name="arabic-seo-strategy"/>
      <w:r>
        <w:t xml:space="preserve">17. Arabic SEO Strategy</w:t>
      </w:r>
      <w:bookmarkEnd w:id="38"/>
    </w:p>
    <w:p>
      <w:pPr>
        <w:pStyle w:val="FirstParagraph"/>
      </w:pPr>
      <w:r>
        <w:t xml:space="preserve">Arabic keyword research is conducted independently of English — not translated — because search behavior, phrasing, and intent differ. Enterprise-side Arabic targets center on حوكمة الذكاء الاصطناعي, أمن الذكاء الاصطناعي, مخاطر الذكاء الاصطناعي, حوكمة الوكلاء الذكيين, الأمن ما بعد الكم, and التشفير ما بعد الكم, addressed primarily through Insights pillar content and the GreenTrust Arabic landing page, written for a GCC enterprise/government reading level. Learner-side Arabic targets center on تعلم الأمن السيبراني, مختبرات الأمن السيبراني, اختبار الاختراق, دورات الأمن السيبراني, and مسار الأمن السيبراني, addressed through Labs content and challenge pages. Technical terms retain English alongside Arabic on first use within a page (e.g., جدار الحماية (Firewall)) so learners acquire the professional vocabulary, not just a translated concept. Content is written by/for natural Modern Standard Arabic, never machine-translated from English drafts, and reviewed against how GCC enterprises and universities actually phrase these topics.</w:t>
      </w:r>
    </w:p>
    <w:p>
      <w:pPr>
        <w:pStyle w:val="Heading2"/>
      </w:pPr>
      <w:bookmarkStart w:id="39" w:name="english-seo-strategy"/>
      <w:r>
        <w:t xml:space="preserve">18. English SEO Strategy</w:t>
      </w:r>
      <w:bookmarkEnd w:id="39"/>
    </w:p>
    <w:p>
      <w:pPr>
        <w:pStyle w:val="FirstParagraph"/>
      </w:pPr>
      <w:r>
        <w:t xml:space="preserve">English enterprise targets center on AI agent governance, AI agent security, agentic AI security, non-human identity governance, AI risk management, AI agent inventory, AI governance platform, post-quantum readiness, PQC migration, cryptographic inventory, and crypto agility — an underserved, emerging cluster where CyberAbeer/GreenTrust can plausibly rank ahead of larger, slower-moving GRC incumbents by publishing early and specifically. English learner targets center on cybersecurity labs, learn cybersecurity, network security labs, SOC analyst training, CISSP practice, CISM preparation, and ethical hacking labs — a more competitive cluster where differentiation comes from the bilingual angle and Dr. Abeer’s credentialed authority rather than keyword volume alone.</w:t>
      </w:r>
    </w:p>
    <w:p>
      <w:pPr>
        <w:pStyle w:val="Heading2"/>
      </w:pPr>
      <w:bookmarkStart w:id="40" w:name="content-cluster-strategy"/>
      <w:r>
        <w:t xml:space="preserve">19. Content Cluster Strategy</w:t>
      </w:r>
      <w:bookmarkEnd w:id="40"/>
    </w:p>
    <w:p>
      <w:pPr>
        <w:pStyle w:val="FirstParagraph"/>
      </w:pPr>
      <w:r>
        <w:t xml:space="preserve">Pillar pages anchor each cluster and are built first: AI Agent Governance, Agentic AI Security, Non-Human Identity, Post-Quantum Security, PQC Migration, Cybersecurity Careers, Cybersecurity Labs, GRC, and Network/Cloud/SOC security. Each pillar targets a broad head term, links out to 5–8 supporting articles targeting long-tail variants, and each supporting article links back to the pillar and laterally to 1–2 sibling articles. This structure is duplicated per locale, not translated verbatim — an Arabic pillar may emphasize different supporting angles than its English counterpart based on independent keyword research (Section 17). Publishing cadence in Phase 1 favors depth over volume: a small number of genuinely authoritative pillar pages beats a large volume of thin posts.</w:t>
      </w:r>
    </w:p>
    <w:p>
      <w:pPr>
        <w:pStyle w:val="Heading2"/>
      </w:pPr>
      <w:bookmarkStart w:id="41" w:name="technical-architecture"/>
      <w:r>
        <w:t xml:space="preserve">20. Technical Architecture</w:t>
      </w:r>
      <w:bookmarkEnd w:id="41"/>
    </w:p>
    <w:p>
      <w:pPr>
        <w:pStyle w:val="FirstParagraph"/>
      </w:pPr>
      <w:r>
        <w:t xml:space="preserve">A secure modular monolith, not microservices. Recommended stack: TypeScript throughout; a modern meta-framework capable of SSR/SSG and i18n routing (e.g., Next.js or SvelteKit) serving both</w:t>
      </w:r>
      <w:r>
        <w:t xml:space="preserve"> </w:t>
      </w:r>
      <w:r>
        <w:rPr>
          <w:rStyle w:val="VerbatimChar"/>
        </w:rPr>
        <w:t xml:space="preserve">/en</w:t>
      </w:r>
      <w:r>
        <w:t xml:space="preserve"> </w:t>
      </w:r>
      <w:r>
        <w:t xml:space="preserve">and</w:t>
      </w:r>
      <w:r>
        <w:t xml:space="preserve"> </w:t>
      </w:r>
      <w:r>
        <w:rPr>
          <w:rStyle w:val="VerbatimChar"/>
        </w:rPr>
        <w:t xml:space="preserve">/ar</w:t>
      </w:r>
      <w:r>
        <w:t xml:space="preserve"> </w:t>
      </w:r>
      <w:r>
        <w:t xml:space="preserve">from one codebase and one content model; PostgreSQL as the single system of record; Cloudflare-compatible hosting/CDN for performance and low operating cost; a clean, versioned internal API layer separating content, tools/assessments, leads, and auth so GreenTrust and Labs applications can be built as separate front-ends against the same backend in Phase 2 without a rewrite. No Kubernetes, no message bus, no multi-service orchestration — a single deployable application with clear internal module boundaries (content, tools, leads/CRM-lite, auth, payments-abstraction) is sufficient for Phase 1 load and budget.</w:t>
      </w:r>
    </w:p>
    <w:p>
      <w:pPr>
        <w:pStyle w:val="Heading2"/>
      </w:pPr>
      <w:bookmarkStart w:id="42" w:name="database-requirements"/>
      <w:r>
        <w:t xml:space="preserve">21. Database Requirements</w:t>
      </w:r>
      <w:bookmarkEnd w:id="42"/>
    </w:p>
    <w:p>
      <w:pPr>
        <w:pStyle w:val="FirstParagraph"/>
      </w:pPr>
      <w:r>
        <w:t xml:space="preserve">Core tables for Phase 1:</w:t>
      </w:r>
      <w:r>
        <w:t xml:space="preserve"> </w:t>
      </w:r>
      <w:r>
        <w:rPr>
          <w:rStyle w:val="VerbatimChar"/>
        </w:rPr>
        <w:t xml:space="preserve">users</w:t>
      </w:r>
      <w:r>
        <w:t xml:space="preserve"> </w:t>
      </w:r>
      <w:r>
        <w:t xml:space="preserve">(auth, locale preference, segment);</w:t>
      </w:r>
      <w:r>
        <w:t xml:space="preserve"> </w:t>
      </w:r>
      <w:r>
        <w:rPr>
          <w:rStyle w:val="VerbatimChar"/>
        </w:rPr>
        <w:t xml:space="preserve">content_pages</w:t>
      </w:r>
      <w:r>
        <w:t xml:space="preserve"> </w:t>
      </w:r>
      <w:r>
        <w:t xml:space="preserve">(locale-aware CMS-lite for Insights/Research/static pages, with fields for slug, locale, title, body, meta, schema type, pillar/cluster relations);</w:t>
      </w:r>
      <w:r>
        <w:t xml:space="preserve"> </w:t>
      </w:r>
      <w:r>
        <w:rPr>
          <w:rStyle w:val="VerbatimChar"/>
        </w:rPr>
        <w:t xml:space="preserve">leads</w:t>
      </w:r>
      <w:r>
        <w:t xml:space="preserve"> </w:t>
      </w:r>
      <w:r>
        <w:t xml:space="preserve">(email, source page, UTM/campaign, segment, consent timestamp, GDPR/PDPL-relevant fields);</w:t>
      </w:r>
      <w:r>
        <w:t xml:space="preserve"> </w:t>
      </w:r>
      <w:r>
        <w:rPr>
          <w:rStyle w:val="VerbatimChar"/>
        </w:rPr>
        <w:t xml:space="preserve">tool_submissions</w:t>
      </w:r>
      <w:r>
        <w:t xml:space="preserve"> </w:t>
      </w:r>
      <w:r>
        <w:t xml:space="preserve">(tool type, inputs, computed result/score, linked lead/user);</w:t>
      </w:r>
      <w:r>
        <w:t xml:space="preserve"> </w:t>
      </w:r>
      <w:r>
        <w:rPr>
          <w:rStyle w:val="VerbatimChar"/>
        </w:rPr>
        <w:t xml:space="preserve">newsletter_subscriptions</w:t>
      </w:r>
      <w:r>
        <w:t xml:space="preserve"> </w:t>
      </w:r>
      <w:r>
        <w:t xml:space="preserve">(segment: Enterprise/AI Governance, Quantum, Students, Certification);</w:t>
      </w:r>
      <w:r>
        <w:t xml:space="preserve"> </w:t>
      </w:r>
      <w:r>
        <w:rPr>
          <w:rStyle w:val="VerbatimChar"/>
        </w:rPr>
        <w:t xml:space="preserve">orders</w:t>
      </w:r>
      <w:r>
        <w:t xml:space="preserve">/</w:t>
      </w:r>
      <w:r>
        <w:rPr>
          <w:rStyle w:val="VerbatimChar"/>
        </w:rPr>
        <w:t xml:space="preserve">payments</w:t>
      </w:r>
      <w:r>
        <w:t xml:space="preserve"> </w:t>
      </w:r>
      <w:r>
        <w:t xml:space="preserve">(provider-agnostic: provider name, external reference, amount, currency, status, method — PayPal, manual invoice, bank transfer, PO reference all fit the same schema); and</w:t>
      </w:r>
      <w:r>
        <w:t xml:space="preserve"> </w:t>
      </w:r>
      <w:r>
        <w:rPr>
          <w:rStyle w:val="VerbatimChar"/>
        </w:rPr>
        <w:t xml:space="preserve">audit_log</w:t>
      </w:r>
      <w:r>
        <w:t xml:space="preserve"> </w:t>
      </w:r>
      <w:r>
        <w:t xml:space="preserve">(auth events, admin actions, payment status changes). Schema is designed so Labs’ later needs (XP, badges, learning-path progress) can be added as new tables referencing</w:t>
      </w:r>
      <w:r>
        <w:t xml:space="preserve"> </w:t>
      </w:r>
      <w:r>
        <w:rPr>
          <w:rStyle w:val="VerbatimChar"/>
        </w:rPr>
        <w:t xml:space="preserve">users</w:t>
      </w:r>
      <w:r>
        <w:t xml:space="preserve"> </w:t>
      </w:r>
      <w:r>
        <w:t xml:space="preserve">without touching the Phase 1 core.</w:t>
      </w:r>
    </w:p>
    <w:p>
      <w:pPr>
        <w:pStyle w:val="Heading2"/>
      </w:pPr>
      <w:bookmarkStart w:id="43" w:name="authentication-approach"/>
      <w:r>
        <w:t xml:space="preserve">22. Authentication Approach</w:t>
      </w:r>
      <w:bookmarkEnd w:id="43"/>
    </w:p>
    <w:p>
      <w:pPr>
        <w:pStyle w:val="FirstParagraph"/>
      </w:pPr>
      <w:r>
        <w:t xml:space="preserve">Email/password with secure hashing (Argon2id or bcrypt), email verification, and MFA-ready design from day one (TOTP field reserved on the user record even if MFA enforcement ships later). Session management via secure, HTTP-only, SameSite cookies; CSRF protection on all state-changing requests. Role-based access control from the start with a minimal role set (visitor, registered learner, enterprise lead, admin) so it doesn’t need to be retrofitted when Labs and GreenTrust dashboards arrive. No third-party social login is required for Phase 1, but the auth module should be built provider-agnostic so Google/Microsoft SSO can be added later without a schema change.</w:t>
      </w:r>
    </w:p>
    <w:p>
      <w:pPr>
        <w:pStyle w:val="Heading2"/>
      </w:pPr>
      <w:bookmarkStart w:id="44" w:name="paypal-architecture"/>
      <w:r>
        <w:t xml:space="preserve">23. PayPal Architecture</w:t>
      </w:r>
      <w:bookmarkEnd w:id="44"/>
    </w:p>
    <w:p>
      <w:pPr>
        <w:pStyle w:val="FirstParagraph"/>
      </w:pPr>
      <w:r>
        <w:t xml:space="preserve">PayPal is the sole Phase 1 payment method but is integrated behind a payment-provider abstraction (a</w:t>
      </w:r>
      <w:r>
        <w:t xml:space="preserve"> </w:t>
      </w:r>
      <w:r>
        <w:rPr>
          <w:rStyle w:val="VerbatimChar"/>
        </w:rPr>
        <w:t xml:space="preserve">PaymentProvider</w:t>
      </w:r>
      <w:r>
        <w:t xml:space="preserve"> </w:t>
      </w:r>
      <w:r>
        <w:t xml:space="preserve">interface with methods like</w:t>
      </w:r>
      <w:r>
        <w:t xml:space="preserve"> </w:t>
      </w:r>
      <w:r>
        <w:rPr>
          <w:rStyle w:val="VerbatimChar"/>
        </w:rPr>
        <w:t xml:space="preserve">createOrder</w:t>
      </w:r>
      <w:r>
        <w:t xml:space="preserve">,</w:t>
      </w:r>
      <w:r>
        <w:t xml:space="preserve"> </w:t>
      </w:r>
      <w:r>
        <w:rPr>
          <w:rStyle w:val="VerbatimChar"/>
        </w:rPr>
        <w:t xml:space="preserve">captureOrder</w:t>
      </w:r>
      <w:r>
        <w:t xml:space="preserve">,</w:t>
      </w:r>
      <w:r>
        <w:t xml:space="preserve"> </w:t>
      </w:r>
      <w:r>
        <w:rPr>
          <w:rStyle w:val="VerbatimChar"/>
        </w:rPr>
        <w:t xml:space="preserve">verifyWebhook</w:t>
      </w:r>
      <w:r>
        <w:t xml:space="preserve">) so a second provider (Stripe or a regional gateway) can be added later without touching checkout UI or order logic. All PayPal transactions are verified server-side (order capture confirmed via PayPal’s API, never trusted from client callback alone) and webhooks are signature-verified before updating order status. Enterprise customers bypass PayPal entirely via a</w:t>
      </w:r>
      <w:r>
        <w:t xml:space="preserve"> </w:t>
      </w:r>
      <w:r>
        <w:t xml:space="preserve">“</w:t>
      </w:r>
      <w:r>
        <w:t xml:space="preserve">Contact Sales</w:t>
      </w:r>
      <w:r>
        <w:t xml:space="preserve">”</w:t>
      </w:r>
      <w:r>
        <w:t xml:space="preserve"> </w:t>
      </w:r>
      <w:r>
        <w:t xml:space="preserve">flow that generates a manual invoice/PO/bank-transfer record in the same</w:t>
      </w:r>
      <w:r>
        <w:t xml:space="preserve"> </w:t>
      </w:r>
      <w:r>
        <w:rPr>
          <w:rStyle w:val="VerbatimChar"/>
        </w:rPr>
        <w:t xml:space="preserve">orders</w:t>
      </w:r>
      <w:r>
        <w:t xml:space="preserve"> </w:t>
      </w:r>
      <w:r>
        <w:t xml:space="preserve">table with</w:t>
      </w:r>
      <w:r>
        <w:t xml:space="preserve"> </w:t>
      </w:r>
      <w:r>
        <w:rPr>
          <w:rStyle w:val="VerbatimChar"/>
        </w:rPr>
        <w:t xml:space="preserve">method = manual</w:t>
      </w:r>
      <w:r>
        <w:t xml:space="preserve">, so reporting is unified regardless of payment path.</w:t>
      </w:r>
    </w:p>
    <w:p>
      <w:pPr>
        <w:pStyle w:val="Heading2"/>
      </w:pPr>
      <w:bookmarkStart w:id="45" w:name="analytics-strategy"/>
      <w:r>
        <w:t xml:space="preserve">24. Analytics Strategy</w:t>
      </w:r>
      <w:bookmarkEnd w:id="45"/>
    </w:p>
    <w:p>
      <w:pPr>
        <w:pStyle w:val="FirstParagraph"/>
      </w:pPr>
      <w:r>
        <w:t xml:space="preserve">Privacy-respecting, cookie-consent-aware analytics (e.g., Plausible or a self-hosted/GDPR-friendly GA4 configuration) tracking: page views and locale split (EN vs. AR traffic), funnel completion (tool started → tool completed → email captured → account created → purchase), UTM/source attribution per lead, and segment-level newsletter growth. Free-tool and challenge completion rates are tracked specifically since they are the primary lead-generation instruments. Dashboards should separate GreenTrust-funnel metrics from Labs-funnel metrics rather than blending them, since they have different target numbers and different owners’ attention.</w:t>
      </w:r>
    </w:p>
    <w:p>
      <w:pPr>
        <w:pStyle w:val="Heading2"/>
      </w:pPr>
      <w:bookmarkStart w:id="46" w:name="security-requirements"/>
      <w:r>
        <w:t xml:space="preserve">25. Security Requirements</w:t>
      </w:r>
      <w:bookmarkEnd w:id="46"/>
    </w:p>
    <w:p>
      <w:pPr>
        <w:pStyle w:val="FirstParagraph"/>
      </w:pPr>
      <w:r>
        <w:t xml:space="preserve">Baseline, non-negotiable for Phase 1: HTTPS/TLS everywhere; secure authentication with MFA-ready architecture (Section 22); strong RBAC and tenant/data isolation even at small scale; secure session handling; input validation and output encoding against XSS and injection on every form (especially the free-tool inputs and contact/lead forms, which are the most exposed surfaces); CSRF tokens on state-changing requests; security headers (CSP, X-Frame-Options, X-Content-Type-Options, Referrer-Policy, HSTS); rate limiting on auth, form submission, and API endpoints; secrets held in environment/secret-manager configuration, never in frontend code or client bundles; encryption in transit (TLS) and at rest (database-level encryption for PII/lead data); audit logging of auth events, admin actions, and payment status changes; server-side PayPal order verification and webhook signature verification (Section 23); secure file handling for any uploaded assets (resource downloads, resumes if collected); and a basic backup/recovery plan for the database from day one. A lightweight internal security review (not a full pen test) should gate the Phase 1 launch given no dedicated security team exists yet to catch regressions later.</w:t>
      </w:r>
    </w:p>
    <w:p>
      <w:pPr>
        <w:pStyle w:val="Heading2"/>
      </w:pPr>
      <w:bookmarkStart w:id="47" w:name="privacy-requirements"/>
      <w:r>
        <w:t xml:space="preserve">26. Privacy Requirements</w:t>
      </w:r>
      <w:bookmarkEnd w:id="47"/>
    </w:p>
    <w:p>
      <w:pPr>
        <w:pStyle w:val="FirstParagraph"/>
      </w:pPr>
      <w:r>
        <w:t xml:space="preserve">Collect the minimum necessary: email and segment for leads/newsletter, name/company/role only where a lead explicitly requests enterprise contact. No enterprise customer data or sensitive content is required to use the free GreenTrust assessments — they operate on self-reported governance metadata (counts, practices, yes/no/maturity answers), never on actual AI agent logs, code, or proprietary system data. Clear consent language and a plain-language privacy policy (bilingual) cover what’s collected, why, and how long it’s retained, addressing both GDPR-style principles and regional (Saudi PDPL) expectations given the GCC audience. The architecture should note, as a forward-looking design constraint even if not built in Phase 1, that any future AI-assisted features (Labs AI tutoring, GreenTrust AI analysis) must clearly separate operational data from data sent to any external AI provider, with a documented data-flow boundary, so that a future</w:t>
      </w:r>
      <w:r>
        <w:t xml:space="preserve"> </w:t>
      </w:r>
      <w:r>
        <w:t xml:space="preserve">“</w:t>
      </w:r>
      <w:r>
        <w:t xml:space="preserve">private AI / customer-managed endpoint</w:t>
      </w:r>
      <w:r>
        <w:t xml:space="preserve">”</w:t>
      </w:r>
      <w:r>
        <w:t xml:space="preserve"> </w:t>
      </w:r>
      <w:r>
        <w:t xml:space="preserve">option remains architecturally possible rather than needing a rebuild.</w:t>
      </w:r>
    </w:p>
    <w:p>
      <w:pPr>
        <w:pStyle w:val="Heading2"/>
      </w:pPr>
      <w:bookmarkStart w:id="48" w:name="accessibility-requirements"/>
      <w:r>
        <w:t xml:space="preserve">27. Accessibility Requirements</w:t>
      </w:r>
      <w:bookmarkEnd w:id="48"/>
    </w:p>
    <w:p>
      <w:pPr>
        <w:pStyle w:val="FirstParagraph"/>
      </w:pPr>
      <w:r>
        <w:t xml:space="preserve">WCAG 2.1 AA as the baseline target across both locales: sufficient color contrast in both the enterprise (GreenTrust) and gamified (Labs) visual systems; full keyboard navigability; visible focus states; semantic landmarks and heading order; descriptive alt text and ARIA labeling where semantic HTML alone is insufficient; accessible form labeling and error messaging (bilingual, and RTL-correct in Arabic); and touch-target sizing appropriate for the mobile-first Instagram-driven traffic Labs expects. RTL Arabic accessibility is treated as a first-class requirement, not an afterthought bolted onto an LTR design — screen-reader behavior and reading order must be verified in Arabic specifically, not assumed from the English build.</w:t>
      </w:r>
    </w:p>
    <w:p>
      <w:pPr>
        <w:pStyle w:val="Heading2"/>
      </w:pPr>
      <w:bookmarkStart w:id="49" w:name="phase-1-backlog"/>
      <w:r>
        <w:t xml:space="preserve">28. Phase 1 Backlog</w:t>
      </w:r>
      <w:bookmarkEnd w:id="49"/>
    </w:p>
    <w:p>
      <w:pPr>
        <w:pStyle w:val="FirstParagraph"/>
      </w:pPr>
      <w:r>
        <w:t xml:space="preserve">In priority build order: bilingual routing and content model (EN/AR, hreflang, RTL system); homepage; About Dr. Abeer; GreenTrust landing page; CyberAbeer Labs landing page; Research page; Insights system (pillar + supporting article templates, 4–6 pillar pages with initial supporting articles at launch); Free Tools index plus the two GreenTrust assessments and the skill assessment; one free gamified cyber challenge (browser-based, no VM provisioning); email capture and segmented newsletter signup; contact/enterprise-enquiry form; authentication (register/login/verify, minimal account page); PayPal-ready checkout scaffolding for the first Labs Premium tier (even if not yet fully live, the checkout path should exist to test purchase intent); SEO foundation (sitemap, robots.txt, schema, OG/Twitter meta, canonical/hreflang) applied to every template as it’s built, not retrofitted; and analytics instrumentation on every funnel step.</w:t>
      </w:r>
    </w:p>
    <w:p>
      <w:pPr>
        <w:pStyle w:val="Heading2"/>
      </w:pPr>
      <w:bookmarkStart w:id="50" w:name="what-not-to-build-yet"/>
      <w:r>
        <w:t xml:space="preserve">29. What NOT to Build Yet</w:t>
      </w:r>
      <w:bookmarkEnd w:id="50"/>
    </w:p>
    <w:p>
      <w:pPr>
        <w:pStyle w:val="FirstParagraph"/>
      </w:pPr>
      <w:r>
        <w:t xml:space="preserve">Explicitly out of scope for Phase 1: the full GreenTrust product (Agent Inventory, Agent Passport, Permission Governance, Agent Lifecycle, Shadow AI Registry, Executive Dashboard, GRCL Governance Engine, Cryptographic Inventory/PQC Migration Planning tooling); the full CyberAbeer Labs gamified platform (XP/leaderboard system, badges, streaks, multiple full learning paths, certification exams, real sandbox/VM lab environments); university/team licensing workflows; multiple payment providers; social/SSO login; a full CRM or marketing-automation integration (segmented email sending can start on a simple ESP); a mobile app; and any AI-tutoring or AI-analysis feature that would require a documented external-data-flow decision before it’s built. Phase 1 proves demand with lightweight, mostly static, content-and-forms infrastructure; Phase 2 builds the applications the validated demand justifies.</w:t>
      </w:r>
    </w:p>
    <w:p>
      <w:pPr>
        <w:pStyle w:val="Heading2"/>
      </w:pPr>
      <w:bookmarkStart w:id="51" w:name="acceptance-criteria-for-phase-1"/>
      <w:r>
        <w:t xml:space="preserve">30. Acceptance Criteria for Phase 1</w:t>
      </w:r>
      <w:bookmarkEnd w:id="51"/>
    </w:p>
    <w:p>
      <w:pPr>
        <w:pStyle w:val="FirstParagraph"/>
      </w:pPr>
      <w:r>
        <w:t xml:space="preserve">Phase 1 is complete and ready for launch when: the bilingual homepage, About, GreenTrust landing, Labs landing, Research, Insights, Tools, Resources, Speaking, and Contact pages are live in both</w:t>
      </w:r>
      <w:r>
        <w:t xml:space="preserve"> </w:t>
      </w:r>
      <w:r>
        <w:rPr>
          <w:rStyle w:val="VerbatimChar"/>
        </w:rPr>
        <w:t xml:space="preserve">/en/</w:t>
      </w:r>
      <w:r>
        <w:t xml:space="preserve"> </w:t>
      </w:r>
      <w:r>
        <w:t xml:space="preserve">and</w:t>
      </w:r>
      <w:r>
        <w:t xml:space="preserve"> </w:t>
      </w:r>
      <w:r>
        <w:rPr>
          <w:rStyle w:val="VerbatimChar"/>
        </w:rPr>
        <w:t xml:space="preserve">/ar/</w:t>
      </w:r>
      <w:r>
        <w:t xml:space="preserve"> </w:t>
      </w:r>
      <w:r>
        <w:t xml:space="preserve">with correct RTL rendering; at least 4–6 Insights pillar pages with supporting articles are published per the content-cluster structure; both GreenTrust free assessments and the skill assessment are functional end-to-end (input → result → optional email capture → stored submission); one free gamified cyber challenge is playable without account creation and prompts account creation to save progress; email capture is live and segmented (Enterprise/AI Governance, Quantum, Students, Certification) with a working newsletter signup; authentication (register, login, verify) works with MFA-ready fields present; PayPal checkout is wired and testable against at least one real Labs pricing tier, with server-side verification confirmed working in a sandbox transaction; every public page passes a schema-markup validation check (Organization, Person, Article, FAQ, Breadcrumb as applicable), has correct hreflang pairs, and is present in the XML sitemap; Core Web Vitals meet</w:t>
      </w:r>
      <w:r>
        <w:t xml:space="preserve"> </w:t>
      </w:r>
      <w:r>
        <w:t xml:space="preserve">“</w:t>
      </w:r>
      <w:r>
        <w:t xml:space="preserve">Good</w:t>
      </w:r>
      <w:r>
        <w:t xml:space="preserve">”</w:t>
      </w:r>
      <w:r>
        <w:t xml:space="preserve"> </w:t>
      </w:r>
      <w:r>
        <w:t xml:space="preserve">thresholds on mobile for the homepage, one GreenTrust page, and one Labs page; a WCAG 2.1 AA pass has been run against the homepage and both landing pages in both locales; and a basic security review confirms HTTPS, security headers, CSRF protection, input validation on all forms, rate limiting on auth and lead-capture endpoints, and no secrets present in frontend bundles.</w:t>
      </w:r>
    </w:p>
    <w:p>
      <w:pPr>
        <w:pStyle w:val="Heading2"/>
      </w:pPr>
      <w:bookmarkStart w:id="52" w:name="summary-what-drives-which-outcome"/>
      <w:r>
        <w:t xml:space="preserve">Summary: What Drives Which Outcome</w:t>
      </w:r>
      <w:bookmarkEnd w:id="52"/>
    </w:p>
    <w:p>
      <w:pPr>
        <w:pStyle w:val="FirstParagraph"/>
      </w:pPr>
      <w:r>
        <w:rPr>
          <w:b/>
        </w:rPr>
        <w:t xml:space="preserve">Traffic</w:t>
      </w:r>
      <w:r>
        <w:t xml:space="preserve"> </w:t>
      </w:r>
      <w:r>
        <w:t xml:space="preserve">is driven by the Insights content-cluster system (Sections 12, 19), independent Arabic/English SEO (Sections 16–18), and mobile-optimized landing pages built for Instagram/social referral (Section 15).</w:t>
      </w:r>
    </w:p>
    <w:p>
      <w:pPr>
        <w:pStyle w:val="BodyText"/>
      </w:pPr>
      <w:r>
        <w:rPr>
          <w:b/>
        </w:rPr>
        <w:t xml:space="preserve">Trust</w:t>
      </w:r>
      <w:r>
        <w:t xml:space="preserve"> </w:t>
      </w:r>
      <w:r>
        <w:t xml:space="preserve">is driven by the About/Research/Speaking pages carrying Dr. Abeer’s credentials and publications (Sections 3, 8, 11), testimonials as they accumulate, and transparent privacy/security posture (Sections 25–26).</w:t>
      </w:r>
    </w:p>
    <w:p>
      <w:pPr>
        <w:pStyle w:val="BodyText"/>
      </w:pPr>
      <w:r>
        <w:rPr>
          <w:b/>
        </w:rPr>
        <w:t xml:space="preserve">Leads</w:t>
      </w:r>
      <w:r>
        <w:t xml:space="preserve"> </w:t>
      </w:r>
      <w:r>
        <w:t xml:space="preserve">are driven by the Free Tools engine and the single free gamified challenge (Section 13), each paired with a single matched next-step CTA (Section 15) and segmented email capture (Section 14).</w:t>
      </w:r>
    </w:p>
    <w:p>
      <w:pPr>
        <w:pStyle w:val="BodyText"/>
      </w:pPr>
      <w:r>
        <w:rPr>
          <w:b/>
        </w:rPr>
        <w:t xml:space="preserve">First revenue</w:t>
      </w:r>
      <w:r>
        <w:t xml:space="preserve"> </w:t>
      </w:r>
      <w:r>
        <w:t xml:space="preserve">is driven by CyberAbeer Labs Premium Monthly/Annual self-service purchases via PayPal (Section 23) and digital-product one-time purchases (templates, checklists, assessment packs), since these require no sales cycle.</w:t>
      </w:r>
    </w:p>
    <w:p>
      <w:pPr>
        <w:pStyle w:val="BodyText"/>
      </w:pPr>
      <w:r>
        <w:rPr>
          <w:b/>
        </w:rPr>
        <w:t xml:space="preserve">Recurring revenue</w:t>
      </w:r>
      <w:r>
        <w:t xml:space="preserve"> </w:t>
      </w:r>
      <w:r>
        <w:t xml:space="preserve">is driven by Labs memberships and university/team licenses in the near term, and by GreenTrust SME Annual and Enterprise/Government contracts (via the Contact Sales / manual-invoice path, Section 23) once the free assessments have generated qualified enterprise conversations and the first pilot engagements convert to case studies.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2026-07-25T08:16:57Z</dcterms:created>
  <dcterms:modified xsi:type="dcterms:W3CDTF">2026-07-25T08:16:57Z</dcterms:modified>
</cp:coreProperties>
</file>

<file path=docProps/custom.xml><?xml version="1.0" encoding="utf-8"?>
<Properties xmlns="http://schemas.openxmlformats.org/officeDocument/2006/custom-properties" xmlns:vt="http://schemas.openxmlformats.org/officeDocument/2006/docPropsVTypes"/>
</file>