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7f5ffe8c2d2556703c75552319b53b68ffcf96"/>
      <w:r>
        <w:t xml:space="preserve">CyberAbeer.com — Phase 3 Database and Data Model</w:t>
      </w:r>
      <w:bookmarkEnd w:id="20"/>
    </w:p>
    <w:p>
      <w:pPr>
        <w:pStyle w:val="Heading3"/>
      </w:pPr>
      <w:bookmarkStart w:id="21" w:name="X580b02ac765cda0173ecc1db6444f83643bf26e"/>
      <w:r>
        <w:t xml:space="preserve">Production PostgreSQL schema for CyberAbeer, GreenTrust AI, and CyberAbeer Labs</w:t>
      </w:r>
      <w:bookmarkEnd w:id="21"/>
    </w:p>
    <w:p>
      <w:pPr>
        <w:pStyle w:val="FirstParagraph"/>
      </w:pPr>
      <w:r>
        <w:t xml:space="preserve">Prepared for Dr. Abeer Alshammari, Founder — CyberAbeer / GreenTrust AI</w:t>
      </w:r>
      <w:r>
        <w:t xml:space="preserve"> </w:t>
      </w:r>
      <w:r>
        <w:t xml:space="preserve">Draft date: July 25, 2026</w:t>
      </w:r>
    </w:p>
    <w:p>
      <w:r>
        <w:pict>
          <v:rect style="width:0;height:1.5pt" o:hralign="center" o:hrstd="t" o:hr="t"/>
        </w:pict>
      </w:r>
    </w:p>
    <w:p>
      <w:pPr>
        <w:pStyle w:val="FirstParagraph"/>
      </w:pPr>
      <w:r>
        <w:t xml:space="preserve">This document is the design narrative. The complete, runnable schema is delivered alongside it as eight ordered SQL migration files (</w:t>
      </w:r>
      <w:r>
        <w:rPr>
          <w:rStyle w:val="VerbatimChar"/>
        </w:rPr>
        <w:t xml:space="preserve">001</w:t>
      </w:r>
      <w:r>
        <w:t xml:space="preserve"> </w:t>
      </w:r>
      <w:r>
        <w:t xml:space="preserve">through</w:t>
      </w:r>
      <w:r>
        <w:t xml:space="preserve"> </w:t>
      </w:r>
      <w:r>
        <w:rPr>
          <w:rStyle w:val="VerbatimChar"/>
        </w:rPr>
        <w:t xml:space="preserve">008</w:t>
      </w:r>
      <w:r>
        <w:t xml:space="preserve">), built for Supabase-managed PostgreSQL per the Phase 2 architecture decision. Nothing here redesigns that architecture — this phase only fills in the database it already called for.</w:t>
      </w:r>
    </w:p>
    <w:p>
      <w:pPr>
        <w:pStyle w:val="BodyText"/>
      </w:pPr>
      <w:r>
        <w:t xml:space="preserve">The schema defines 108 tables across the eight requested domains, every one with</w:t>
      </w:r>
      <w:r>
        <w:t xml:space="preserve"> </w:t>
      </w:r>
      <w:r>
        <w:rPr>
          <w:rStyle w:val="VerbatimChar"/>
        </w:rPr>
        <w:t xml:space="preserve">created_at</w:t>
      </w:r>
      <w:r>
        <w:t xml:space="preserve">, UUID primary keys, explicit foreign keys, and Row Level Security. It was written table-by-table by hand, then mechanically checked (parenthesis balance, forward-reference order, duplicate names, RLS coverage across all 108 tables) before being reviewed a second time specifically for tenant-isolation gaps.</w:t>
      </w:r>
    </w:p>
    <w:p>
      <w:pPr>
        <w:pStyle w:val="Heading2"/>
      </w:pPr>
      <w:bookmarkStart w:id="22" w:name="entity-relationship-model"/>
      <w:r>
        <w:t xml:space="preserve">1. Entity Relationship Model</w:t>
      </w:r>
      <w:bookmarkEnd w:id="22"/>
    </w:p>
    <w:p>
      <w:pPr>
        <w:pStyle w:val="FirstParagraph"/>
      </w:pPr>
      <w:r>
        <w:t xml:space="preserve">A full entity diagram at the individual-table level (108 tables) would be too dense to read. The relationships that matter are at the domain level — every arrow below is enforced by real foreign keys inside the domain, and the cross-domain arrows are the ones tenant isolation depends on.</w:t>
      </w:r>
    </w:p>
    <w:p>
      <w:pPr>
        <w:pStyle w:val="SourceCode"/>
      </w:pPr>
      <w:r>
        <w:rPr>
          <w:rStyle w:val="VerbatimChar"/>
        </w:rPr>
        <w:t xml:space="preserve">                 ┌───────────────────────────────┐</w:t>
      </w:r>
      <w:r>
        <w:br/>
      </w:r>
      <w:r>
        <w:rPr>
          <w:rStyle w:val="VerbatimChar"/>
        </w:rPr>
        <w:t xml:space="preserve">                 │             CORE                │</w:t>
      </w:r>
      <w:r>
        <w:br/>
      </w:r>
      <w:r>
        <w:rPr>
          <w:rStyle w:val="VerbatimChar"/>
        </w:rPr>
        <w:t xml:space="preserve">                 │  organizations                  │</w:t>
      </w:r>
      <w:r>
        <w:br/>
      </w:r>
      <w:r>
        <w:rPr>
          <w:rStyle w:val="VerbatimChar"/>
        </w:rPr>
        <w:t xml:space="preserve">                 │  profiles  (= auth.users)        │</w:t>
      </w:r>
      <w:r>
        <w:br/>
      </w:r>
      <w:r>
        <w:rPr>
          <w:rStyle w:val="VerbatimChar"/>
        </w:rPr>
        <w:t xml:space="preserve">                 │  organization_members            │</w:t>
      </w:r>
      <w:r>
        <w:br/>
      </w:r>
      <w:r>
        <w:rPr>
          <w:rStyle w:val="VerbatimChar"/>
        </w:rPr>
        <w:t xml:space="preserve">                 │  roles / permissions              │</w:t>
      </w:r>
      <w:r>
        <w:br/>
      </w:r>
      <w:r>
        <w:rPr>
          <w:rStyle w:val="VerbatimChar"/>
        </w:rPr>
        <w:t xml:space="preserve">                 └────────────────┬─────────────────┘</w:t>
      </w:r>
      <w:r>
        <w:br/>
      </w:r>
      <w:r>
        <w:rPr>
          <w:rStyle w:val="VerbatimChar"/>
        </w:rPr>
        <w:t xml:space="preserve">                                  │  organization_id  (tenants)</w:t>
      </w:r>
      <w:r>
        <w:br/>
      </w:r>
      <w:r>
        <w:rPr>
          <w:rStyle w:val="VerbatimChar"/>
        </w:rPr>
        <w:t xml:space="preserve">                                  │  user_id          (individuals)</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GREENTRUST                │             │   QUANTUM                   │</w:t>
      </w:r>
      <w:r>
        <w:br/>
      </w:r>
      <w:r>
        <w:rPr>
          <w:rStyle w:val="VerbatimChar"/>
        </w:rPr>
        <w:t xml:space="preserve">│   ai_agents                 │             │   crypto_assets              │</w:t>
      </w:r>
      <w:r>
        <w:br/>
      </w:r>
      <w:r>
        <w:rPr>
          <w:rStyle w:val="VerbatimChar"/>
        </w:rPr>
        <w:t xml:space="preserve">│   risk_assessments          │             │   crypto_certificates        │</w:t>
      </w:r>
      <w:r>
        <w:br/>
      </w:r>
      <w:r>
        <w:rPr>
          <w:rStyle w:val="VerbatimChar"/>
        </w:rPr>
        <w:t xml:space="preserve">│   greentrust_scores         │             │   migration_plans            │</w:t>
      </w:r>
      <w:r>
        <w:br/>
      </w:r>
      <w:r>
        <w:rPr>
          <w:rStyle w:val="VerbatimChar"/>
        </w:rPr>
        <w:t xml:space="preserve">│   agent_passports           │             │   quantum_readiness_scores   │</w:t>
      </w:r>
      <w:r>
        <w:br/>
      </w:r>
      <w:r>
        <w:rPr>
          <w:rStyle w:val="VerbatimChar"/>
        </w:rPr>
        <w:t xml:space="preserve">│   lifecycle_events          │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systems_accessed                │</w:t>
      </w:r>
      <w:r>
        <w:br/>
      </w:r>
      <w:r>
        <w:rPr>
          <w:rStyle w:val="VerbatimChar"/>
        </w:rPr>
        <w:t xml:space="preserve">                     │   data_classifications             │</w:t>
      </w:r>
      <w:r>
        <w:br/>
      </w:r>
      <w:r>
        <w:rPr>
          <w:rStyle w:val="VerbatimChar"/>
        </w:rPr>
        <w:t xml:space="preserve">                     └───────────────────────────────┘</w:t>
      </w:r>
      <w:r>
        <w:br/>
      </w:r>
      <w:r>
        <w:rPr>
          <w:rStyle w:val="VerbatimChar"/>
        </w:rPr>
        <w:t xml:space="preserve">             shared between GreenTrust and Quantum: the system an</w:t>
      </w:r>
      <w:r>
        <w:br/>
      </w:r>
      <w:r>
        <w:rPr>
          <w:rStyle w:val="VerbatimChar"/>
        </w:rPr>
        <w:t xml:space="preserve">             AI agent touches may be the same system running a TLS cert</w:t>
      </w:r>
      <w:r>
        <w:br/>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COMMERCE                  │             │   CYBERABEER LABS            │</w:t>
      </w:r>
      <w:r>
        <w:br/>
      </w:r>
      <w:r>
        <w:rPr>
          <w:rStyle w:val="VerbatimChar"/>
        </w:rPr>
        <w:t xml:space="preserve">│   subscriptions             │             │   learning_paths -&gt; courses  │</w:t>
      </w:r>
      <w:r>
        <w:br/>
      </w:r>
      <w:r>
        <w:rPr>
          <w:rStyle w:val="VerbatimChar"/>
        </w:rPr>
        <w:t xml:space="preserve">│   orders / payments         │             │    -&gt; modules -&gt; labs -&gt;     │</w:t>
      </w:r>
      <w:r>
        <w:br/>
      </w:r>
      <w:r>
        <w:rPr>
          <w:rStyle w:val="VerbatimChar"/>
        </w:rPr>
        <w:t xml:space="preserve">│   entitlements              │             │    challenges                │</w:t>
      </w:r>
      <w:r>
        <w:br/>
      </w:r>
      <w:r>
        <w:rPr>
          <w:rStyle w:val="VerbatimChar"/>
        </w:rPr>
        <w:t xml:space="preserve">│                              │             │   xp_events / badges /       │</w:t>
      </w:r>
      <w:r>
        <w:br/>
      </w:r>
      <w:r>
        <w:rPr>
          <w:rStyle w:val="VerbatimChar"/>
        </w:rPr>
        <w:t xml:space="preserve">│                              │             │    certificates              │</w:t>
      </w:r>
      <w:r>
        <w:br/>
      </w:r>
      <w:r>
        <w:rPr>
          <w:rStyle w:val="VerbatimChar"/>
        </w:rPr>
        <w:t xml:space="preserve">│                              │             │   (owned by auth.users,      │</w:t>
      </w:r>
      <w:r>
        <w:br/>
      </w:r>
      <w:r>
        <w:rPr>
          <w:rStyle w:val="VerbatimChar"/>
        </w:rPr>
        <w:t xml:space="preserve">│                              │             │    not organizations)        │</w:t>
      </w:r>
      <w:r>
        <w:br/>
      </w:r>
      <w:r>
        <w:rPr>
          <w:rStyle w:val="VerbatimChar"/>
        </w:rPr>
        <w:t xml:space="preserve">└──────────────────────────┘             └──────────────────────────┘</w:t>
      </w:r>
      <w:r>
        <w:br/>
      </w:r>
      <w:r>
        <w:br/>
      </w:r>
      <w:r>
        <w:rPr>
          <w:rStyle w:val="VerbatimChar"/>
        </w:rPr>
        <w:t xml:space="preserve">  Independent supporting domains (not organization-scoped):</w:t>
      </w:r>
      <w:r>
        <w:br/>
      </w:r>
      <w:r>
        <w:br/>
      </w:r>
      <w:r>
        <w:rPr>
          <w:rStyle w:val="VerbatimChar"/>
        </w:rPr>
        <w:t xml:space="preserve">  LEADS      contacts -&gt; leads -&gt; assessment_leads / tool_submissions</w:t>
      </w:r>
      <w:r>
        <w:br/>
      </w:r>
      <w:r>
        <w:rPr>
          <w:rStyle w:val="VerbatimChar"/>
        </w:rPr>
        <w:t xml:space="preserve">             (feeds GreenTrust + Quantum free assessments, Labs skill</w:t>
      </w:r>
      <w:r>
        <w:br/>
      </w:r>
      <w:r>
        <w:rPr>
          <w:rStyle w:val="VerbatimChar"/>
        </w:rPr>
        <w:t xml:space="preserve">              assessment, and every Content CTA)</w:t>
      </w:r>
      <w:r>
        <w:br/>
      </w:r>
      <w:r>
        <w:br/>
      </w:r>
      <w:r>
        <w:rPr>
          <w:rStyle w:val="VerbatimChar"/>
        </w:rPr>
        <w:t xml:space="preserve">  CONTENT    articles / categories / tags — public, locale-neutral</w:t>
      </w:r>
      <w:r>
        <w:br/>
      </w:r>
      <w:r>
        <w:rPr>
          <w:rStyle w:val="VerbatimChar"/>
        </w:rPr>
        <w:t xml:space="preserve">             identity rows plus per-locale *_translations rows</w:t>
      </w:r>
      <w:r>
        <w:br/>
      </w:r>
      <w:r>
        <w:br/>
      </w:r>
      <w:r>
        <w:rPr>
          <w:rStyle w:val="VerbatimChar"/>
        </w:rPr>
        <w:t xml:space="preserve">  SECURITY   audit_logs / security_events — platform-wide, ops-facing.</w:t>
      </w:r>
      <w:r>
        <w:br/>
      </w:r>
      <w:r>
        <w:rPr>
          <w:rStyle w:val="VerbatimChar"/>
        </w:rPr>
        <w:t xml:space="preserve">             Distinct from GreenTrust's lifecycle_events, which is the</w:t>
      </w:r>
      <w:r>
        <w:br/>
      </w:r>
      <w:r>
        <w:rPr>
          <w:rStyle w:val="VerbatimChar"/>
        </w:rPr>
        <w:t xml:space="preserve">             customer-facing audit trail scoped to one organization.</w:t>
      </w:r>
    </w:p>
    <w:p>
      <w:pPr>
        <w:pStyle w:val="FirstParagraph"/>
      </w:pPr>
      <w:r>
        <w:t xml:space="preserve">The two load-bearing relationships are</w:t>
      </w:r>
      <w:r>
        <w:t xml:space="preserve"> </w:t>
      </w:r>
      <w:r>
        <w:rPr>
          <w:rStyle w:val="VerbatimChar"/>
        </w:rPr>
        <w:t xml:space="preserve">organizations → organization_members → auth.users</w:t>
      </w:r>
      <w:r>
        <w:t xml:space="preserve"> </w:t>
      </w:r>
      <w:r>
        <w:t xml:space="preserve">(who can see which tenant’s GreenTrust/Quantum data) and</w:t>
      </w:r>
      <w:r>
        <w:t xml:space="preserve"> </w:t>
      </w:r>
      <w:r>
        <w:rPr>
          <w:rStyle w:val="VerbatimChar"/>
        </w:rPr>
        <w:t xml:space="preserve">auth.users → xp_events/attempts/certificates</w:t>
      </w:r>
      <w:r>
        <w:t xml:space="preserve"> </w:t>
      </w:r>
      <w:r>
        <w:t xml:space="preserve">(an individual learner’s own Labs progress, never organization-scoped). Every GreenTrust and Quantum table hangs off</w:t>
      </w:r>
      <w:r>
        <w:t xml:space="preserve"> </w:t>
      </w:r>
      <w:r>
        <w:rPr>
          <w:rStyle w:val="VerbatimChar"/>
        </w:rPr>
        <w:t xml:space="preserve">organizations</w:t>
      </w:r>
      <w:r>
        <w:t xml:space="preserve"> </w:t>
      </w:r>
      <w:r>
        <w:t xml:space="preserve">directly; every Labs progress/gamification table hangs off</w:t>
      </w:r>
      <w:r>
        <w:t xml:space="preserve"> </w:t>
      </w:r>
      <w:r>
        <w:rPr>
          <w:rStyle w:val="VerbatimChar"/>
        </w:rPr>
        <w:t xml:space="preserve">auth.users</w:t>
      </w:r>
      <w:r>
        <w:t xml:space="preserve"> </w:t>
      </w:r>
      <w:r>
        <w:t xml:space="preserve">directly. A user can be a Labs learner, a GreenTrust organization member, or both, without the two data sets ever touching.</w:t>
      </w:r>
    </w:p>
    <w:p>
      <w:pPr>
        <w:pStyle w:val="Heading2"/>
      </w:pPr>
      <w:bookmarkStart w:id="23" w:name="table-definitions-domain-reference"/>
      <w:r>
        <w:t xml:space="preserve">2. Table Definitions (Domain Reference)</w:t>
      </w:r>
      <w:bookmarkEnd w:id="23"/>
    </w:p>
    <w:p>
      <w:pPr>
        <w:pStyle w:val="FirstParagraph"/>
      </w:pPr>
      <w:r>
        <w:t xml:space="preserve">Full column-level definitions are in the SQL files, one domain per file. This is the map of what’s where and why:</w:t>
      </w:r>
    </w:p>
    <w:p>
      <w:pPr>
        <w:pStyle w:val="BodyText"/>
      </w:pPr>
      <w:r>
        <w:rPr>
          <w:b/>
        </w:rPr>
        <w:t xml:space="preserve">Core</w:t>
      </w:r>
      <w:r>
        <w:t xml:space="preserve"> </w:t>
      </w:r>
      <w:r>
        <w:t xml:space="preserve">(</w:t>
      </w:r>
      <w:r>
        <w:rPr>
          <w:rStyle w:val="VerbatimChar"/>
        </w:rPr>
        <w:t xml:space="preserve">001</w:t>
      </w:r>
      <w:r>
        <w:t xml:space="preserve">) —</w:t>
      </w:r>
      <w:r>
        <w:t xml:space="preserve"> </w:t>
      </w:r>
      <w:r>
        <w:rPr>
          <w:rStyle w:val="VerbatimChar"/>
        </w:rPr>
        <w:t xml:space="preserve">organizations</w:t>
      </w:r>
      <w:r>
        <w:t xml:space="preserve">,</w:t>
      </w:r>
      <w:r>
        <w:t xml:space="preserve"> </w:t>
      </w:r>
      <w:r>
        <w:rPr>
          <w:rStyle w:val="VerbatimChar"/>
        </w:rPr>
        <w:t xml:space="preserve">profiles</w:t>
      </w:r>
      <w:r>
        <w:t xml:space="preserve">,</w:t>
      </w:r>
      <w:r>
        <w:t xml:space="preserve"> </w:t>
      </w:r>
      <w:r>
        <w:rPr>
          <w:rStyle w:val="VerbatimChar"/>
        </w:rPr>
        <w:t xml:space="preserve">roles</w:t>
      </w:r>
      <w:r>
        <w:t xml:space="preserve">,</w:t>
      </w:r>
      <w:r>
        <w:t xml:space="preserve"> </w:t>
      </w:r>
      <w:r>
        <w:rPr>
          <w:rStyle w:val="VerbatimChar"/>
        </w:rPr>
        <w:t xml:space="preserve">permissions</w:t>
      </w:r>
      <w:r>
        <w:t xml:space="preserve">,</w:t>
      </w:r>
      <w:r>
        <w:t xml:space="preserve"> </w:t>
      </w:r>
      <w:r>
        <w:rPr>
          <w:rStyle w:val="VerbatimChar"/>
        </w:rPr>
        <w:t xml:space="preserve">role_permissions</w:t>
      </w:r>
      <w:r>
        <w:t xml:space="preserve">,</w:t>
      </w:r>
      <w:r>
        <w:t xml:space="preserve"> </w:t>
      </w:r>
      <w:r>
        <w:rPr>
          <w:rStyle w:val="VerbatimChar"/>
        </w:rPr>
        <w:t xml:space="preserve">organization_members</w:t>
      </w:r>
      <w:r>
        <w:t xml:space="preserve">,</w:t>
      </w:r>
      <w:r>
        <w:t xml:space="preserve"> </w:t>
      </w:r>
      <w:r>
        <w:rPr>
          <w:rStyle w:val="VerbatimChar"/>
        </w:rPr>
        <w:t xml:space="preserve">notification_preferences</w:t>
      </w:r>
      <w:r>
        <w:t xml:space="preserve">,</w:t>
      </w:r>
      <w:r>
        <w:t xml:space="preserve"> </w:t>
      </w:r>
      <w:r>
        <w:rPr>
          <w:rStyle w:val="VerbatimChar"/>
        </w:rPr>
        <w:t xml:space="preserve">notifications</w:t>
      </w:r>
      <w:r>
        <w:t xml:space="preserve">. Sessions are not modeled here at all — Supabase Auth’s own schema owns them.</w:t>
      </w:r>
    </w:p>
    <w:p>
      <w:pPr>
        <w:pStyle w:val="BodyText"/>
      </w:pPr>
      <w:r>
        <w:rPr>
          <w:b/>
        </w:rPr>
        <w:t xml:space="preserve">Content</w:t>
      </w:r>
      <w:r>
        <w:t xml:space="preserve"> </w:t>
      </w:r>
      <w:r>
        <w:t xml:space="preserve">(</w:t>
      </w:r>
      <w:r>
        <w:rPr>
          <w:rStyle w:val="VerbatimChar"/>
        </w:rPr>
        <w:t xml:space="preserve">002</w:t>
      </w:r>
      <w:r>
        <w:t xml:space="preserve">) —</w:t>
      </w:r>
      <w:r>
        <w:t xml:space="preserve"> </w:t>
      </w:r>
      <w:r>
        <w:rPr>
          <w:rStyle w:val="VerbatimChar"/>
        </w:rPr>
        <w:t xml:space="preserve">authors</w:t>
      </w:r>
      <w:r>
        <w:t xml:space="preserve">,</w:t>
      </w:r>
      <w:r>
        <w:t xml:space="preserve"> </w:t>
      </w:r>
      <w:r>
        <w:rPr>
          <w:rStyle w:val="VerbatimChar"/>
        </w:rPr>
        <w:t xml:space="preserve">categories</w:t>
      </w:r>
      <w:r>
        <w:t xml:space="preserve">,</w:t>
      </w:r>
      <w:r>
        <w:t xml:space="preserve"> </w:t>
      </w:r>
      <w:r>
        <w:rPr>
          <w:rStyle w:val="VerbatimChar"/>
        </w:rPr>
        <w:t xml:space="preserve">tags</w:t>
      </w:r>
      <w:r>
        <w:t xml:space="preserve">,</w:t>
      </w:r>
      <w:r>
        <w:t xml:space="preserve"> </w:t>
      </w:r>
      <w:r>
        <w:rPr>
          <w:rStyle w:val="VerbatimChar"/>
        </w:rPr>
        <w:t xml:space="preserve">articles</w:t>
      </w:r>
      <w:r>
        <w:t xml:space="preserve">,</w:t>
      </w:r>
      <w:r>
        <w:t xml:space="preserve"> </w:t>
      </w:r>
      <w:r>
        <w:rPr>
          <w:rStyle w:val="VerbatimChar"/>
        </w:rPr>
        <w:t xml:space="preserve">article_translations</w:t>
      </w:r>
      <w:r>
        <w:t xml:space="preserve">,</w:t>
      </w:r>
      <w:r>
        <w:t xml:space="preserve"> </w:t>
      </w:r>
      <w:r>
        <w:rPr>
          <w:rStyle w:val="VerbatimChar"/>
        </w:rPr>
        <w:t xml:space="preserve">article_tags</w:t>
      </w:r>
      <w:r>
        <w:t xml:space="preserve">,</w:t>
      </w:r>
      <w:r>
        <w:t xml:space="preserve"> </w:t>
      </w:r>
      <w:r>
        <w:rPr>
          <w:rStyle w:val="VerbatimChar"/>
        </w:rPr>
        <w:t xml:space="preserve">seo_redirects</w:t>
      </w:r>
      <w:r>
        <w:t xml:space="preserve">, plus their</w:t>
      </w:r>
      <w:r>
        <w:t xml:space="preserve"> </w:t>
      </w:r>
      <w:r>
        <w:rPr>
          <w:rStyle w:val="VerbatimChar"/>
        </w:rPr>
        <w:t xml:space="preserve">*_translations</w:t>
      </w:r>
      <w:r>
        <w:t xml:space="preserve"> </w:t>
      </w:r>
      <w:r>
        <w:t xml:space="preserve">companions. One parent row per article, one translation row per locale.</w:t>
      </w:r>
    </w:p>
    <w:p>
      <w:pPr>
        <w:pStyle w:val="BodyText"/>
      </w:pPr>
      <w:r>
        <w:rPr>
          <w:b/>
        </w:rPr>
        <w:t xml:space="preserve">Leads</w:t>
      </w:r>
      <w:r>
        <w:t xml:space="preserve"> </w:t>
      </w:r>
      <w:r>
        <w:t xml:space="preserve">(</w:t>
      </w:r>
      <w:r>
        <w:rPr>
          <w:rStyle w:val="VerbatimChar"/>
        </w:rPr>
        <w:t xml:space="preserve">002</w:t>
      </w:r>
      <w:r>
        <w:t xml:space="preserve">) —</w:t>
      </w:r>
      <w:r>
        <w:t xml:space="preserve"> </w:t>
      </w:r>
      <w:r>
        <w:rPr>
          <w:rStyle w:val="VerbatimChar"/>
        </w:rPr>
        <w:t xml:space="preserve">lead_sources</w:t>
      </w:r>
      <w:r>
        <w:t xml:space="preserve">,</w:t>
      </w:r>
      <w:r>
        <w:t xml:space="preserve"> </w:t>
      </w:r>
      <w:r>
        <w:rPr>
          <w:rStyle w:val="VerbatimChar"/>
        </w:rPr>
        <w:t xml:space="preserve">campaigns</w:t>
      </w:r>
      <w:r>
        <w:t xml:space="preserve">,</w:t>
      </w:r>
      <w:r>
        <w:t xml:space="preserve"> </w:t>
      </w:r>
      <w:r>
        <w:rPr>
          <w:rStyle w:val="VerbatimChar"/>
        </w:rPr>
        <w:t xml:space="preserve">contacts</w:t>
      </w:r>
      <w:r>
        <w:t xml:space="preserve">,</w:t>
      </w:r>
      <w:r>
        <w:t xml:space="preserve"> </w:t>
      </w:r>
      <w:r>
        <w:rPr>
          <w:rStyle w:val="VerbatimChar"/>
        </w:rPr>
        <w:t xml:space="preserve">newsletter_subscribers</w:t>
      </w:r>
      <w:r>
        <w:t xml:space="preserve">,</w:t>
      </w:r>
      <w:r>
        <w:t xml:space="preserve"> </w:t>
      </w:r>
      <w:r>
        <w:rPr>
          <w:rStyle w:val="VerbatimChar"/>
        </w:rPr>
        <w:t xml:space="preserve">leads</w:t>
      </w:r>
      <w:r>
        <w:t xml:space="preserve">,</w:t>
      </w:r>
      <w:r>
        <w:t xml:space="preserve"> </w:t>
      </w:r>
      <w:r>
        <w:rPr>
          <w:rStyle w:val="VerbatimChar"/>
        </w:rPr>
        <w:t xml:space="preserve">tool_submissions</w:t>
      </w:r>
      <w:r>
        <w:t xml:space="preserve">,</w:t>
      </w:r>
      <w:r>
        <w:t xml:space="preserve"> </w:t>
      </w:r>
      <w:r>
        <w:rPr>
          <w:rStyle w:val="VerbatimChar"/>
        </w:rPr>
        <w:t xml:space="preserve">assessment_leads</w:t>
      </w:r>
      <w:r>
        <w:t xml:space="preserve">,</w:t>
      </w:r>
      <w:r>
        <w:t xml:space="preserve"> </w:t>
      </w:r>
      <w:r>
        <w:rPr>
          <w:rStyle w:val="VerbatimChar"/>
        </w:rPr>
        <w:t xml:space="preserve">enterprise_enquiries</w:t>
      </w:r>
      <w:r>
        <w:t xml:space="preserve">.</w:t>
      </w:r>
    </w:p>
    <w:p>
      <w:pPr>
        <w:pStyle w:val="BodyText"/>
      </w:pPr>
      <w:r>
        <w:rPr>
          <w:b/>
        </w:rPr>
        <w:t xml:space="preserve">CyberAbeer Labs</w:t>
      </w:r>
      <w:r>
        <w:t xml:space="preserve"> </w:t>
      </w:r>
      <w:r>
        <w:t xml:space="preserve">(</w:t>
      </w:r>
      <w:r>
        <w:rPr>
          <w:rStyle w:val="VerbatimChar"/>
        </w:rPr>
        <w:t xml:space="preserve">003</w:t>
      </w:r>
      <w:r>
        <w:t xml:space="preserve">) —</w:t>
      </w:r>
      <w:r>
        <w:t xml:space="preserve"> </w:t>
      </w:r>
      <w:r>
        <w:rPr>
          <w:rStyle w:val="VerbatimChar"/>
        </w:rPr>
        <w:t xml:space="preserve">learning_paths</w:t>
      </w:r>
      <w:r>
        <w:t xml:space="preserve"> </w:t>
      </w:r>
      <w:r>
        <w:t xml:space="preserve">→</w:t>
      </w:r>
      <w:r>
        <w:t xml:space="preserve"> </w:t>
      </w:r>
      <w:r>
        <w:rPr>
          <w:rStyle w:val="VerbatimChar"/>
        </w:rPr>
        <w:t xml:space="preserve">courses</w:t>
      </w:r>
      <w:r>
        <w:t xml:space="preserve"> </w:t>
      </w:r>
      <w:r>
        <w:t xml:space="preserve">→</w:t>
      </w:r>
      <w:r>
        <w:t xml:space="preserve"> </w:t>
      </w:r>
      <w:r>
        <w:rPr>
          <w:rStyle w:val="VerbatimChar"/>
        </w:rPr>
        <w:t xml:space="preserve">modules</w:t>
      </w:r>
      <w:r>
        <w:t xml:space="preserve"> </w:t>
      </w:r>
      <w:r>
        <w:t xml:space="preserve">→</w:t>
      </w:r>
      <w:r>
        <w:t xml:space="preserve"> </w:t>
      </w:r>
      <w:r>
        <w:rPr>
          <w:rStyle w:val="VerbatimChar"/>
        </w:rPr>
        <w:t xml:space="preserve">labs</w:t>
      </w:r>
      <w:r>
        <w:t xml:space="preserve"> </w:t>
      </w:r>
      <w:r>
        <w:t xml:space="preserve">→</w:t>
      </w:r>
      <w:r>
        <w:t xml:space="preserve"> </w:t>
      </w:r>
      <w:r>
        <w:rPr>
          <w:rStyle w:val="VerbatimChar"/>
        </w:rPr>
        <w:t xml:space="preserve">challenges</w:t>
      </w:r>
      <w:r>
        <w:t xml:space="preserve"> </w:t>
      </w:r>
      <w:r>
        <w:t xml:space="preserve">→</w:t>
      </w:r>
      <w:r>
        <w:t xml:space="preserve"> </w:t>
      </w:r>
      <w:r>
        <w:rPr>
          <w:rStyle w:val="VerbatimChar"/>
        </w:rPr>
        <w:t xml:space="preserve">questions</w:t>
      </w:r>
      <w:r>
        <w:t xml:space="preserve"> </w:t>
      </w:r>
      <w:r>
        <w:t xml:space="preserve">→</w:t>
      </w:r>
      <w:r>
        <w:t xml:space="preserve"> </w:t>
      </w:r>
      <w:r>
        <w:rPr>
          <w:rStyle w:val="VerbatimChar"/>
        </w:rPr>
        <w:t xml:space="preserve">answers</w:t>
      </w:r>
      <w:r>
        <w:t xml:space="preserve">, plus</w:t>
      </w:r>
      <w:r>
        <w:t xml:space="preserve"> </w:t>
      </w:r>
      <w:r>
        <w:rPr>
          <w:rStyle w:val="VerbatimChar"/>
        </w:rPr>
        <w:t xml:space="preserve">attempts</w:t>
      </w:r>
      <w:r>
        <w:t xml:space="preserve">,</w:t>
      </w:r>
      <w:r>
        <w:t xml:space="preserve"> </w:t>
      </w:r>
      <w:r>
        <w:rPr>
          <w:rStyle w:val="VerbatimChar"/>
        </w:rPr>
        <w:t xml:space="preserve">attempt_answers</w:t>
      </w:r>
      <w:r>
        <w:t xml:space="preserve">, three explicit progress tables (</w:t>
      </w:r>
      <w:r>
        <w:rPr>
          <w:rStyle w:val="VerbatimChar"/>
        </w:rPr>
        <w:t xml:space="preserve">user_learning_path_progress</w:t>
      </w:r>
      <w:r>
        <w:t xml:space="preserve">,</w:t>
      </w:r>
      <w:r>
        <w:t xml:space="preserve"> </w:t>
      </w:r>
      <w:r>
        <w:rPr>
          <w:rStyle w:val="VerbatimChar"/>
        </w:rPr>
        <w:t xml:space="preserve">user_course_progress</w:t>
      </w:r>
      <w:r>
        <w:t xml:space="preserve">,</w:t>
      </w:r>
      <w:r>
        <w:t xml:space="preserve"> </w:t>
      </w:r>
      <w:r>
        <w:rPr>
          <w:rStyle w:val="VerbatimChar"/>
        </w:rPr>
        <w:t xml:space="preserve">user_module_progress</w:t>
      </w:r>
      <w:r>
        <w:t xml:space="preserve">),</w:t>
      </w:r>
      <w:r>
        <w:t xml:space="preserve"> </w:t>
      </w:r>
      <w:r>
        <w:rPr>
          <w:rStyle w:val="VerbatimChar"/>
        </w:rPr>
        <w:t xml:space="preserve">xp_events</w:t>
      </w:r>
      <w:r>
        <w:t xml:space="preserve">,</w:t>
      </w:r>
      <w:r>
        <w:t xml:space="preserve"> </w:t>
      </w:r>
      <w:r>
        <w:rPr>
          <w:rStyle w:val="VerbatimChar"/>
        </w:rPr>
        <w:t xml:space="preserve">levels</w:t>
      </w:r>
      <w:r>
        <w:t xml:space="preserve">,</w:t>
      </w:r>
      <w:r>
        <w:t xml:space="preserve"> </w:t>
      </w:r>
      <w:r>
        <w:rPr>
          <w:rStyle w:val="VerbatimChar"/>
        </w:rPr>
        <w:t xml:space="preserve">user_xp_totals</w:t>
      </w:r>
      <w:r>
        <w:t xml:space="preserve">,</w:t>
      </w:r>
      <w:r>
        <w:t xml:space="preserve"> </w:t>
      </w:r>
      <w:r>
        <w:rPr>
          <w:rStyle w:val="VerbatimChar"/>
        </w:rPr>
        <w:t xml:space="preserve">badges</w:t>
      </w:r>
      <w:r>
        <w:t xml:space="preserve">,</w:t>
      </w:r>
      <w:r>
        <w:t xml:space="preserve"> </w:t>
      </w:r>
      <w:r>
        <w:rPr>
          <w:rStyle w:val="VerbatimChar"/>
        </w:rPr>
        <w:t xml:space="preserve">user_badges</w:t>
      </w:r>
      <w:r>
        <w:t xml:space="preserve">,</w:t>
      </w:r>
      <w:r>
        <w:t xml:space="preserve"> </w:t>
      </w:r>
      <w:r>
        <w:rPr>
          <w:rStyle w:val="VerbatimChar"/>
        </w:rPr>
        <w:t xml:space="preserve">streaks</w:t>
      </w:r>
      <w:r>
        <w:t xml:space="preserve">,</w:t>
      </w:r>
      <w:r>
        <w:t xml:space="preserve"> </w:t>
      </w:r>
      <w:r>
        <w:rPr>
          <w:rStyle w:val="VerbatimChar"/>
        </w:rPr>
        <w:t xml:space="preserve">leaderboard_snapshots</w:t>
      </w:r>
      <w:r>
        <w:t xml:space="preserve">,</w:t>
      </w:r>
      <w:r>
        <w:t xml:space="preserve"> </w:t>
      </w:r>
      <w:r>
        <w:rPr>
          <w:rStyle w:val="VerbatimChar"/>
        </w:rPr>
        <w:t xml:space="preserve">certificates</w:t>
      </w:r>
      <w:r>
        <w:t xml:space="preserve">.</w:t>
      </w:r>
    </w:p>
    <w:p>
      <w:pPr>
        <w:pStyle w:val="BodyText"/>
      </w:pPr>
      <w:r>
        <w:rPr>
          <w:b/>
        </w:rPr>
        <w:t xml:space="preserve">GreenTrust</w:t>
      </w:r>
      <w:r>
        <w:t xml:space="preserve"> </w:t>
      </w:r>
      <w:r>
        <w:t xml:space="preserve">(</w:t>
      </w:r>
      <w:r>
        <w:rPr>
          <w:rStyle w:val="VerbatimChar"/>
        </w:rPr>
        <w:t xml:space="preserve">004</w:t>
      </w:r>
      <w:r>
        <w:t xml:space="preserve">) —</w:t>
      </w:r>
      <w:r>
        <w:t xml:space="preserve"> </w:t>
      </w:r>
      <w:r>
        <w:rPr>
          <w:rStyle w:val="VerbatimChar"/>
        </w:rPr>
        <w:t xml:space="preserve">ai_agents</w:t>
      </w:r>
      <w:r>
        <w:t xml:space="preserve">,</w:t>
      </w:r>
      <w:r>
        <w:t xml:space="preserve"> </w:t>
      </w:r>
      <w:r>
        <w:rPr>
          <w:rStyle w:val="VerbatimChar"/>
        </w:rPr>
        <w:t xml:space="preserve">agent_owners</w:t>
      </w:r>
      <w:r>
        <w:t xml:space="preserve">,</w:t>
      </w:r>
      <w:r>
        <w:t xml:space="preserve"> </w:t>
      </w:r>
      <w:r>
        <w:rPr>
          <w:rStyle w:val="VerbatimChar"/>
        </w:rPr>
        <w:t xml:space="preserve">agent_identities</w:t>
      </w:r>
      <w:r>
        <w:t xml:space="preserve">,</w:t>
      </w:r>
      <w:r>
        <w:t xml:space="preserve"> </w:t>
      </w:r>
      <w:r>
        <w:rPr>
          <w:rStyle w:val="VerbatimChar"/>
        </w:rPr>
        <w:t xml:space="preserve">data_classifications</w:t>
      </w:r>
      <w:r>
        <w:t xml:space="preserve">,</w:t>
      </w:r>
      <w:r>
        <w:t xml:space="preserve"> </w:t>
      </w:r>
      <w:r>
        <w:rPr>
          <w:rStyle w:val="VerbatimChar"/>
        </w:rPr>
        <w:t xml:space="preserve">systems_accessed</w:t>
      </w:r>
      <w:r>
        <w:t xml:space="preserve">,</w:t>
      </w:r>
      <w:r>
        <w:t xml:space="preserve"> </w:t>
      </w:r>
      <w:r>
        <w:rPr>
          <w:rStyle w:val="VerbatimChar"/>
        </w:rPr>
        <w:t xml:space="preserve">agent_permissions</w:t>
      </w:r>
      <w:r>
        <w:t xml:space="preserve">,</w:t>
      </w:r>
      <w:r>
        <w:t xml:space="preserve"> </w:t>
      </w:r>
      <w:r>
        <w:rPr>
          <w:rStyle w:val="VerbatimChar"/>
        </w:rPr>
        <w:t xml:space="preserve">risk_factors</w:t>
      </w:r>
      <w:r>
        <w:t xml:space="preserve">,</w:t>
      </w:r>
      <w:r>
        <w:t xml:space="preserve"> </w:t>
      </w:r>
      <w:r>
        <w:rPr>
          <w:rStyle w:val="VerbatimChar"/>
        </w:rPr>
        <w:t xml:space="preserve">risk_assessments</w:t>
      </w:r>
      <w:r>
        <w:t xml:space="preserve">,</w:t>
      </w:r>
      <w:r>
        <w:t xml:space="preserve"> </w:t>
      </w:r>
      <w:r>
        <w:rPr>
          <w:rStyle w:val="VerbatimChar"/>
        </w:rPr>
        <w:t xml:space="preserve">risk_assessment_factors</w:t>
      </w:r>
      <w:r>
        <w:t xml:space="preserve">,</w:t>
      </w:r>
      <w:r>
        <w:t xml:space="preserve"> </w:t>
      </w:r>
      <w:r>
        <w:rPr>
          <w:rStyle w:val="VerbatimChar"/>
        </w:rPr>
        <w:t xml:space="preserve">greentrust_scores</w:t>
      </w:r>
      <w:r>
        <w:t xml:space="preserve">,</w:t>
      </w:r>
      <w:r>
        <w:t xml:space="preserve"> </w:t>
      </w:r>
      <w:r>
        <w:rPr>
          <w:rStyle w:val="VerbatimChar"/>
        </w:rPr>
        <w:t xml:space="preserve">grcl_assessments</w:t>
      </w:r>
      <w:r>
        <w:t xml:space="preserve">,</w:t>
      </w:r>
      <w:r>
        <w:t xml:space="preserve"> </w:t>
      </w:r>
      <w:r>
        <w:rPr>
          <w:rStyle w:val="VerbatimChar"/>
        </w:rPr>
        <w:t xml:space="preserve">agent_passports</w:t>
      </w:r>
      <w:r>
        <w:t xml:space="preserve">,</w:t>
      </w:r>
      <w:r>
        <w:t xml:space="preserve"> </w:t>
      </w:r>
      <w:r>
        <w:rPr>
          <w:rStyle w:val="VerbatimChar"/>
        </w:rPr>
        <w:t xml:space="preserve">governance_controls</w:t>
      </w:r>
      <w:r>
        <w:t xml:space="preserve">,</w:t>
      </w:r>
      <w:r>
        <w:t xml:space="preserve"> </w:t>
      </w:r>
      <w:r>
        <w:rPr>
          <w:rStyle w:val="VerbatimChar"/>
        </w:rPr>
        <w:t xml:space="preserve">control_mappings</w:t>
      </w:r>
      <w:r>
        <w:t xml:space="preserve">,</w:t>
      </w:r>
      <w:r>
        <w:t xml:space="preserve"> </w:t>
      </w:r>
      <w:r>
        <w:rPr>
          <w:rStyle w:val="VerbatimChar"/>
        </w:rPr>
        <w:t xml:space="preserve">evidence</w:t>
      </w:r>
      <w:r>
        <w:t xml:space="preserve">,</w:t>
      </w:r>
      <w:r>
        <w:t xml:space="preserve"> </w:t>
      </w:r>
      <w:r>
        <w:rPr>
          <w:rStyle w:val="VerbatimChar"/>
        </w:rPr>
        <w:t xml:space="preserve">exceptions</w:t>
      </w:r>
      <w:r>
        <w:t xml:space="preserve">,</w:t>
      </w:r>
      <w:r>
        <w:t xml:space="preserve"> </w:t>
      </w:r>
      <w:r>
        <w:rPr>
          <w:rStyle w:val="VerbatimChar"/>
        </w:rPr>
        <w:t xml:space="preserve">approvals</w:t>
      </w:r>
      <w:r>
        <w:t xml:space="preserve">,</w:t>
      </w:r>
      <w:r>
        <w:t xml:space="preserve"> </w:t>
      </w:r>
      <w:r>
        <w:rPr>
          <w:rStyle w:val="VerbatimChar"/>
        </w:rPr>
        <w:t xml:space="preserve">reviews</w:t>
      </w:r>
      <w:r>
        <w:t xml:space="preserve">,</w:t>
      </w:r>
      <w:r>
        <w:t xml:space="preserve"> </w:t>
      </w:r>
      <w:r>
        <w:rPr>
          <w:rStyle w:val="VerbatimChar"/>
        </w:rPr>
        <w:t xml:space="preserve">lifecycle_events</w:t>
      </w:r>
      <w:r>
        <w:t xml:space="preserve">.</w:t>
      </w:r>
    </w:p>
    <w:p>
      <w:pPr>
        <w:pStyle w:val="BodyText"/>
      </w:pPr>
      <w:r>
        <w:rPr>
          <w:b/>
        </w:rPr>
        <w:t xml:space="preserve">Quantum</w:t>
      </w:r>
      <w:r>
        <w:t xml:space="preserve"> </w:t>
      </w:r>
      <w:r>
        <w:t xml:space="preserve">(</w:t>
      </w:r>
      <w:r>
        <w:rPr>
          <w:rStyle w:val="VerbatimChar"/>
        </w:rPr>
        <w:t xml:space="preserve">005</w:t>
      </w:r>
      <w:r>
        <w:t xml:space="preserve">) —</w:t>
      </w:r>
      <w:r>
        <w:t xml:space="preserve"> </w:t>
      </w:r>
      <w:r>
        <w:rPr>
          <w:rStyle w:val="VerbatimChar"/>
        </w:rPr>
        <w:t xml:space="preserve">algorithms</w:t>
      </w:r>
      <w:r>
        <w:t xml:space="preserve">,</w:t>
      </w:r>
      <w:r>
        <w:t xml:space="preserve"> </w:t>
      </w:r>
      <w:r>
        <w:rPr>
          <w:rStyle w:val="VerbatimChar"/>
        </w:rPr>
        <w:t xml:space="preserve">crypto_assets</w:t>
      </w:r>
      <w:r>
        <w:t xml:space="preserve">,</w:t>
      </w:r>
      <w:r>
        <w:t xml:space="preserve"> </w:t>
      </w:r>
      <w:r>
        <w:rPr>
          <w:rStyle w:val="VerbatimChar"/>
        </w:rPr>
        <w:t xml:space="preserve">crypto_asset_algorithms</w:t>
      </w:r>
      <w:r>
        <w:t xml:space="preserve">,</w:t>
      </w:r>
      <w:r>
        <w:t xml:space="preserve"> </w:t>
      </w:r>
      <w:r>
        <w:rPr>
          <w:rStyle w:val="VerbatimChar"/>
        </w:rPr>
        <w:t xml:space="preserve">crypto_certificates</w:t>
      </w:r>
      <w:r>
        <w:t xml:space="preserve"> </w:t>
      </w:r>
      <w:r>
        <w:t xml:space="preserve">(named to avoid colliding with Labs’</w:t>
      </w:r>
      <w:r>
        <w:t xml:space="preserve"> </w:t>
      </w:r>
      <w:r>
        <w:rPr>
          <w:rStyle w:val="VerbatimChar"/>
        </w:rPr>
        <w:t xml:space="preserve">certificates</w:t>
      </w:r>
      <w:r>
        <w:t xml:space="preserve">),</w:t>
      </w:r>
      <w:r>
        <w:t xml:space="preserve"> </w:t>
      </w:r>
      <w:r>
        <w:rPr>
          <w:rStyle w:val="VerbatimChar"/>
        </w:rPr>
        <w:t xml:space="preserve">protocols</w:t>
      </w:r>
      <w:r>
        <w:t xml:space="preserve">,</w:t>
      </w:r>
      <w:r>
        <w:t xml:space="preserve"> </w:t>
      </w:r>
      <w:r>
        <w:rPr>
          <w:rStyle w:val="VerbatimChar"/>
        </w:rPr>
        <w:t xml:space="preserve">crypto_dependencies</w:t>
      </w:r>
      <w:r>
        <w:t xml:space="preserve">,</w:t>
      </w:r>
      <w:r>
        <w:t xml:space="preserve"> </w:t>
      </w:r>
      <w:r>
        <w:rPr>
          <w:rStyle w:val="VerbatimChar"/>
        </w:rPr>
        <w:t xml:space="preserve">quantum_risk_assessments</w:t>
      </w:r>
      <w:r>
        <w:t xml:space="preserve">,</w:t>
      </w:r>
      <w:r>
        <w:t xml:space="preserve"> </w:t>
      </w:r>
      <w:r>
        <w:rPr>
          <w:rStyle w:val="VerbatimChar"/>
        </w:rPr>
        <w:t xml:space="preserve">hndl_assessments</w:t>
      </w:r>
      <w:r>
        <w:t xml:space="preserve">,</w:t>
      </w:r>
      <w:r>
        <w:t xml:space="preserve"> </w:t>
      </w:r>
      <w:r>
        <w:rPr>
          <w:rStyle w:val="VerbatimChar"/>
        </w:rPr>
        <w:t xml:space="preserve">migration_plans</w:t>
      </w:r>
      <w:r>
        <w:t xml:space="preserve">,</w:t>
      </w:r>
      <w:r>
        <w:t xml:space="preserve"> </w:t>
      </w:r>
      <w:r>
        <w:rPr>
          <w:rStyle w:val="VerbatimChar"/>
        </w:rPr>
        <w:t xml:space="preserve">migration_actions</w:t>
      </w:r>
      <w:r>
        <w:t xml:space="preserve">,</w:t>
      </w:r>
      <w:r>
        <w:t xml:space="preserve"> </w:t>
      </w:r>
      <w:r>
        <w:rPr>
          <w:rStyle w:val="VerbatimChar"/>
        </w:rPr>
        <w:t xml:space="preserve">quantum_readiness_scores</w:t>
      </w:r>
      <w:r>
        <w:t xml:space="preserve">.</w:t>
      </w:r>
    </w:p>
    <w:p>
      <w:pPr>
        <w:pStyle w:val="BodyText"/>
      </w:pPr>
      <w:r>
        <w:rPr>
          <w:b/>
        </w:rPr>
        <w:t xml:space="preserve">Commerce</w:t>
      </w:r>
      <w:r>
        <w:t xml:space="preserve"> </w:t>
      </w:r>
      <w:r>
        <w:t xml:space="preserve">(</w:t>
      </w:r>
      <w:r>
        <w:rPr>
          <w:rStyle w:val="VerbatimChar"/>
        </w:rPr>
        <w:t xml:space="preserve">006</w:t>
      </w:r>
      <w:r>
        <w:t xml:space="preserve">) —</w:t>
      </w:r>
      <w:r>
        <w:t xml:space="preserve"> </w:t>
      </w:r>
      <w:r>
        <w:rPr>
          <w:rStyle w:val="VerbatimChar"/>
        </w:rPr>
        <w:t xml:space="preserve">products</w:t>
      </w:r>
      <w:r>
        <w:t xml:space="preserve">,</w:t>
      </w:r>
      <w:r>
        <w:t xml:space="preserve"> </w:t>
      </w:r>
      <w:r>
        <w:rPr>
          <w:rStyle w:val="VerbatimChar"/>
        </w:rPr>
        <w:t xml:space="preserve">plans</w:t>
      </w:r>
      <w:r>
        <w:t xml:space="preserve">,</w:t>
      </w:r>
      <w:r>
        <w:t xml:space="preserve"> </w:t>
      </w:r>
      <w:r>
        <w:rPr>
          <w:rStyle w:val="VerbatimChar"/>
        </w:rPr>
        <w:t xml:space="preserve">entitlements</w:t>
      </w:r>
      <w:r>
        <w:t xml:space="preserve">,</w:t>
      </w:r>
      <w:r>
        <w:t xml:space="preserve"> </w:t>
      </w:r>
      <w:r>
        <w:rPr>
          <w:rStyle w:val="VerbatimChar"/>
        </w:rPr>
        <w:t xml:space="preserve">plan_entitlements</w:t>
      </w:r>
      <w:r>
        <w:t xml:space="preserve">,</w:t>
      </w:r>
      <w:r>
        <w:t xml:space="preserve"> </w:t>
      </w:r>
      <w:r>
        <w:rPr>
          <w:rStyle w:val="VerbatimChar"/>
        </w:rPr>
        <w:t xml:space="preserve">subscriptions</w:t>
      </w:r>
      <w:r>
        <w:t xml:space="preserve">,</w:t>
      </w:r>
      <w:r>
        <w:t xml:space="preserve"> </w:t>
      </w:r>
      <w:r>
        <w:rPr>
          <w:rStyle w:val="VerbatimChar"/>
        </w:rPr>
        <w:t xml:space="preserve">user_entitlements</w:t>
      </w:r>
      <w:r>
        <w:t xml:space="preserve">,</w:t>
      </w:r>
      <w:r>
        <w:t xml:space="preserve"> </w:t>
      </w:r>
      <w:r>
        <w:rPr>
          <w:rStyle w:val="VerbatimChar"/>
        </w:rPr>
        <w:t xml:space="preserve">orders</w:t>
      </w:r>
      <w:r>
        <w:t xml:space="preserve">,</w:t>
      </w:r>
      <w:r>
        <w:t xml:space="preserve"> </w:t>
      </w:r>
      <w:r>
        <w:rPr>
          <w:rStyle w:val="VerbatimChar"/>
        </w:rPr>
        <w:t xml:space="preserve">order_items</w:t>
      </w:r>
      <w:r>
        <w:t xml:space="preserve">,</w:t>
      </w:r>
      <w:r>
        <w:t xml:space="preserve"> </w:t>
      </w:r>
      <w:r>
        <w:rPr>
          <w:rStyle w:val="VerbatimChar"/>
        </w:rPr>
        <w:t xml:space="preserve">payments</w:t>
      </w:r>
      <w:r>
        <w:t xml:space="preserve">,</w:t>
      </w:r>
      <w:r>
        <w:t xml:space="preserve"> </w:t>
      </w:r>
      <w:r>
        <w:rPr>
          <w:rStyle w:val="VerbatimChar"/>
        </w:rPr>
        <w:t xml:space="preserve">paypal_transactions</w:t>
      </w:r>
      <w:r>
        <w:t xml:space="preserve">,</w:t>
      </w:r>
      <w:r>
        <w:t xml:space="preserve"> </w:t>
      </w:r>
      <w:r>
        <w:rPr>
          <w:rStyle w:val="VerbatimChar"/>
        </w:rPr>
        <w:t xml:space="preserve">coupons</w:t>
      </w:r>
      <w:r>
        <w:t xml:space="preserve">,</w:t>
      </w:r>
      <w:r>
        <w:t xml:space="preserve"> </w:t>
      </w:r>
      <w:r>
        <w:rPr>
          <w:rStyle w:val="VerbatimChar"/>
        </w:rPr>
        <w:t xml:space="preserve">coupon_redemptions</w:t>
      </w:r>
      <w:r>
        <w:t xml:space="preserve">,</w:t>
      </w:r>
      <w:r>
        <w:t xml:space="preserve"> </w:t>
      </w:r>
      <w:r>
        <w:rPr>
          <w:rStyle w:val="VerbatimChar"/>
        </w:rPr>
        <w:t xml:space="preserve">invoices</w:t>
      </w:r>
      <w:r>
        <w:t xml:space="preserve">. One-time purchases are simply orders with</w:t>
      </w:r>
      <w:r>
        <w:t xml:space="preserve"> </w:t>
      </w:r>
      <w:r>
        <w:rPr>
          <w:rStyle w:val="VerbatimChar"/>
        </w:rPr>
        <w:t xml:space="preserve">product_type = 'digital_download'</w:t>
      </w:r>
      <w:r>
        <w:t xml:space="preserve"> </w:t>
      </w:r>
      <w:r>
        <w:t xml:space="preserve">— there is no separate table for them.</w:t>
      </w:r>
    </w:p>
    <w:p>
      <w:pPr>
        <w:pStyle w:val="BodyText"/>
      </w:pPr>
      <w:r>
        <w:rPr>
          <w:b/>
        </w:rPr>
        <w:t xml:space="preserve">Security</w:t>
      </w:r>
      <w:r>
        <w:t xml:space="preserve"> </w:t>
      </w:r>
      <w:r>
        <w:t xml:space="preserve">(</w:t>
      </w:r>
      <w:r>
        <w:rPr>
          <w:rStyle w:val="VerbatimChar"/>
        </w:rPr>
        <w:t xml:space="preserve">006</w:t>
      </w:r>
      <w:r>
        <w:t xml:space="preserve">) —</w:t>
      </w:r>
      <w:r>
        <w:t xml:space="preserve"> </w:t>
      </w:r>
      <w:r>
        <w:rPr>
          <w:rStyle w:val="VerbatimChar"/>
        </w:rPr>
        <w:t xml:space="preserve">audit_logs</w:t>
      </w:r>
      <w:r>
        <w:t xml:space="preserve">,</w:t>
      </w:r>
      <w:r>
        <w:t xml:space="preserve"> </w:t>
      </w:r>
      <w:r>
        <w:rPr>
          <w:rStyle w:val="VerbatimChar"/>
        </w:rPr>
        <w:t xml:space="preserve">security_events</w:t>
      </w:r>
      <w:r>
        <w:t xml:space="preserve">,</w:t>
      </w:r>
      <w:r>
        <w:t xml:space="preserve"> </w:t>
      </w:r>
      <w:r>
        <w:rPr>
          <w:rStyle w:val="VerbatimChar"/>
        </w:rPr>
        <w:t xml:space="preserve">login_history</w:t>
      </w:r>
      <w:r>
        <w:t xml:space="preserve">,</w:t>
      </w:r>
      <w:r>
        <w:t xml:space="preserve"> </w:t>
      </w:r>
      <w:r>
        <w:rPr>
          <w:rStyle w:val="VerbatimChar"/>
        </w:rPr>
        <w:t xml:space="preserve">consent_records</w:t>
      </w:r>
      <w:r>
        <w:t xml:space="preserve">,</w:t>
      </w:r>
      <w:r>
        <w:t xml:space="preserve"> </w:t>
      </w:r>
      <w:r>
        <w:rPr>
          <w:rStyle w:val="VerbatimChar"/>
        </w:rPr>
        <w:t xml:space="preserve">privacy_records</w:t>
      </w:r>
      <w:r>
        <w:t xml:space="preserve">.</w:t>
      </w:r>
    </w:p>
    <w:p>
      <w:pPr>
        <w:pStyle w:val="Heading2"/>
      </w:pPr>
      <w:bookmarkStart w:id="24" w:name="relationships"/>
      <w:r>
        <w:t xml:space="preserve">3. Relationships</w:t>
      </w:r>
      <w:bookmarkEnd w:id="24"/>
    </w:p>
    <w:p>
      <w:pPr>
        <w:pStyle w:val="FirstParagraph"/>
      </w:pPr>
      <w:r>
        <w:t xml:space="preserve">Three relationship patterns repeat across the schema rather than being invented per-table, which is what keeps 108 tables reviewable instead of 108 one-off designs.</w:t>
      </w:r>
    </w:p>
    <w:p>
      <w:pPr>
        <w:pStyle w:val="BodyText"/>
      </w:pPr>
      <w:r>
        <w:t xml:space="preserve">The</w:t>
      </w:r>
      <w:r>
        <w:t xml:space="preserve"> </w:t>
      </w:r>
      <w:r>
        <w:rPr>
          <w:b/>
        </w:rPr>
        <w:t xml:space="preserve">translatable-entity</w:t>
      </w:r>
      <w:r>
        <w:t xml:space="preserve"> </w:t>
      </w:r>
      <w:r>
        <w:t xml:space="preserve">pattern (Content, Labs curriculum, and the bilingual reference catalogs): one identity/workflow parent row, one</w:t>
      </w:r>
      <w:r>
        <w:t xml:space="preserve"> </w:t>
      </w:r>
      <w:r>
        <w:rPr>
          <w:rStyle w:val="VerbatimChar"/>
        </w:rPr>
        <w:t xml:space="preserve">*_translations</w:t>
      </w:r>
      <w:r>
        <w:t xml:space="preserve"> </w:t>
      </w:r>
      <w:r>
        <w:t xml:space="preserve">row per locale, unique on</w:t>
      </w:r>
      <w:r>
        <w:t xml:space="preserve"> </w:t>
      </w:r>
      <w:r>
        <w:rPr>
          <w:rStyle w:val="VerbatimChar"/>
        </w:rPr>
        <w:t xml:space="preserve">(parent_id, locale)</w:t>
      </w:r>
      <w:r>
        <w:t xml:space="preserve">, with slugs additionally unique per</w:t>
      </w:r>
      <w:r>
        <w:t xml:space="preserve"> </w:t>
      </w:r>
      <w:r>
        <w:rPr>
          <w:rStyle w:val="VerbatimChar"/>
        </w:rPr>
        <w:t xml:space="preserve">(locale, slug)</w:t>
      </w:r>
      <w:r>
        <w:t xml:space="preserve"> </w:t>
      </w:r>
      <w:r>
        <w:t xml:space="preserve">so English and Arabic URLs never collide or force each other’s structure.</w:t>
      </w:r>
    </w:p>
    <w:p>
      <w:pPr>
        <w:pStyle w:val="BodyText"/>
      </w:pPr>
      <w:r>
        <w:t xml:space="preserve">The</w:t>
      </w:r>
      <w:r>
        <w:t xml:space="preserve"> </w:t>
      </w:r>
      <w:r>
        <w:rPr>
          <w:b/>
        </w:rPr>
        <w:t xml:space="preserve">tenant-scoped child</w:t>
      </w:r>
      <w:r>
        <w:t xml:space="preserve"> </w:t>
      </w:r>
      <w:r>
        <w:t xml:space="preserve">pattern (GreenTrust, Quantum): every table carries</w:t>
      </w:r>
      <w:r>
        <w:t xml:space="preserve"> </w:t>
      </w:r>
      <w:r>
        <w:rPr>
          <w:rStyle w:val="VerbatimChar"/>
        </w:rPr>
        <w:t xml:space="preserve">organization_id</w:t>
      </w:r>
      <w:r>
        <w:t xml:space="preserve"> </w:t>
      </w:r>
      <w:r>
        <w:t xml:space="preserve">directly, even detail/child tables like</w:t>
      </w:r>
      <w:r>
        <w:t xml:space="preserve"> </w:t>
      </w:r>
      <w:r>
        <w:rPr>
          <w:rStyle w:val="VerbatimChar"/>
        </w:rPr>
        <w:t xml:space="preserve">risk_assessment_factors</w:t>
      </w:r>
      <w:r>
        <w:t xml:space="preserve"> </w:t>
      </w:r>
      <w:r>
        <w:t xml:space="preserve">and</w:t>
      </w:r>
      <w:r>
        <w:t xml:space="preserve"> </w:t>
      </w:r>
      <w:r>
        <w:rPr>
          <w:rStyle w:val="VerbatimChar"/>
        </w:rPr>
        <w:t xml:space="preserve">migration_actions</w:t>
      </w:r>
      <w:r>
        <w:t xml:space="preserve"> </w:t>
      </w:r>
      <w:r>
        <w:t xml:space="preserve">that could technically inherit it through a join — denormalized on purpose, so Row Level Security is one predicate (</w:t>
      </w:r>
      <w:r>
        <w:rPr>
          <w:rStyle w:val="VerbatimChar"/>
        </w:rPr>
        <w:t xml:space="preserve">organization_id</w:t>
      </w:r>
      <w:r>
        <w:t xml:space="preserve">) instead of a join-dependent policy on every query.</w:t>
      </w:r>
    </w:p>
    <w:p>
      <w:pPr>
        <w:pStyle w:val="BodyText"/>
      </w:pPr>
      <w:r>
        <w:t xml:space="preserve">The</w:t>
      </w:r>
      <w:r>
        <w:t xml:space="preserve"> </w:t>
      </w:r>
      <w:r>
        <w:rPr>
          <w:b/>
        </w:rPr>
        <w:t xml:space="preserve">append-only ledger</w:t>
      </w:r>
      <w:r>
        <w:t xml:space="preserve"> </w:t>
      </w:r>
      <w:r>
        <w:t xml:space="preserve">pattern (</w:t>
      </w:r>
      <w:r>
        <w:rPr>
          <w:rStyle w:val="VerbatimChar"/>
        </w:rPr>
        <w:t xml:space="preserve">xp_events</w:t>
      </w:r>
      <w:r>
        <w:t xml:space="preserve">,</w:t>
      </w:r>
      <w:r>
        <w:t xml:space="preserve"> </w:t>
      </w:r>
      <w:r>
        <w:rPr>
          <w:rStyle w:val="VerbatimChar"/>
        </w:rPr>
        <w:t xml:space="preserve">greentrust_scores</w:t>
      </w:r>
      <w:r>
        <w:t xml:space="preserve">,</w:t>
      </w:r>
      <w:r>
        <w:t xml:space="preserve"> </w:t>
      </w:r>
      <w:r>
        <w:rPr>
          <w:rStyle w:val="VerbatimChar"/>
        </w:rPr>
        <w:t xml:space="preserve">quantum_readiness_scores</w:t>
      </w:r>
      <w:r>
        <w:t xml:space="preserve">,</w:t>
      </w:r>
      <w:r>
        <w:t xml:space="preserve"> </w:t>
      </w:r>
      <w:r>
        <w:rPr>
          <w:rStyle w:val="VerbatimChar"/>
        </w:rPr>
        <w:t xml:space="preserve">lifecycle_events</w:t>
      </w:r>
      <w:r>
        <w:t xml:space="preserve">,</w:t>
      </w:r>
      <w:r>
        <w:t xml:space="preserve"> </w:t>
      </w:r>
      <w:r>
        <w:rPr>
          <w:rStyle w:val="VerbatimChar"/>
        </w:rPr>
        <w:t xml:space="preserve">audit_logs</w:t>
      </w:r>
      <w:r>
        <w:t xml:space="preserve">,</w:t>
      </w:r>
      <w:r>
        <w:t xml:space="preserve"> </w:t>
      </w:r>
      <w:r>
        <w:rPr>
          <w:rStyle w:val="VerbatimChar"/>
        </w:rPr>
        <w:t xml:space="preserve">consent_records</w:t>
      </w:r>
      <w:r>
        <w:t xml:space="preserve">,</w:t>
      </w:r>
      <w:r>
        <w:t xml:space="preserve"> </w:t>
      </w:r>
      <w:r>
        <w:rPr>
          <w:rStyle w:val="VerbatimChar"/>
        </w:rPr>
        <w:t xml:space="preserve">evidence</w:t>
      </w:r>
      <w:r>
        <w:t xml:space="preserve">): these are never updated in place. A correction or new state is a new row; the current value is either the latest row or a maintained rollup (</w:t>
      </w:r>
      <w:r>
        <w:rPr>
          <w:rStyle w:val="VerbatimChar"/>
        </w:rPr>
        <w:t xml:space="preserve">user_xp_totals</w:t>
      </w:r>
      <w:r>
        <w:t xml:space="preserve">) kept in sync by a trigger, never by direct mutation.</w:t>
      </w:r>
    </w:p>
    <w:p>
      <w:pPr>
        <w:pStyle w:val="BodyText"/>
      </w:pPr>
      <w:r>
        <w:t xml:space="preserve">Cross-domain foreign keys all point one direction — outward from a domain table toward</w:t>
      </w:r>
      <w:r>
        <w:t xml:space="preserve"> </w:t>
      </w:r>
      <w:r>
        <w:rPr>
          <w:rStyle w:val="VerbatimChar"/>
        </w:rPr>
        <w:t xml:space="preserve">organizations</w:t>
      </w:r>
      <w:r>
        <w:t xml:space="preserve"> </w:t>
      </w:r>
      <w:r>
        <w:t xml:space="preserve">or</w:t>
      </w:r>
      <w:r>
        <w:t xml:space="preserve"> </w:t>
      </w:r>
      <w:r>
        <w:rPr>
          <w:rStyle w:val="VerbatimChar"/>
        </w:rPr>
        <w:t xml:space="preserve">auth.users</w:t>
      </w:r>
      <w:r>
        <w:t xml:space="preserve"> </w:t>
      </w:r>
      <w:r>
        <w:t xml:space="preserve">— so no domain depends on another domain’s internal tables. GreenTrust’s</w:t>
      </w:r>
      <w:r>
        <w:t xml:space="preserve"> </w:t>
      </w:r>
      <w:r>
        <w:rPr>
          <w:rStyle w:val="VerbatimChar"/>
        </w:rPr>
        <w:t xml:space="preserve">systems_accessed</w:t>
      </w:r>
      <w:r>
        <w:t xml:space="preserve"> </w:t>
      </w:r>
      <w:r>
        <w:t xml:space="preserve">is the one shared reference between GreenTrust and Quantum (</w:t>
      </w:r>
      <w:r>
        <w:rPr>
          <w:rStyle w:val="VerbatimChar"/>
        </w:rPr>
        <w:t xml:space="preserve">crypto_assets.system_id</w:t>
      </w:r>
      <w:r>
        <w:t xml:space="preserve">,</w:t>
      </w:r>
      <w:r>
        <w:t xml:space="preserve"> </w:t>
      </w:r>
      <w:r>
        <w:rPr>
          <w:rStyle w:val="VerbatimChar"/>
        </w:rPr>
        <w:t xml:space="preserve">protocols.system_id</w:t>
      </w:r>
      <w:r>
        <w:t xml:space="preserve">), which is intentional: a system an agent touches and a system running a TLS certificate are frequently the same system.</w:t>
      </w:r>
    </w:p>
    <w:p>
      <w:pPr>
        <w:pStyle w:val="Heading2"/>
      </w:pPr>
      <w:bookmarkStart w:id="25" w:name="index-strategy"/>
      <w:r>
        <w:t xml:space="preserve">4. Index Strategy</w:t>
      </w:r>
      <w:bookmarkEnd w:id="25"/>
    </w:p>
    <w:p>
      <w:pPr>
        <w:pStyle w:val="FirstParagraph"/>
      </w:pPr>
      <w:r>
        <w:t xml:space="preserve">Every tenant-scoped table gets a b-tree index on</w:t>
      </w:r>
      <w:r>
        <w:t xml:space="preserve"> </w:t>
      </w:r>
      <w:r>
        <w:rPr>
          <w:rStyle w:val="VerbatimChar"/>
        </w:rPr>
        <w:t xml:space="preserve">organization_id</w:t>
      </w:r>
      <w:r>
        <w:t xml:space="preserve"> </w:t>
      </w:r>
      <w:r>
        <w:t xml:space="preserve">at minimum, since that column is in the</w:t>
      </w:r>
      <w:r>
        <w:t xml:space="preserve"> </w:t>
      </w:r>
      <w:r>
        <w:rPr>
          <w:rStyle w:val="VerbatimChar"/>
        </w:rPr>
        <w:t xml:space="preserve">USING</w:t>
      </w:r>
      <w:r>
        <w:t xml:space="preserve"> </w:t>
      </w:r>
      <w:r>
        <w:t xml:space="preserve">clause of its RLS policy on every query — an unindexed RLS predicate would force a sequential scan on every single read. Composite indexes follow the actual query shape, not speculative ones:</w:t>
      </w:r>
      <w:r>
        <w:t xml:space="preserve"> </w:t>
      </w:r>
      <w:r>
        <w:rPr>
          <w:rStyle w:val="VerbatimChar"/>
        </w:rPr>
        <w:t xml:space="preserve">(organization_id, status)</w:t>
      </w:r>
      <w:r>
        <w:t xml:space="preserve"> </w:t>
      </w:r>
      <w:r>
        <w:t xml:space="preserve">on</w:t>
      </w:r>
      <w:r>
        <w:t xml:space="preserve"> </w:t>
      </w:r>
      <w:r>
        <w:rPr>
          <w:rStyle w:val="VerbatimChar"/>
        </w:rPr>
        <w:t xml:space="preserve">ai_agents</w:t>
      </w:r>
      <w:r>
        <w:t xml:space="preserve"> </w:t>
      </w:r>
      <w:r>
        <w:t xml:space="preserve">for</w:t>
      </w:r>
      <w:r>
        <w:t xml:space="preserve"> </w:t>
      </w:r>
      <w:r>
        <w:t xml:space="preserve">“</w:t>
      </w:r>
      <w:r>
        <w:t xml:space="preserve">show me active agents,</w:t>
      </w:r>
      <w:r>
        <w:t xml:space="preserve">”</w:t>
      </w:r>
      <w:r>
        <w:t xml:space="preserve"> </w:t>
      </w:r>
      <w:r>
        <w:rPr>
          <w:rStyle w:val="VerbatimChar"/>
        </w:rPr>
        <w:t xml:space="preserve">(organization_id, calculated_at desc)</w:t>
      </w:r>
      <w:r>
        <w:t xml:space="preserve"> </w:t>
      </w:r>
      <w:r>
        <w:t xml:space="preserve">on both score-history tables for</w:t>
      </w:r>
      <w:r>
        <w:t xml:space="preserve"> </w:t>
      </w:r>
      <w:r>
        <w:t xml:space="preserve">“</w:t>
      </w:r>
      <w:r>
        <w:t xml:space="preserve">show me the trend,</w:t>
      </w:r>
      <w:r>
        <w:t xml:space="preserve">”</w:t>
      </w:r>
      <w:r>
        <w:t xml:space="preserve"> </w:t>
      </w:r>
      <w:r>
        <w:rPr>
          <w:rStyle w:val="VerbatimChar"/>
        </w:rPr>
        <w:t xml:space="preserve">(period_type, period_start, rank)</w:t>
      </w:r>
      <w:r>
        <w:t xml:space="preserve"> </w:t>
      </w:r>
      <w:r>
        <w:t xml:space="preserve">on leaderboard snapshots for</w:t>
      </w:r>
      <w:r>
        <w:t xml:space="preserve"> </w:t>
      </w:r>
      <w:r>
        <w:t xml:space="preserve">“</w:t>
      </w:r>
      <w:r>
        <w:t xml:space="preserve">show me last week’s top ten.</w:t>
      </w:r>
      <w:r>
        <w:t xml:space="preserve">”</w:t>
      </w:r>
    </w:p>
    <w:p>
      <w:pPr>
        <w:pStyle w:val="BodyText"/>
      </w:pPr>
      <w:r>
        <w:t xml:space="preserve">Partial indexes are used where a boolean/nullable condition dominates access patterns:</w:t>
      </w:r>
      <w:r>
        <w:t xml:space="preserve"> </w:t>
      </w:r>
      <w:r>
        <w:rPr>
          <w:rStyle w:val="VerbatimChar"/>
        </w:rPr>
        <w:t xml:space="preserve">articles_status_idx ... where deleted_at is null</w:t>
      </w:r>
      <w:r>
        <w:t xml:space="preserve"> </w:t>
      </w:r>
      <w:r>
        <w:t xml:space="preserve">(soft-deleted rows are never part of a normal query),</w:t>
      </w:r>
      <w:r>
        <w:t xml:space="preserve"> </w:t>
      </w:r>
      <w:r>
        <w:rPr>
          <w:rStyle w:val="VerbatimChar"/>
        </w:rPr>
        <w:t xml:space="preserve">notifications_user_unread_idx ... where read_at is null</w:t>
      </w:r>
      <w:r>
        <w:t xml:space="preserve"> </w:t>
      </w:r>
      <w:r>
        <w:t xml:space="preserve">(the unread-count query never needs to scan read notifications), and a unique partial index enforcing exactly one</w:t>
      </w:r>
      <w:r>
        <w:t xml:space="preserve"> </w:t>
      </w:r>
      <w:r>
        <w:rPr>
          <w:rStyle w:val="VerbatimChar"/>
        </w:rPr>
        <w:t xml:space="preserve">is_current = true</w:t>
      </w:r>
      <w:r>
        <w:t xml:space="preserve"> </w:t>
      </w:r>
      <w:r>
        <w:t xml:space="preserve">agent passport per agent.</w:t>
      </w:r>
    </w:p>
    <w:p>
      <w:pPr>
        <w:pStyle w:val="BodyText"/>
      </w:pPr>
      <w:r>
        <w:t xml:space="preserve">A trigram (</w:t>
      </w:r>
      <w:r>
        <w:rPr>
          <w:rStyle w:val="VerbatimChar"/>
        </w:rPr>
        <w:t xml:space="preserve">pg_trgm</w:t>
      </w:r>
      <w:r>
        <w:t xml:space="preserve">) GIN index on</w:t>
      </w:r>
      <w:r>
        <w:t xml:space="preserve"> </w:t>
      </w:r>
      <w:r>
        <w:rPr>
          <w:rStyle w:val="VerbatimChar"/>
        </w:rPr>
        <w:t xml:space="preserve">article_translations.title</w:t>
      </w:r>
      <w:r>
        <w:t xml:space="preserve"> </w:t>
      </w:r>
      <w:r>
        <w:t xml:space="preserve">supports fuzzy/typeahead search without standing up a separate search service — appropriate at Phase 1–2 content volume; a dedicated search index (e.g., Postgres full-text</w:t>
      </w:r>
      <w:r>
        <w:t xml:space="preserve"> </w:t>
      </w:r>
      <w:r>
        <w:rPr>
          <w:rStyle w:val="VerbatimChar"/>
        </w:rPr>
        <w:t xml:space="preserve">tsvector</w:t>
      </w:r>
      <w:r>
        <w:t xml:space="preserve"> </w:t>
      </w:r>
      <w:r>
        <w:t xml:space="preserve">or an external service) is a future upgrade if content volume outgrows this, not a Phase 3 requirement.</w:t>
      </w:r>
    </w:p>
    <w:p>
      <w:pPr>
        <w:pStyle w:val="BodyText"/>
      </w:pPr>
      <w:r>
        <w:t xml:space="preserve">Every unique business key is a real unique constraint, not just an index for lookup speed:</w:t>
      </w:r>
      <w:r>
        <w:t xml:space="preserve"> </w:t>
      </w:r>
      <w:r>
        <w:rPr>
          <w:rStyle w:val="VerbatimChar"/>
        </w:rPr>
        <w:t xml:space="preserve">organizations.slug</w:t>
      </w:r>
      <w:r>
        <w:t xml:space="preserve">,</w:t>
      </w:r>
      <w:r>
        <w:t xml:space="preserve"> </w:t>
      </w:r>
      <w:r>
        <w:rPr>
          <w:rStyle w:val="VerbatimChar"/>
        </w:rPr>
        <w:t xml:space="preserve">contacts.email</w:t>
      </w:r>
      <w:r>
        <w:t xml:space="preserve">,</w:t>
      </w:r>
      <w:r>
        <w:t xml:space="preserve"> </w:t>
      </w:r>
      <w:r>
        <w:rPr>
          <w:rStyle w:val="VerbatimChar"/>
        </w:rPr>
        <w:t xml:space="preserve">agent_passports.passport_number</w:t>
      </w:r>
      <w:r>
        <w:t xml:space="preserve">,</w:t>
      </w:r>
      <w:r>
        <w:t xml:space="preserve"> </w:t>
      </w:r>
      <w:r>
        <w:rPr>
          <w:rStyle w:val="VerbatimChar"/>
        </w:rPr>
        <w:t xml:space="preserve">orders.order_number</w:t>
      </w:r>
      <w:r>
        <w:t xml:space="preserve">,</w:t>
      </w:r>
      <w:r>
        <w:t xml:space="preserve"> </w:t>
      </w:r>
      <w:r>
        <w:rPr>
          <w:rStyle w:val="VerbatimChar"/>
        </w:rPr>
        <w:t xml:space="preserve">invoices.invoice_number</w:t>
      </w:r>
      <w:r>
        <w:t xml:space="preserve">,</w:t>
      </w:r>
      <w:r>
        <w:t xml:space="preserve"> </w:t>
      </w:r>
      <w:r>
        <w:rPr>
          <w:rStyle w:val="VerbatimChar"/>
        </w:rPr>
        <w:t xml:space="preserve">coupons.code</w:t>
      </w:r>
      <w:r>
        <w:t xml:space="preserve">, and every</w:t>
      </w:r>
      <w:r>
        <w:t xml:space="preserve"> </w:t>
      </w:r>
      <w:r>
        <w:rPr>
          <w:rStyle w:val="VerbatimChar"/>
        </w:rPr>
        <w:t xml:space="preserve">(locale, slug)</w:t>
      </w:r>
      <w:r>
        <w:t xml:space="preserve"> </w:t>
      </w:r>
      <w:r>
        <w:t xml:space="preserve">pair across translatable content.</w:t>
      </w:r>
    </w:p>
    <w:p>
      <w:pPr>
        <w:pStyle w:val="Heading2"/>
      </w:pPr>
      <w:bookmarkStart w:id="26" w:name="tenant-isolation-strategy"/>
      <w:r>
        <w:t xml:space="preserve">5. Tenant Isolation Strategy</w:t>
      </w:r>
      <w:bookmarkEnd w:id="26"/>
    </w:p>
    <w:p>
      <w:pPr>
        <w:pStyle w:val="FirstParagraph"/>
      </w:pPr>
      <w:r>
        <w:t xml:space="preserve">Tenant isolation is enforced at the database layer, not just in application code, using Postgres Row Level Security with</w:t>
      </w:r>
      <w:r>
        <w:t xml:space="preserve"> </w:t>
      </w:r>
      <w:r>
        <w:rPr>
          <w:rStyle w:val="VerbatimChar"/>
        </w:rPr>
        <w:t xml:space="preserve">FORCE ROW LEVEL SECURITY</w:t>
      </w:r>
      <w:r>
        <w:t xml:space="preserve"> </w:t>
      </w:r>
      <w:r>
        <w:t xml:space="preserve">on every table (which closes the usual table-owner bypass). Two helper functions carry the logic:</w:t>
      </w:r>
      <w:r>
        <w:t xml:space="preserve"> </w:t>
      </w:r>
      <w:r>
        <w:rPr>
          <w:rStyle w:val="VerbatimChar"/>
        </w:rPr>
        <w:t xml:space="preserve">is_org_member(org_id)</w:t>
      </w:r>
      <w:r>
        <w:t xml:space="preserve"> </w:t>
      </w:r>
      <w:r>
        <w:t xml:space="preserve">checks the calling user has an active row in</w:t>
      </w:r>
      <w:r>
        <w:t xml:space="preserve"> </w:t>
      </w:r>
      <w:r>
        <w:rPr>
          <w:rStyle w:val="VerbatimChar"/>
        </w:rPr>
        <w:t xml:space="preserve">organization_members</w:t>
      </w:r>
      <w:r>
        <w:t xml:space="preserve"> </w:t>
      </w:r>
      <w:r>
        <w:t xml:space="preserve">for that organization;</w:t>
      </w:r>
      <w:r>
        <w:t xml:space="preserve"> </w:t>
      </w:r>
      <w:r>
        <w:rPr>
          <w:rStyle w:val="VerbatimChar"/>
        </w:rPr>
        <w:t xml:space="preserve">has_org_role(org_id, roles[])</w:t>
      </w:r>
      <w:r>
        <w:t xml:space="preserve"> </w:t>
      </w:r>
      <w:r>
        <w:t xml:space="preserve">additionally checks their role, used to gate writes (an</w:t>
      </w:r>
      <w:r>
        <w:t xml:space="preserve"> </w:t>
      </w:r>
      <w:r>
        <w:rPr>
          <w:rStyle w:val="VerbatimChar"/>
        </w:rPr>
        <w:t xml:space="preserve">org_member</w:t>
      </w:r>
      <w:r>
        <w:t xml:space="preserve"> </w:t>
      </w:r>
      <w:r>
        <w:t xml:space="preserve">can read GreenTrust data but only an</w:t>
      </w:r>
      <w:r>
        <w:t xml:space="preserve"> </w:t>
      </w:r>
      <w:r>
        <w:rPr>
          <w:rStyle w:val="VerbatimChar"/>
        </w:rPr>
        <w:t xml:space="preserve">org_owner</w:t>
      </w:r>
      <w:r>
        <w:t xml:space="preserve">/</w:t>
      </w:r>
      <w:r>
        <w:rPr>
          <w:rStyle w:val="VerbatimChar"/>
        </w:rPr>
        <w:t xml:space="preserve">org_admin</w:t>
      </w:r>
      <w:r>
        <w:t xml:space="preserve"> </w:t>
      </w:r>
      <w:r>
        <w:t xml:space="preserve">can approve an exception or change membership). A third,</w:t>
      </w:r>
      <w:r>
        <w:t xml:space="preserve"> </w:t>
      </w:r>
      <w:r>
        <w:rPr>
          <w:rStyle w:val="VerbatimChar"/>
        </w:rPr>
        <w:t xml:space="preserve">is_platform_admin()</w:t>
      </w:r>
      <w:r>
        <w:t xml:space="preserve">, lets CyberAbeer’s own staff cross tenant lines for support — gated by</w:t>
      </w:r>
      <w:r>
        <w:t xml:space="preserve"> </w:t>
      </w:r>
      <w:r>
        <w:rPr>
          <w:rStyle w:val="VerbatimChar"/>
        </w:rPr>
        <w:t xml:space="preserve">profiles.platform_role</w:t>
      </w:r>
      <w:r>
        <w:t xml:space="preserve">, not by any client-supplied value.</w:t>
      </w:r>
    </w:p>
    <w:p>
      <w:pPr>
        <w:pStyle w:val="BodyText"/>
      </w:pPr>
      <w:r>
        <w:t xml:space="preserve">Every GreenTrust and Quantum table carries</w:t>
      </w:r>
      <w:r>
        <w:t xml:space="preserve"> </w:t>
      </w:r>
      <w:r>
        <w:rPr>
          <w:rStyle w:val="VerbatimChar"/>
        </w:rPr>
        <w:t xml:space="preserve">organization_id</w:t>
      </w:r>
      <w:r>
        <w:t xml:space="preserve"> </w:t>
      </w:r>
      <w:r>
        <w:t xml:space="preserve">directly and is locked with the identical policy —</w:t>
      </w:r>
      <w:r>
        <w:t xml:space="preserve"> </w:t>
      </w:r>
      <w:r>
        <w:rPr>
          <w:rStyle w:val="VerbatimChar"/>
        </w:rPr>
        <w:t xml:space="preserve">is_org_member(organization_id) or is_platform_admin()</w:t>
      </w:r>
      <w:r>
        <w:t xml:space="preserve"> </w:t>
      </w:r>
      <w:r>
        <w:t xml:space="preserve">— generated through a single</w:t>
      </w:r>
      <w:r>
        <w:t xml:space="preserve"> </w:t>
      </w:r>
      <w:r>
        <w:rPr>
          <w:rStyle w:val="VerbatimChar"/>
        </w:rPr>
        <w:t xml:space="preserve">DO</w:t>
      </w:r>
      <w:r>
        <w:t xml:space="preserve"> </w:t>
      </w:r>
      <w:r>
        <w:t xml:space="preserve">block over an explicit table list rather than 25 hand-copied statements, specifically so the policy can never drift table-to-table. Tables without a direct</w:t>
      </w:r>
      <w:r>
        <w:t xml:space="preserve"> </w:t>
      </w:r>
      <w:r>
        <w:rPr>
          <w:rStyle w:val="VerbatimChar"/>
        </w:rPr>
        <w:t xml:space="preserve">organization_id</w:t>
      </w:r>
      <w:r>
        <w:t xml:space="preserve"> </w:t>
      </w:r>
      <w:r>
        <w:t xml:space="preserve">(the algorithms/risk-factor/governance-control catalogs, which are global reference data unless an organization has extended them) get a policy that allows read when</w:t>
      </w:r>
      <w:r>
        <w:t xml:space="preserve"> </w:t>
      </w:r>
      <w:r>
        <w:rPr>
          <w:rStyle w:val="VerbatimChar"/>
        </w:rPr>
        <w:t xml:space="preserve">organization_id is null</w:t>
      </w:r>
      <w:r>
        <w:t xml:space="preserve"> </w:t>
      </w:r>
      <w:r>
        <w:t xml:space="preserve">(shared) or the caller belongs to that organization (private extension).</w:t>
      </w:r>
    </w:p>
    <w:p>
      <w:pPr>
        <w:pStyle w:val="BodyText"/>
      </w:pPr>
      <w:r>
        <w:t xml:space="preserve">This all assumes one thing explicitly: the Next.js backend’s privileged operations (scoring calculations, PDF generation, admin tooling, seeding) run under the Supabase</w:t>
      </w:r>
      <w:r>
        <w:t xml:space="preserve"> </w:t>
      </w:r>
      <w:r>
        <w:rPr>
          <w:b/>
        </w:rPr>
        <w:t xml:space="preserve">service-role</w:t>
      </w:r>
      <w:r>
        <w:t xml:space="preserve"> </w:t>
      </w:r>
      <w:r>
        <w:t xml:space="preserve">key, which bypasses RLS by design. That is the single trusted path, and per the Phase 2 secrets policy it only ever executes in server-side code — the browser only ever holds the anon/authenticated key, which is subject to every policy in this schema without exception.</w:t>
      </w:r>
    </w:p>
    <w:p>
      <w:pPr>
        <w:pStyle w:val="Heading2"/>
      </w:pPr>
      <w:bookmarkStart w:id="27" w:name="localization-strategy"/>
      <w:r>
        <w:t xml:space="preserve">6. Localization Strategy</w:t>
      </w:r>
      <w:bookmarkEnd w:id="27"/>
    </w:p>
    <w:p>
      <w:pPr>
        <w:pStyle w:val="FirstParagraph"/>
      </w:pPr>
      <w:r>
        <w:t xml:space="preserve">There is no</w:t>
      </w:r>
      <w:r>
        <w:t xml:space="preserve"> </w:t>
      </w:r>
      <w:r>
        <w:rPr>
          <w:rStyle w:val="VerbatimChar"/>
        </w:rPr>
        <w:t xml:space="preserve">_ar</w:t>
      </w:r>
      <w:r>
        <w:t xml:space="preserve"> </w:t>
      </w:r>
      <w:r>
        <w:t xml:space="preserve">/</w:t>
      </w:r>
      <w:r>
        <w:t xml:space="preserve"> </w:t>
      </w:r>
      <w:r>
        <w:rPr>
          <w:rStyle w:val="VerbatimChar"/>
        </w:rPr>
        <w:t xml:space="preserve">_en</w:t>
      </w:r>
      <w:r>
        <w:t xml:space="preserve"> </w:t>
      </w:r>
      <w:r>
        <w:t xml:space="preserve">table duplication anywhere in this schema. Two patterns cover every bilingual need instead.</w:t>
      </w:r>
    </w:p>
    <w:p>
      <w:pPr>
        <w:pStyle w:val="BodyText"/>
      </w:pPr>
      <w:r>
        <w:t xml:space="preserve">Dynamic content (articles, categories, tags, authors, and every piece of Labs curriculum — learning paths, courses, modules, labs, challenges, questions, answers) uses the translatable-entity pattern from Section 3: one language-neutral parent, one</w:t>
      </w:r>
      <w:r>
        <w:t xml:space="preserve"> </w:t>
      </w:r>
      <w:r>
        <w:rPr>
          <w:rStyle w:val="VerbatimChar"/>
        </w:rPr>
        <w:t xml:space="preserve">*_translations</w:t>
      </w:r>
      <w:r>
        <w:t xml:space="preserve"> </w:t>
      </w:r>
      <w:r>
        <w:t xml:space="preserve">row per locale. This is what lets the Phase 1 requirement — independent English and Arabic SEO strategies, not mirrored translations — actually work at the data layer: an Arabic article can have a different slug, different meta description, and even exist without its English counterpart yet being finished, because the two locale rows are independent and neither is required for the other to publish.</w:t>
      </w:r>
    </w:p>
    <w:p>
      <w:pPr>
        <w:pStyle w:val="BodyText"/>
      </w:pPr>
      <w:r>
        <w:t xml:space="preserve">Static UI copy (buttons, form labels, validation messages) is</w:t>
      </w:r>
      <w:r>
        <w:t xml:space="preserve"> </w:t>
      </w:r>
      <w:r>
        <w:rPr>
          <w:b/>
        </w:rPr>
        <w:t xml:space="preserve">not</w:t>
      </w:r>
      <w:r>
        <w:t xml:space="preserve"> </w:t>
      </w:r>
      <w:r>
        <w:t xml:space="preserve">in the database at all — it lives in the application’s</w:t>
      </w:r>
      <w:r>
        <w:t xml:space="preserve"> </w:t>
      </w:r>
      <w:r>
        <w:rPr>
          <w:rStyle w:val="VerbatimChar"/>
        </w:rPr>
        <w:t xml:space="preserve">next-intl</w:t>
      </w:r>
      <w:r>
        <w:t xml:space="preserve"> </w:t>
      </w:r>
      <w:r>
        <w:t xml:space="preserve">JSON translation files, per the Phase 2 architecture, because it changes with code deploys, not content edits.</w:t>
      </w:r>
    </w:p>
    <w:p>
      <w:pPr>
        <w:pStyle w:val="BodyText"/>
      </w:pPr>
      <w:r>
        <w:t xml:space="preserve">Reference/catalog data that has a human-readable label but is otherwise structural (risk factors, governance controls, algorithms, data classifications, badges, levels) gets the same lightweight</w:t>
      </w:r>
      <w:r>
        <w:t xml:space="preserve"> </w:t>
      </w:r>
      <w:r>
        <w:rPr>
          <w:rStyle w:val="VerbatimChar"/>
        </w:rPr>
        <w:t xml:space="preserve">*_translations</w:t>
      </w:r>
      <w:r>
        <w:t xml:space="preserve"> </w:t>
      </w:r>
      <w:r>
        <w:t xml:space="preserve">treatment so the UI can display</w:t>
      </w:r>
      <w:r>
        <w:t xml:space="preserve"> </w:t>
      </w:r>
      <w:r>
        <w:t xml:space="preserve">“</w:t>
      </w:r>
      <w:r>
        <w:t xml:space="preserve">خوارزمية RSA-2048</w:t>
      </w:r>
      <w:r>
        <w:t xml:space="preserve">”</w:t>
      </w:r>
      <w:r>
        <w:t xml:space="preserve"> </w:t>
      </w:r>
      <w:r>
        <w:t xml:space="preserve">and</w:t>
      </w:r>
      <w:r>
        <w:t xml:space="preserve"> </w:t>
      </w:r>
      <w:r>
        <w:t xml:space="preserve">“</w:t>
      </w:r>
      <w:r>
        <w:t xml:space="preserve">RSA-2048</w:t>
      </w:r>
      <w:r>
        <w:t xml:space="preserve">”</w:t>
      </w:r>
      <w:r>
        <w:t xml:space="preserve"> </w:t>
      </w:r>
      <w:r>
        <w:t xml:space="preserve">from the same underlying</w:t>
      </w:r>
      <w:r>
        <w:t xml:space="preserve"> </w:t>
      </w:r>
      <w:r>
        <w:rPr>
          <w:rStyle w:val="VerbatimChar"/>
        </w:rPr>
        <w:t xml:space="preserve">algorithms</w:t>
      </w:r>
      <w:r>
        <w:t xml:space="preserve"> </w:t>
      </w:r>
      <w:r>
        <w:t xml:space="preserve">row, without embedding bilingual strings as JSON blobs inside the parent table — keeping every translated string queryable, indexable, and constrained (unique slugs, not-null names) the same way as any other column.</w:t>
      </w:r>
    </w:p>
    <w:p>
      <w:pPr>
        <w:pStyle w:val="BodyText"/>
      </w:pPr>
      <w:r>
        <w:t xml:space="preserve">Locale itself is a two-value Postgres enum (</w:t>
      </w:r>
      <w:r>
        <w:rPr>
          <w:rStyle w:val="VerbatimChar"/>
        </w:rPr>
        <w:t xml:space="preserve">locale_code</w:t>
      </w:r>
      <w:r>
        <w:t xml:space="preserve">:</w:t>
      </w:r>
      <w:r>
        <w:t xml:space="preserve"> </w:t>
      </w:r>
      <w:r>
        <w:rPr>
          <w:rStyle w:val="VerbatimChar"/>
        </w:rPr>
        <w:t xml:space="preserve">en</w:t>
      </w:r>
      <w:r>
        <w:t xml:space="preserve">,</w:t>
      </w:r>
      <w:r>
        <w:t xml:space="preserve"> </w:t>
      </w:r>
      <w:r>
        <w:rPr>
          <w:rStyle w:val="VerbatimChar"/>
        </w:rPr>
        <w:t xml:space="preserve">ar</w:t>
      </w:r>
      <w:r>
        <w:t xml:space="preserve">), used consistently on</w:t>
      </w:r>
      <w:r>
        <w:t xml:space="preserve"> </w:t>
      </w:r>
      <w:r>
        <w:rPr>
          <w:rStyle w:val="VerbatimChar"/>
        </w:rPr>
        <w:t xml:space="preserve">profiles.locale</w:t>
      </w:r>
      <w:r>
        <w:t xml:space="preserve">,</w:t>
      </w:r>
      <w:r>
        <w:t xml:space="preserve"> </w:t>
      </w:r>
      <w:r>
        <w:rPr>
          <w:rStyle w:val="VerbatimChar"/>
        </w:rPr>
        <w:t xml:space="preserve">organizations.default_locale</w:t>
      </w:r>
      <w:r>
        <w:t xml:space="preserve">,</w:t>
      </w:r>
      <w:r>
        <w:t xml:space="preserve"> </w:t>
      </w:r>
      <w:r>
        <w:rPr>
          <w:rStyle w:val="VerbatimChar"/>
        </w:rPr>
        <w:t xml:space="preserve">contacts.locale</w:t>
      </w:r>
      <w:r>
        <w:t xml:space="preserve">, and every</w:t>
      </w:r>
      <w:r>
        <w:t xml:space="preserve"> </w:t>
      </w:r>
      <w:r>
        <w:rPr>
          <w:rStyle w:val="VerbatimChar"/>
        </w:rPr>
        <w:t xml:space="preserve">*_translations.locale</w:t>
      </w:r>
      <w:r>
        <w:t xml:space="preserve"> </w:t>
      </w:r>
      <w:r>
        <w:t xml:space="preserve">column — not a free-text field, so an invalid locale value is a constraint violation, not a runtime bug.</w:t>
      </w:r>
    </w:p>
    <w:p>
      <w:pPr>
        <w:pStyle w:val="Heading2"/>
      </w:pPr>
      <w:bookmarkStart w:id="28" w:name="audit-strategy"/>
      <w:r>
        <w:t xml:space="preserve">7. Audit Strategy</w:t>
      </w:r>
      <w:bookmarkEnd w:id="28"/>
    </w:p>
    <w:p>
      <w:pPr>
        <w:pStyle w:val="FirstParagraph"/>
      </w:pPr>
      <w:r>
        <w:t xml:space="preserve">Two independent audit trails exist, deliberately not merged, because they serve two different audiences.</w:t>
      </w:r>
      <w:r>
        <w:t xml:space="preserve"> </w:t>
      </w:r>
      <w:r>
        <w:rPr>
          <w:rStyle w:val="VerbatimChar"/>
        </w:rPr>
        <w:t xml:space="preserve">audit_logs</w:t>
      </w:r>
      <w:r>
        <w:t xml:space="preserve"> </w:t>
      </w:r>
      <w:r>
        <w:t xml:space="preserve">and</w:t>
      </w:r>
      <w:r>
        <w:t xml:space="preserve"> </w:t>
      </w:r>
      <w:r>
        <w:rPr>
          <w:rStyle w:val="VerbatimChar"/>
        </w:rPr>
        <w:t xml:space="preserve">security_events</w:t>
      </w:r>
      <w:r>
        <w:t xml:space="preserve"> </w:t>
      </w:r>
      <w:r>
        <w:t xml:space="preserve">(Security domain) are platform-wide and ops-facing — they answer</w:t>
      </w:r>
      <w:r>
        <w:t xml:space="preserve"> </w:t>
      </w:r>
      <w:r>
        <w:t xml:space="preserve">“</w:t>
      </w:r>
      <w:r>
        <w:t xml:space="preserve">what happened on our systems</w:t>
      </w:r>
      <w:r>
        <w:t xml:space="preserve">”</w:t>
      </w:r>
      <w:r>
        <w:t xml:space="preserve"> </w:t>
      </w:r>
      <w:r>
        <w:t xml:space="preserve">for CyberAbeer’s own incident response and support, and they are</w:t>
      </w:r>
      <w:r>
        <w:t xml:space="preserve"> </w:t>
      </w:r>
      <w:r>
        <w:rPr>
          <w:rStyle w:val="VerbatimChar"/>
        </w:rPr>
        <w:t xml:space="preserve">is_platform_admin()</w:t>
      </w:r>
      <w:r>
        <w:t xml:space="preserve">-only, never exposed to a customer.</w:t>
      </w:r>
      <w:r>
        <w:t xml:space="preserve"> </w:t>
      </w:r>
      <w:r>
        <w:rPr>
          <w:rStyle w:val="VerbatimChar"/>
        </w:rPr>
        <w:t xml:space="preserve">lifecycle_events</w:t>
      </w:r>
      <w:r>
        <w:t xml:space="preserve"> </w:t>
      </w:r>
      <w:r>
        <w:t xml:space="preserve">(GreenTrust domain) is customer-facing compliance history — it answers</w:t>
      </w:r>
      <w:r>
        <w:t xml:space="preserve"> </w:t>
      </w:r>
      <w:r>
        <w:t xml:space="preserve">“</w:t>
      </w:r>
      <w:r>
        <w:t xml:space="preserve">what happened to my agent, and when</w:t>
      </w:r>
      <w:r>
        <w:t xml:space="preserve">”</w:t>
      </w:r>
      <w:r>
        <w:t xml:space="preserve"> </w:t>
      </w:r>
      <w:r>
        <w:t xml:space="preserve">for a GreenTrust customer’s own auditors, scoped to their organization exactly like every other GreenTrust table.</w:t>
      </w:r>
    </w:p>
    <w:p>
      <w:pPr>
        <w:pStyle w:val="BodyText"/>
      </w:pPr>
      <w:r>
        <w:t xml:space="preserve">Within GreenTrust specifically, auditability is designed into the record shape itself, not bolted on afterward:</w:t>
      </w:r>
      <w:r>
        <w:t xml:space="preserve"> </w:t>
      </w:r>
      <w:r>
        <w:rPr>
          <w:rStyle w:val="VerbatimChar"/>
        </w:rPr>
        <w:t xml:space="preserve">risk_assessments</w:t>
      </w:r>
      <w:r>
        <w:t xml:space="preserve"> </w:t>
      </w:r>
      <w:r>
        <w:t xml:space="preserve">and</w:t>
      </w:r>
      <w:r>
        <w:t xml:space="preserve"> </w:t>
      </w:r>
      <w:r>
        <w:rPr>
          <w:rStyle w:val="VerbatimChar"/>
        </w:rPr>
        <w:t xml:space="preserve">grcl_assessments</w:t>
      </w:r>
      <w:r>
        <w:t xml:space="preserve"> </w:t>
      </w:r>
      <w:r>
        <w:t xml:space="preserve">move from</w:t>
      </w:r>
      <w:r>
        <w:t xml:space="preserve"> </w:t>
      </w:r>
      <w:r>
        <w:rPr>
          <w:rStyle w:val="VerbatimChar"/>
        </w:rPr>
        <w:t xml:space="preserve">draft</w:t>
      </w:r>
      <w:r>
        <w:t xml:space="preserve"> </w:t>
      </w:r>
      <w:r>
        <w:t xml:space="preserve">to</w:t>
      </w:r>
      <w:r>
        <w:t xml:space="preserve"> </w:t>
      </w:r>
      <w:r>
        <w:rPr>
          <w:rStyle w:val="VerbatimChar"/>
        </w:rPr>
        <w:t xml:space="preserve">final</w:t>
      </w:r>
      <w:r>
        <w:t xml:space="preserve"> </w:t>
      </w:r>
      <w:r>
        <w:t xml:space="preserve">and the application must never update a</w:t>
      </w:r>
      <w:r>
        <w:t xml:space="preserve"> </w:t>
      </w:r>
      <w:r>
        <w:rPr>
          <w:rStyle w:val="VerbatimChar"/>
        </w:rPr>
        <w:t xml:space="preserve">final</w:t>
      </w:r>
      <w:r>
        <w:t xml:space="preserve"> </w:t>
      </w:r>
      <w:r>
        <w:t xml:space="preserve">row, only insert the next one;</w:t>
      </w:r>
      <w:r>
        <w:t xml:space="preserve"> </w:t>
      </w:r>
      <w:r>
        <w:rPr>
          <w:rStyle w:val="VerbatimChar"/>
        </w:rPr>
        <w:t xml:space="preserve">greentrust_scores</w:t>
      </w:r>
      <w:r>
        <w:t xml:space="preserve"> </w:t>
      </w:r>
      <w:r>
        <w:t xml:space="preserve">and</w:t>
      </w:r>
      <w:r>
        <w:t xml:space="preserve"> </w:t>
      </w:r>
      <w:r>
        <w:rPr>
          <w:rStyle w:val="VerbatimChar"/>
        </w:rPr>
        <w:t xml:space="preserve">quantum_readiness_scores</w:t>
      </w:r>
      <w:r>
        <w:t xml:space="preserve"> </w:t>
      </w:r>
      <w:r>
        <w:t xml:space="preserve">are pure time series, never overwritten;</w:t>
      </w:r>
      <w:r>
        <w:t xml:space="preserve"> </w:t>
      </w:r>
      <w:r>
        <w:rPr>
          <w:rStyle w:val="VerbatimChar"/>
        </w:rPr>
        <w:t xml:space="preserve">agent_passports</w:t>
      </w:r>
      <w:r>
        <w:t xml:space="preserve"> </w:t>
      </w:r>
      <w:r>
        <w:t xml:space="preserve">are versioned with</w:t>
      </w:r>
      <w:r>
        <w:t xml:space="preserve"> </w:t>
      </w:r>
      <w:r>
        <w:rPr>
          <w:rStyle w:val="VerbatimChar"/>
        </w:rPr>
        <w:t xml:space="preserve">is_current</w:t>
      </w:r>
      <w:r>
        <w:t xml:space="preserve"> </w:t>
      </w:r>
      <w:r>
        <w:t xml:space="preserve">rather than mutated, so</w:t>
      </w:r>
      <w:r>
        <w:t xml:space="preserve"> </w:t>
      </w:r>
      <w:r>
        <w:t xml:space="preserve">“</w:t>
      </w:r>
      <w:r>
        <w:t xml:space="preserve">what did the passport say when it was issued</w:t>
      </w:r>
      <w:r>
        <w:t xml:space="preserve">”</w:t>
      </w:r>
      <w:r>
        <w:t xml:space="preserve"> </w:t>
      </w:r>
      <w:r>
        <w:t xml:space="preserve">is always answerable from history;</w:t>
      </w:r>
      <w:r>
        <w:t xml:space="preserve"> </w:t>
      </w:r>
      <w:r>
        <w:rPr>
          <w:rStyle w:val="VerbatimChar"/>
        </w:rPr>
        <w:t xml:space="preserve">evidence</w:t>
      </w:r>
      <w:r>
        <w:t xml:space="preserve"> </w:t>
      </w:r>
      <w:r>
        <w:t xml:space="preserve">is append-only with a</w:t>
      </w:r>
      <w:r>
        <w:t xml:space="preserve"> </w:t>
      </w:r>
      <w:r>
        <w:rPr>
          <w:rStyle w:val="VerbatimChar"/>
        </w:rPr>
        <w:t xml:space="preserve">superseded_by</w:t>
      </w:r>
      <w:r>
        <w:t xml:space="preserve"> </w:t>
      </w:r>
      <w:r>
        <w:t xml:space="preserve">pointer rather than replace-in-place, so an auditor can see exactly what evidence existed on any given date.</w:t>
      </w:r>
      <w:r>
        <w:t xml:space="preserve"> </w:t>
      </w:r>
      <w:r>
        <w:rPr>
          <w:rStyle w:val="VerbatimChar"/>
        </w:rPr>
        <w:t xml:space="preserve">consent_records</w:t>
      </w:r>
      <w:r>
        <w:t xml:space="preserve"> </w:t>
      </w:r>
      <w:r>
        <w:t xml:space="preserve">follows the same append-only rule for the same reason — GDPR/PDPL-style compliance depends on being able to show what consent was in force at a specific past moment, not just what it is today.</w:t>
      </w:r>
    </w:p>
    <w:p>
      <w:pPr>
        <w:pStyle w:val="Heading2"/>
      </w:pPr>
      <w:bookmarkStart w:id="29" w:name="migration-strategy"/>
      <w:r>
        <w:t xml:space="preserve">8. Migration Strategy</w:t>
      </w:r>
      <w:bookmarkEnd w:id="29"/>
    </w:p>
    <w:p>
      <w:pPr>
        <w:pStyle w:val="FirstParagraph"/>
      </w:pPr>
      <w:r>
        <w:t xml:space="preserve">Migrations are plain, ordered SQL files applied through the Supabase CLI (</w:t>
      </w:r>
      <w:r>
        <w:rPr>
          <w:rStyle w:val="VerbatimChar"/>
        </w:rPr>
        <w:t xml:space="preserve">supabase db push</w:t>
      </w:r>
      <w:r>
        <w:t xml:space="preserve"> </w:t>
      </w:r>
      <w:r>
        <w:t xml:space="preserve">/</w:t>
      </w:r>
      <w:r>
        <w:t xml:space="preserve"> </w:t>
      </w:r>
      <w:r>
        <w:rPr>
          <w:rStyle w:val="VerbatimChar"/>
        </w:rPr>
        <w:t xml:space="preserve">supabase migration up</w:t>
      </w:r>
      <w:r>
        <w:t xml:space="preserve">), matching the Phase 2 development workflow exactly: applied to a local or branched instance first, then staging, then production — never hand-edited directly against a dashboard except for local experimentation. The eight files in this delivery (</w:t>
      </w:r>
      <w:r>
        <w:rPr>
          <w:rStyle w:val="VerbatimChar"/>
        </w:rPr>
        <w:t xml:space="preserve">001</w:t>
      </w:r>
      <w:r>
        <w:t xml:space="preserve">–</w:t>
      </w:r>
      <w:r>
        <w:rPr>
          <w:rStyle w:val="VerbatimChar"/>
        </w:rPr>
        <w:t xml:space="preserve">008</w:t>
      </w:r>
      <w:r>
        <w:t xml:space="preserve">) are the initial migration; every future schema change is a new, additive file, never an edit to a file that has already run against staging or production. Destructive changes (dropping a column that’s still read by deployed code) follow an expand-and-contract sequence: add the new shape in one migration, deploy code that writes both, backfill, deploy code that reads only the new shape, then drop the old shape in a later migration — never a single migration that both adds and removes in a way that could break a mid-deploy request.</w:t>
      </w:r>
    </w:p>
    <w:p>
      <w:pPr>
        <w:pStyle w:val="Heading2"/>
      </w:pPr>
      <w:bookmarkStart w:id="30" w:name="seed-data-strategy"/>
      <w:r>
        <w:t xml:space="preserve">9. Seed-Data Strategy</w:t>
      </w:r>
      <w:bookmarkEnd w:id="30"/>
    </w:p>
    <w:p>
      <w:pPr>
        <w:pStyle w:val="FirstParagraph"/>
      </w:pPr>
      <w:r>
        <w:t xml:space="preserve">Seed data (</w:t>
      </w:r>
      <w:r>
        <w:rPr>
          <w:rStyle w:val="VerbatimChar"/>
        </w:rPr>
        <w:t xml:space="preserve">008</w:t>
      </w:r>
      <w:r>
        <w:t xml:space="preserve">) is reference/catalog data the application cannot function without on day one: RBAC roles and permissions, XP level thresholds, starter badges, lead sources, the global data-classification and risk-factor catalogs, a starter governance-control set (ISO 27001 and NIST AI RMF keys), the quantum algorithm catalog (including which are quantum-vulnerable and which are NIST-standardized post-quantum candidates), and the Commerce catalog (products, plans, entitlements) matching the pricing tiers already defined in the Phase 1 blueprint. Every seed insert is keyed on a business key with</w:t>
      </w:r>
      <w:r>
        <w:t xml:space="preserve"> </w:t>
      </w:r>
      <w:r>
        <w:rPr>
          <w:rStyle w:val="VerbatimChar"/>
        </w:rPr>
        <w:t xml:space="preserve">on conflict ... do nothing</w:t>
      </w:r>
      <w:r>
        <w:t xml:space="preserve">, so the file is safe to re-run against any environment without creating duplicates — the same seed file works for local development, staging, and the first production deploy.</w:t>
      </w:r>
    </w:p>
    <w:p>
      <w:pPr>
        <w:pStyle w:val="BodyText"/>
      </w:pPr>
      <w:r>
        <w:t xml:space="preserve">What is deliberately</w:t>
      </w:r>
      <w:r>
        <w:t xml:space="preserve"> </w:t>
      </w:r>
      <w:r>
        <w:rPr>
          <w:b/>
        </w:rPr>
        <w:t xml:space="preserve">not</w:t>
      </w:r>
      <w:r>
        <w:t xml:space="preserve"> </w:t>
      </w:r>
      <w:r>
        <w:t xml:space="preserve">seeded: any organization, any user, any AI agent, any crypto asset, any article. Those are real customer/content data and must never be faked into a production database, even for demo purposes — a staging environment gets its own separate synthetic data set, generated by a script that lives outside these migrations, not mixed into them.</w:t>
      </w:r>
    </w:p>
    <w:p>
      <w:pPr>
        <w:pStyle w:val="Heading2"/>
      </w:pPr>
      <w:bookmarkStart w:id="31" w:name="complete-initial-sql-schema-migrations"/>
      <w:r>
        <w:t xml:space="preserve">10. Complete Initial SQL Schema / Migrations</w:t>
      </w:r>
      <w:bookmarkEnd w:id="31"/>
    </w:p>
    <w:p>
      <w:pPr>
        <w:pStyle w:val="FirstParagraph"/>
      </w:pPr>
      <w:r>
        <w:t xml:space="preserve">Delivered as eight files, applied in order:</w:t>
      </w:r>
    </w:p>
    <w:p>
      <w:pPr>
        <w:pStyle w:val="SourceCode"/>
      </w:pPr>
      <w:r>
        <w:rPr>
          <w:rStyle w:val="VerbatimChar"/>
        </w:rPr>
        <w:t xml:space="preserve">001_extensions_helpers_core.sql     Extensions, enums, shared trigger, CORE domain</w:t>
      </w:r>
      <w:r>
        <w:br/>
      </w:r>
      <w:r>
        <w:rPr>
          <w:rStyle w:val="VerbatimChar"/>
        </w:rPr>
        <w:t xml:space="preserve">002_schema_content_leads.sql        CONTENT + LEADS domains</w:t>
      </w:r>
      <w:r>
        <w:br/>
      </w:r>
      <w:r>
        <w:rPr>
          <w:rStyle w:val="VerbatimChar"/>
        </w:rPr>
        <w:t xml:space="preserve">003_schema_labs.sql                 CYBERABEER LABS domain</w:t>
      </w:r>
      <w:r>
        <w:br/>
      </w:r>
      <w:r>
        <w:rPr>
          <w:rStyle w:val="VerbatimChar"/>
        </w:rPr>
        <w:t xml:space="preserve">004_schema_greentrust.sql           GREENTRUST domain</w:t>
      </w:r>
      <w:r>
        <w:br/>
      </w:r>
      <w:r>
        <w:rPr>
          <w:rStyle w:val="VerbatimChar"/>
        </w:rPr>
        <w:t xml:space="preserve">005_schema_quantum.sql              QUANTUM domain</w:t>
      </w:r>
      <w:r>
        <w:br/>
      </w:r>
      <w:r>
        <w:rPr>
          <w:rStyle w:val="VerbatimChar"/>
        </w:rPr>
        <w:t xml:space="preserve">006_schema_commerce_security.sql    COMMERCE + SECURITY domains</w:t>
      </w:r>
      <w:r>
        <w:br/>
      </w:r>
      <w:r>
        <w:rPr>
          <w:rStyle w:val="VerbatimChar"/>
        </w:rPr>
        <w:t xml:space="preserve">007_rls_policies.sql                Row Level Security for all 108 tables</w:t>
      </w:r>
      <w:r>
        <w:br/>
      </w:r>
      <w:r>
        <w:rPr>
          <w:rStyle w:val="VerbatimChar"/>
        </w:rPr>
        <w:t xml:space="preserve">008_seed_data.sql                   Reference/catalog seed data</w:t>
      </w:r>
    </w:p>
    <w:p>
      <w:pPr>
        <w:pStyle w:val="FirstParagraph"/>
      </w:pPr>
      <w:r>
        <w:t xml:space="preserve">108 tables total. Every table has</w:t>
      </w:r>
      <w:r>
        <w:t xml:space="preserve"> </w:t>
      </w:r>
      <w:r>
        <w:rPr>
          <w:rStyle w:val="VerbatimChar"/>
        </w:rPr>
        <w:t xml:space="preserve">created_at</w:t>
      </w:r>
      <w:r>
        <w:t xml:space="preserve">; every table that can be meaningfully undone or corrected has</w:t>
      </w:r>
      <w:r>
        <w:t xml:space="preserve"> </w:t>
      </w:r>
      <w:r>
        <w:rPr>
          <w:rStyle w:val="VerbatimChar"/>
        </w:rPr>
        <w:t xml:space="preserve">updated_at</w:t>
      </w:r>
      <w:r>
        <w:t xml:space="preserve"> </w:t>
      </w:r>
      <w:r>
        <w:t xml:space="preserve">(via a shared trigger) and, where historical integrity matters,</w:t>
      </w:r>
      <w:r>
        <w:t xml:space="preserve"> </w:t>
      </w:r>
      <w:r>
        <w:rPr>
          <w:rStyle w:val="VerbatimChar"/>
        </w:rPr>
        <w:t xml:space="preserve">deleted_at</w:t>
      </w:r>
      <w:r>
        <w:t xml:space="preserve"> </w:t>
      </w:r>
      <w:r>
        <w:t xml:space="preserve">for soft deletion — never on pure append-only ledgers or on join tables, which are hard-deleted or cascade-deleted by design. All primary keys are UUIDs generated by</w:t>
      </w:r>
      <w:r>
        <w:t xml:space="preserve"> </w:t>
      </w:r>
      <w:r>
        <w:rPr>
          <w:rStyle w:val="VerbatimChar"/>
        </w:rPr>
        <w:t xml:space="preserve">gen_random_uuid()</w:t>
      </w:r>
      <w:r>
        <w:t xml:space="preserve">, except the handful of pure time-series/ledger tables where a future partitioning-by-month strategy remains straightforward precisely because nothing else references their primary key.</w:t>
      </w:r>
    </w:p>
    <w:p>
      <w:r>
        <w:pict>
          <v:rect style="width:0;height:1.5pt" o:hralign="center" o:hrstd="t" o:hr="t"/>
        </w:pict>
      </w:r>
    </w:p>
    <w:p>
      <w:pPr>
        <w:pStyle w:val="Heading2"/>
      </w:pPr>
      <w:bookmarkStart w:id="32" w:name="security-and-scalability-review"/>
      <w:r>
        <w:t xml:space="preserve">Security and Scalability Review</w:t>
      </w:r>
      <w:bookmarkEnd w:id="32"/>
    </w:p>
    <w:p>
      <w:pPr>
        <w:pStyle w:val="FirstParagraph"/>
      </w:pPr>
      <w:r>
        <w:t xml:space="preserve">Before closing this phase, the schema was checked specifically against the two requirements called out explicitly in the brief.</w:t>
      </w:r>
    </w:p>
    <w:p>
      <w:pPr>
        <w:pStyle w:val="BodyText"/>
      </w:pPr>
      <w:r>
        <w:rPr>
          <w:b/>
        </w:rPr>
        <w:t xml:space="preserve">Tenant isolation:</w:t>
      </w:r>
      <w:r>
        <w:t xml:space="preserve"> </w:t>
      </w:r>
      <w:r>
        <w:t xml:space="preserve">every GreenTrust and Quantum table was verified programmatically to carry a direct</w:t>
      </w:r>
      <w:r>
        <w:t xml:space="preserve"> </w:t>
      </w:r>
      <w:r>
        <w:rPr>
          <w:rStyle w:val="VerbatimChar"/>
        </w:rPr>
        <w:t xml:space="preserve">organization_id</w:t>
      </w:r>
      <w:r>
        <w:t xml:space="preserve"> </w:t>
      </w:r>
      <w:r>
        <w:t xml:space="preserve">column and an RLS policy scoped to</w:t>
      </w:r>
      <w:r>
        <w:t xml:space="preserve"> </w:t>
      </w:r>
      <w:r>
        <w:rPr>
          <w:rStyle w:val="VerbatimChar"/>
        </w:rPr>
        <w:t xml:space="preserve">is_org_member()</w:t>
      </w:r>
      <w:r>
        <w:t xml:space="preserve">; the two join tables without a direct column (</w:t>
      </w:r>
      <w:r>
        <w:rPr>
          <w:rStyle w:val="VerbatimChar"/>
        </w:rPr>
        <w:t xml:space="preserve">crypto_asset_algorithms</w:t>
      </w:r>
      <w:r>
        <w:t xml:space="preserve">, and the org-nullable catalogs) were given</w:t>
      </w:r>
      <w:r>
        <w:t xml:space="preserve"> </w:t>
      </w:r>
      <w:r>
        <w:rPr>
          <w:rStyle w:val="VerbatimChar"/>
        </w:rPr>
        <w:t xml:space="preserve">EXISTS</w:t>
      </w:r>
      <w:r>
        <w:t xml:space="preserve">-based or null-aware policies instead of being left open. A full sweep confirmed all 108 tables have Row Level Security enabled — none were left exposed by omission, which is the single most common way a Supabase schema accidentally leaks data through its auto-generated API.</w:t>
      </w:r>
    </w:p>
    <w:p>
      <w:pPr>
        <w:pStyle w:val="BodyText"/>
      </w:pPr>
      <w:r>
        <w:rPr>
          <w:b/>
        </w:rPr>
        <w:t xml:space="preserve">Scalability:</w:t>
      </w:r>
      <w:r>
        <w:t xml:space="preserve"> </w:t>
      </w:r>
      <w:r>
        <w:t xml:space="preserve">the append-only ledger tables (</w:t>
      </w:r>
      <w:r>
        <w:rPr>
          <w:rStyle w:val="VerbatimChar"/>
        </w:rPr>
        <w:t xml:space="preserve">xp_events</w:t>
      </w:r>
      <w:r>
        <w:t xml:space="preserve">,</w:t>
      </w:r>
      <w:r>
        <w:t xml:space="preserve"> </w:t>
      </w:r>
      <w:r>
        <w:rPr>
          <w:rStyle w:val="VerbatimChar"/>
        </w:rPr>
        <w:t xml:space="preserve">audit_logs</w:t>
      </w:r>
      <w:r>
        <w:t xml:space="preserve">,</w:t>
      </w:r>
      <w:r>
        <w:t xml:space="preserve"> </w:t>
      </w:r>
      <w:r>
        <w:rPr>
          <w:rStyle w:val="VerbatimChar"/>
        </w:rPr>
        <w:t xml:space="preserve">security_events</w:t>
      </w:r>
      <w:r>
        <w:t xml:space="preserve">,</w:t>
      </w:r>
      <w:r>
        <w:t xml:space="preserve"> </w:t>
      </w:r>
      <w:r>
        <w:rPr>
          <w:rStyle w:val="VerbatimChar"/>
        </w:rPr>
        <w:t xml:space="preserve">lifecycle_events</w:t>
      </w:r>
      <w:r>
        <w:t xml:space="preserve">) are the ones that will grow fastest; they use UUID primary keys today for consistency with the rest of the schema, but were deliberately designed with no other table depending on their row order, so monthly range partitioning can be added later as a pure storage-layer change if volume ever demands it — not a schema redesign. The</w:t>
      </w:r>
      <w:r>
        <w:t xml:space="preserve"> </w:t>
      </w:r>
      <w:r>
        <w:rPr>
          <w:rStyle w:val="VerbatimChar"/>
        </w:rPr>
        <w:t xml:space="preserve">user_xp_totals</w:t>
      </w:r>
      <w:r>
        <w:t xml:space="preserve"> </w:t>
      </w:r>
      <w:r>
        <w:t xml:space="preserve">rollup table exists specifically so the highest-traffic read (a learner’s XP/level, shown on nearly every Labs page) never requires summing the full ledger. No table in this schema is expected to individually exceed low-single-digit millions of rows within the timeframe these tools would need to be reconsidered anyway.</w:t>
      </w:r>
    </w:p>
    <w:p>
      <w:pPr>
        <w:pStyle w:val="BodyText"/>
      </w:pPr>
      <w:r>
        <w:t xml:space="preserve">Database design complete. Awaiting the next instruction.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2026-07-25T08:58:26Z</dcterms:created>
  <dcterms:modified xsi:type="dcterms:W3CDTF">2026-07-25T08:58:26Z</dcterms:modified>
</cp:coreProperties>
</file>

<file path=docProps/custom.xml><?xml version="1.0" encoding="utf-8"?>
<Properties xmlns="http://schemas.openxmlformats.org/officeDocument/2006/custom-properties" xmlns:vt="http://schemas.openxmlformats.org/officeDocument/2006/docPropsVTypes"/>
</file>