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Statisitical</w:t>
      </w:r>
      <w:r>
        <w:t xml:space="preserve"> </w:t>
      </w:r>
      <w:r>
        <w:t xml:space="preserve">Inference</w:t>
      </w:r>
      <w:r>
        <w:t xml:space="preserve"> </w:t>
      </w:r>
      <w:r>
        <w:t xml:space="preserve">Assignment</w:t>
      </w:r>
      <w:r>
        <w:t xml:space="preserve"> </w:t>
      </w:r>
      <w:r>
        <w:t xml:space="preserve">Part</w:t>
      </w:r>
      <w:r>
        <w:t xml:space="preserve"> </w:t>
      </w:r>
      <w:r>
        <w:t xml:space="preserve">2</w:t>
      </w:r>
    </w:p>
    <w:p>
      <w:pPr>
        <w:pStyle w:val="Author"/>
      </w:pPr>
      <w:r>
        <w:t xml:space="preserve">Bernard</w:t>
      </w:r>
      <w:r>
        <w:t xml:space="preserve"> </w:t>
      </w:r>
      <w:r>
        <w:t xml:space="preserve">Akyena</w:t>
      </w:r>
    </w:p>
    <w:p>
      <w:pPr>
        <w:pStyle w:val="Date"/>
      </w:pPr>
      <w:r>
        <w:t xml:space="preserve">August</w:t>
      </w:r>
      <w:r>
        <w:t xml:space="preserve"> </w:t>
      </w:r>
      <w:r>
        <w:t xml:space="preserve">23,</w:t>
      </w:r>
      <w:r>
        <w:t xml:space="preserve"> </w:t>
      </w:r>
      <w:r>
        <w:t xml:space="preserve">2017</w:t>
      </w:r>
    </w:p>
    <w:p>
      <w:pPr>
        <w:pStyle w:val="Heading1"/>
      </w:pPr>
      <w:bookmarkStart w:id="21" w:name="loading-and-exploring-data"/>
      <w:bookmarkEnd w:id="21"/>
      <w:r>
        <w:t xml:space="preserve">loading and exploring data</w:t>
      </w:r>
    </w:p>
    <w:p>
      <w:pPr>
        <w:pStyle w:val="SourceCode"/>
      </w:pP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(ggplot2)</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Heading1"/>
      </w:pPr>
      <w:bookmarkStart w:id="22" w:name="boxplot-to-compare-both-supplements-across-different-dosages-and-identify-which-is-better"/>
      <w:bookmarkEnd w:id="22"/>
      <w:r>
        <w:t xml:space="preserve">Boxplot to compare both supplements across different dosages and identify which is better</w:t>
      </w:r>
    </w:p>
    <w:p>
      <w:pPr>
        <w:pStyle w:val="SourceCode"/>
      </w:pPr>
      <w:r>
        <w:rPr>
          <w:rStyle w:val="NormalTok"/>
        </w:rPr>
        <w:t xml:space="preserve">data &lt;-</w:t>
      </w:r>
      <w:r>
        <w:rPr>
          <w:rStyle w:val="StringTok"/>
        </w:rPr>
        <w:t xml:space="preserve"> </w:t>
      </w:r>
      <w:r>
        <w:rPr>
          <w:rStyle w:val="NormalTok"/>
        </w:rPr>
        <w:t xml:space="preserve">ToothGrowth</w:t>
      </w:r>
      <w:r>
        <w:br w:type="textWrapping"/>
      </w:r>
      <w:r>
        <w:rPr>
          <w:rStyle w:val="KeywordTok"/>
        </w:rPr>
        <w:t xml:space="preserve">levels</w:t>
      </w:r>
      <w:r>
        <w:rPr>
          <w:rStyle w:val="NormalTok"/>
        </w:rPr>
        <w:t xml:space="preserve">(data$supp) &lt;-</w:t>
      </w:r>
      <w:r>
        <w:rPr>
          <w:rStyle w:val="StringTok"/>
        </w:rPr>
        <w:t xml:space="preserve"> </w:t>
      </w:r>
      <w:r>
        <w:rPr>
          <w:rStyle w:val="KeywordTok"/>
        </w:rPr>
        <w:t xml:space="preserve">c</w:t>
      </w:r>
      <w:r>
        <w:rPr>
          <w:rStyle w:val="NormalTok"/>
        </w:rPr>
        <w:t xml:space="preserve">(</w:t>
      </w:r>
      <w:r>
        <w:rPr>
          <w:rStyle w:val="StringTok"/>
        </w:rPr>
        <w:t xml:space="preserve">"Orange Juice"</w:t>
      </w:r>
      <w:r>
        <w:rPr>
          <w:rStyle w:val="NormalTok"/>
        </w:rPr>
        <w:t xml:space="preserve">, </w:t>
      </w:r>
      <w:r>
        <w:rPr>
          <w:rStyle w:val="StringTok"/>
        </w:rPr>
        <w:t xml:space="preserve">"Ascorbic Acid"</w:t>
      </w:r>
      <w:r>
        <w:rPr>
          <w:rStyle w:val="NormalTok"/>
        </w:rPr>
        <w:t xml:space="preserve">)</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(dose), </w:t>
      </w:r>
      <w:r>
        <w:rPr>
          <w:rStyle w:val="DataTypeTok"/>
        </w:rPr>
        <w:t xml:space="preserve">y =</w:t>
      </w:r>
      <w:r>
        <w:rPr>
          <w:rStyle w:val="NormalTok"/>
        </w:rPr>
        <w:t xml:space="preserve"> </w:t>
      </w:r>
      <w:r>
        <w:rPr>
          <w:rStyle w:val="NormalTok"/>
        </w:rPr>
        <w:t xml:space="preserve">len))</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facet_grid</w:t>
      </w:r>
      <w:r>
        <w:rPr>
          <w:rStyle w:val="NormalTok"/>
        </w:rPr>
        <w:t xml:space="preserve">(.~supp)</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supp))</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"Tooth Length by Dosage for Every Supplement"</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"Dose (mg/day)"</w:t>
      </w:r>
      <w:r>
        <w:rPr>
          <w:rStyle w:val="NormalTok"/>
        </w:rPr>
        <w:t xml:space="preserve">, </w:t>
      </w:r>
      <w:r>
        <w:rPr>
          <w:rStyle w:val="DataTypeTok"/>
        </w:rPr>
        <w:t xml:space="preserve">y =</w:t>
      </w:r>
      <w:r>
        <w:rPr>
          <w:rStyle w:val="NormalTok"/>
        </w:rPr>
        <w:t xml:space="preserve"> </w:t>
      </w:r>
      <w:r>
        <w:rPr>
          <w:rStyle w:val="StringTok"/>
        </w:rPr>
        <w:t xml:space="preserve">"Tooth Length"</w:t>
      </w:r>
      <w:r>
        <w:rPr>
          <w:rStyle w:val="NormalTok"/>
        </w:rPr>
        <w:t xml:space="preserve">)</w:t>
      </w:r>
      <w:r>
        <w:br w:type="textWrapping"/>
      </w:r>
      <w:r>
        <w:rPr>
          <w:rStyle w:val="KeywordTok"/>
        </w:rPr>
        <w:t xml:space="preserve">print</w:t>
      </w:r>
      <w:r>
        <w:rPr>
          <w:rStyle w:val="NormalTok"/>
        </w:rPr>
        <w:t xml:space="preserve">(g)</w:t>
      </w:r>
    </w:p>
    <w:p>
      <w:pPr>
        <w:pStyle w:val="FirstParagraph"/>
      </w:pPr>
      <w:r>
        <w:drawing>
          <wp:inline>
            <wp:extent cx="4620126" cy="3696101"/>
            <wp:effectExtent b="0" l="0" r="0" t="0"/>
            <wp:docPr descr="" id="1" name="Picture"/>
            <a:graphic>
              <a:graphicData uri="http://schemas.openxmlformats.org/drawingml/2006/picture">
                <pic:pic>
                  <pic:nvPicPr>
                    <pic:cNvPr descr="Statistical_Inference_Assignment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plot we can infer that orange juice displays better tooth growth for 0.5 and 1mg/day dosages</w:t>
      </w:r>
    </w:p>
    <w:p>
      <w:pPr>
        <w:pStyle w:val="Heading1"/>
      </w:pPr>
      <w:bookmarkStart w:id="24" w:name="hypothesis-testing-for-doses-0.5-1-and-2"/>
      <w:bookmarkEnd w:id="24"/>
      <w:r>
        <w:t xml:space="preserve">Hypothesis Testing for doses = 0.5, 1 and 2</w:t>
      </w:r>
    </w:p>
    <w:p>
      <w:pPr>
        <w:pStyle w:val="SourceCode"/>
      </w:pPr>
      <w:r>
        <w:rPr>
          <w:rStyle w:val="NormalTok"/>
        </w:rPr>
        <w:t xml:space="preserve">## For dose = 0.5 mg/day</w:t>
      </w:r>
      <w:r>
        <w:br w:type="textWrapping"/>
      </w:r>
      <w:r>
        <w:rPr>
          <w:rStyle w:val="NormalTok"/>
        </w:rPr>
        <w:t xml:space="preserve">h0</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KeywordTok"/>
        </w:rPr>
        <w:t xml:space="preserve">subset</w:t>
      </w:r>
      <w:r>
        <w:rPr>
          <w:rStyle w:val="NormalTok"/>
        </w:rPr>
        <w:t xml:space="preserve">(data, dose ==</w:t>
      </w:r>
      <w:r>
        <w:rPr>
          <w:rStyle w:val="StringTok"/>
        </w:rPr>
        <w:t xml:space="preserve"> </w:t>
      </w:r>
      <w:r>
        <w:rPr>
          <w:rStyle w:val="FloatTok"/>
        </w:rPr>
        <w:t xml:space="preserve">0.5</w:t>
      </w:r>
      <w:r>
        <w:rPr>
          <w:rStyle w:val="NormalTok"/>
        </w:rPr>
        <w:t xml:space="preserve">))</w:t>
      </w:r>
      <w:r>
        <w:br w:type="textWrapping"/>
      </w:r>
      <w:r>
        <w:rPr>
          <w:rStyle w:val="NormalTok"/>
        </w:rPr>
        <w:t xml:space="preserve">h0</w:t>
      </w:r>
      <w:r>
        <w:rPr>
          <w:rStyle w:val="FloatTok"/>
        </w:rPr>
        <w:t xml:space="preserve">.5</w:t>
      </w:r>
      <w:r>
        <w:rPr>
          <w:rStyle w:val="NormalTok"/>
        </w:rPr>
        <w:t xml:space="preserve">$conf.int</w:t>
      </w:r>
    </w:p>
    <w:p>
      <w:pPr>
        <w:pStyle w:val="SourceCode"/>
      </w:pPr>
      <w:r>
        <w:rPr>
          <w:rStyle w:val="VerbatimChar"/>
        </w:rPr>
        <w:t xml:space="preserve">## [1] 1.719057 8.780943</w:t>
      </w:r>
      <w:r>
        <w:br w:type="textWrapping"/>
      </w:r>
      <w:r>
        <w:rPr>
          <w:rStyle w:val="VerbatimChar"/>
        </w:rPr>
        <w:t xml:space="preserve">## attr(,"conf.level")</w:t>
      </w:r>
      <w:r>
        <w:br w:type="textWrapping"/>
      </w:r>
      <w:r>
        <w:rPr>
          <w:rStyle w:val="VerbatimChar"/>
        </w:rPr>
        <w:t xml:space="preserve">## [1] 0.95</w:t>
      </w:r>
    </w:p>
    <w:p>
      <w:pPr>
        <w:pStyle w:val="SourceCode"/>
      </w:pPr>
      <w:r>
        <w:rPr>
          <w:rStyle w:val="NormalTok"/>
        </w:rPr>
        <w:t xml:space="preserve">h0</w:t>
      </w:r>
      <w:r>
        <w:rPr>
          <w:rStyle w:val="FloatTok"/>
        </w:rPr>
        <w:t xml:space="preserve">.5</w:t>
      </w:r>
      <w:r>
        <w:rPr>
          <w:rStyle w:val="NormalTok"/>
        </w:rPr>
        <w:t xml:space="preserve">$p.value</w:t>
      </w:r>
    </w:p>
    <w:p>
      <w:pPr>
        <w:pStyle w:val="SourceCode"/>
      </w:pPr>
      <w:r>
        <w:rPr>
          <w:rStyle w:val="VerbatimChar"/>
        </w:rPr>
        <w:t xml:space="preserve">## [1] 0.006358607</w:t>
      </w:r>
    </w:p>
    <w:p>
      <w:pPr>
        <w:pStyle w:val="SourceCode"/>
      </w:pPr>
      <w:r>
        <w:rPr>
          <w:rStyle w:val="NormalTok"/>
        </w:rPr>
        <w:t xml:space="preserve">## For dose = 1 mg/day</w:t>
      </w:r>
      <w:r>
        <w:br w:type="textWrapping"/>
      </w:r>
      <w:r>
        <w:rPr>
          <w:rStyle w:val="NormalTok"/>
        </w:rPr>
        <w:t xml:space="preserve">h1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KeywordTok"/>
        </w:rPr>
        <w:t xml:space="preserve">subset</w:t>
      </w:r>
      <w:r>
        <w:rPr>
          <w:rStyle w:val="NormalTok"/>
        </w:rPr>
        <w:t xml:space="preserve">(data, dose ==</w:t>
      </w:r>
      <w:r>
        <w:rPr>
          <w:rStyle w:val="StringTok"/>
        </w:rPr>
        <w:t xml:space="preserve"> </w:t>
      </w:r>
      <w:r>
        <w:rPr>
          <w:rStyle w:val="DecValTok"/>
        </w:rPr>
        <w:t xml:space="preserve">1</w:t>
      </w:r>
      <w:r>
        <w:rPr>
          <w:rStyle w:val="NormalTok"/>
        </w:rPr>
        <w:t xml:space="preserve">))</w:t>
      </w:r>
      <w:r>
        <w:br w:type="textWrapping"/>
      </w:r>
      <w:r>
        <w:rPr>
          <w:rStyle w:val="NormalTok"/>
        </w:rPr>
        <w:t xml:space="preserve">h1$conf.int</w:t>
      </w:r>
    </w:p>
    <w:p>
      <w:pPr>
        <w:pStyle w:val="SourceCode"/>
      </w:pPr>
      <w:r>
        <w:rPr>
          <w:rStyle w:val="VerbatimChar"/>
        </w:rPr>
        <w:t xml:space="preserve">## [1] 2.802148 9.057852</w:t>
      </w:r>
      <w:r>
        <w:br w:type="textWrapping"/>
      </w:r>
      <w:r>
        <w:rPr>
          <w:rStyle w:val="VerbatimChar"/>
        </w:rPr>
        <w:t xml:space="preserve">## attr(,"conf.level")</w:t>
      </w:r>
      <w:r>
        <w:br w:type="textWrapping"/>
      </w:r>
      <w:r>
        <w:rPr>
          <w:rStyle w:val="VerbatimChar"/>
        </w:rPr>
        <w:t xml:space="preserve">## [1] 0.95</w:t>
      </w:r>
    </w:p>
    <w:p>
      <w:pPr>
        <w:pStyle w:val="SourceCode"/>
      </w:pPr>
      <w:r>
        <w:rPr>
          <w:rStyle w:val="NormalTok"/>
        </w:rPr>
        <w:t xml:space="preserve">h1$p.value</w:t>
      </w:r>
    </w:p>
    <w:p>
      <w:pPr>
        <w:pStyle w:val="SourceCode"/>
      </w:pPr>
      <w:r>
        <w:rPr>
          <w:rStyle w:val="VerbatimChar"/>
        </w:rPr>
        <w:t xml:space="preserve">## [1] 0.001038376</w:t>
      </w:r>
    </w:p>
    <w:p>
      <w:pPr>
        <w:pStyle w:val="SourceCode"/>
      </w:pPr>
      <w:r>
        <w:rPr>
          <w:rStyle w:val="NormalTok"/>
        </w:rPr>
        <w:t xml:space="preserve">## For dose = 2 mg/day</w:t>
      </w:r>
      <w:r>
        <w:br w:type="textWrapping"/>
      </w:r>
      <w:r>
        <w:rPr>
          <w:rStyle w:val="NormalTok"/>
        </w:rPr>
        <w:t xml:space="preserve">h2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KeywordTok"/>
        </w:rPr>
        <w:t xml:space="preserve">subset</w:t>
      </w:r>
      <w:r>
        <w:rPr>
          <w:rStyle w:val="NormalTok"/>
        </w:rPr>
        <w:t xml:space="preserve">(data, dose ==</w:t>
      </w:r>
      <w:r>
        <w:rPr>
          <w:rStyle w:val="StringTok"/>
        </w:rPr>
        <w:t xml:space="preserve"> </w:t>
      </w:r>
      <w:r>
        <w:rPr>
          <w:rStyle w:val="DecValTok"/>
        </w:rPr>
        <w:t xml:space="preserve">2</w:t>
      </w:r>
      <w:r>
        <w:rPr>
          <w:rStyle w:val="NormalTok"/>
        </w:rPr>
        <w:t xml:space="preserve">))</w:t>
      </w:r>
      <w:r>
        <w:br w:type="textWrapping"/>
      </w:r>
      <w:r>
        <w:rPr>
          <w:rStyle w:val="NormalTok"/>
        </w:rPr>
        <w:t xml:space="preserve">h2$conf.int</w:t>
      </w:r>
    </w:p>
    <w:p>
      <w:pPr>
        <w:pStyle w:val="SourceCode"/>
      </w:pPr>
      <w:r>
        <w:rPr>
          <w:rStyle w:val="VerbatimChar"/>
        </w:rPr>
        <w:t xml:space="preserve">## [1] -3.79807  3.63807</w:t>
      </w:r>
      <w:r>
        <w:br w:type="textWrapping"/>
      </w:r>
      <w:r>
        <w:rPr>
          <w:rStyle w:val="VerbatimChar"/>
        </w:rPr>
        <w:t xml:space="preserve">## attr(,"conf.level")</w:t>
      </w:r>
      <w:r>
        <w:br w:type="textWrapping"/>
      </w:r>
      <w:r>
        <w:rPr>
          <w:rStyle w:val="VerbatimChar"/>
        </w:rPr>
        <w:t xml:space="preserve">## [1] 0.95</w:t>
      </w:r>
    </w:p>
    <w:p>
      <w:pPr>
        <w:pStyle w:val="SourceCode"/>
      </w:pPr>
      <w:r>
        <w:rPr>
          <w:rStyle w:val="NormalTok"/>
        </w:rPr>
        <w:t xml:space="preserve">h2$p.value</w:t>
      </w:r>
    </w:p>
    <w:p>
      <w:pPr>
        <w:pStyle w:val="SourceCode"/>
      </w:pPr>
      <w:r>
        <w:rPr>
          <w:rStyle w:val="VerbatimChar"/>
        </w:rPr>
        <w:t xml:space="preserve">## [1] 0.9638516</w:t>
      </w:r>
    </w:p>
    <w:p>
      <w:pPr>
        <w:pStyle w:val="Heading1"/>
      </w:pPr>
      <w:bookmarkStart w:id="25" w:name="conclusion"/>
      <w:bookmarkEnd w:id="25"/>
      <w:r>
        <w:t xml:space="preserve">Conclusion:</w:t>
      </w:r>
    </w:p>
    <w:p>
      <w:pPr>
        <w:pStyle w:val="Heading2"/>
      </w:pPr>
      <w:bookmarkStart w:id="26" w:name="h0.5-as-p-value-is-smaller-than-the-significance-level-of-0.05-null-hypothesis-can-be-rejected-and-hence-we-infer-that-orange-juice-and-ascorbic-acid-do-not-have-the-same-effect-on-tooth-growth-and-orange-juice-delivers-more-tooth-growth."/>
      <w:bookmarkEnd w:id="26"/>
      <w:r>
        <w:t xml:space="preserve">H0.5: As p-value is smaller than the significance level of 0.05, null hypothesis can be rejected and hence we infer that Orange Juice and Ascorbic acid do not have the same effect on tooth growth and Orange Juice delivers more tooth growth.</w:t>
      </w:r>
    </w:p>
    <w:p>
      <w:pPr>
        <w:pStyle w:val="Heading2"/>
      </w:pPr>
      <w:bookmarkStart w:id="27" w:name="h1-as-p-value-is-smaller-than-the-significance-level-of-0.05-null-hypothesis-can-be-rejected-and-hence-we-infer-that-orange-juice-and-ascorbic-acid-do-not-have-the-same-effect-on-tooth-growth-and-orange-juice-delivers-more-tooth-growth."/>
      <w:bookmarkEnd w:id="27"/>
      <w:r>
        <w:t xml:space="preserve">h1: As p-value is smaller than the significance level of 0.05, null hypothesis can be rejected and hence we infer that Orange Juice and Ascorbic acid do not have the same effect on tooth growth and Orange Juice delivers more tooth growth.</w:t>
      </w:r>
    </w:p>
    <w:p>
      <w:pPr>
        <w:pStyle w:val="Heading2"/>
      </w:pPr>
      <w:bookmarkStart w:id="28" w:name="h2-as-p-value-is-larger-than-the-significance-level-of-0.05-null-hypothesis-cant-be-rejected-and-hence-we-infer-that-orange-juice-and-ascorbic-acid-have-the-same-effect-on-tooth-growth."/>
      <w:bookmarkEnd w:id="28"/>
      <w:r>
        <w:t xml:space="preserve">h2: As p-value is larger than the significance level of 0.05, null hypothesis can't be rejected and hence we infer that Orange Juice and Ascorbic acid have the same effect on tooth growth.</w:t>
      </w:r>
    </w:p>
    <w:p>
      <w:pPr>
        <w:pStyle w:val="Heading2"/>
      </w:pPr>
      <w:bookmarkStart w:id="29" w:name="based-on-the-three-tests-we-cant-conclude-as-a-whole-that-orange-juice-is-better-than-ascorbic-acid-for-tooth-growth-in-guinea-pigs.-however-orange-juice-is-certainly-found-better-in-doses-of-0.5-and-1-mgday-as-compared-to-ascorbic-acid.-also-the-results-align-with-the-exploratory-boxplot-that-we-saw-earlier."/>
      <w:bookmarkEnd w:id="29"/>
      <w:r>
        <w:t xml:space="preserve">Based on the three tests we can't conclude as a whole that Orange Juice is better than Ascorbic Acid for tooth growth in guinea pigs. However Orange Juice is certainly found better in doses of 0.5 and 1 mg/day as compared to Ascorbic Acid. Also the results align with the exploratory boxplot that we saw earlier.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8708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Statisitical Inference Assignment Part 2</dc:title>
  <dc:creator>Bernard Akyena</dc:creator>
  <dcterms:created xsi:type="dcterms:W3CDTF">2017-08-23T21:14:52Z</dcterms:created>
  <dcterms:modified xsi:type="dcterms:W3CDTF">2017-08-23T21:14:52Z</dcterms:modified>
</cp:coreProperties>
</file>