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6B80" w:rsidP="71E7F633" w:rsidRDefault="004532F6" w14:paraId="4680D403"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b/>
          <w:bCs/>
          <w:lang w:val="en-US"/>
        </w:rPr>
      </w:pPr>
      <w:r w:rsidRPr="71E7F633">
        <w:rPr>
          <w:b/>
          <w:bCs/>
          <w:lang w:val="en-US"/>
        </w:rPr>
        <w:t>Semantic Layer Evaluation: Why Forrester Says Start With Your Target State Architecture</w:t>
      </w:r>
    </w:p>
    <w:p w:rsidR="004E6B80" w:rsidRDefault="004532F6" w14:paraId="5752513A" w14:textId="77777777">
      <w:pPr>
        <w:pBdr>
          <w:top w:val="none" w:color="E3E3E3" w:sz="0" w:space="0"/>
          <w:left w:val="none" w:color="E3E3E3" w:sz="0" w:space="0"/>
          <w:bottom w:val="none" w:color="E3E3E3" w:sz="0" w:space="0"/>
          <w:right w:val="none" w:color="E3E3E3" w:sz="0" w:space="0"/>
          <w:between w:val="none" w:color="E3E3E3" w:sz="0" w:space="0"/>
        </w:pBdr>
        <w:spacing w:before="280" w:line="312" w:lineRule="auto"/>
      </w:pPr>
      <w:r>
        <w:t xml:space="preserve">META DESCRIPTION </w:t>
      </w:r>
    </w:p>
    <w:p w:rsidR="004E6B80" w:rsidP="71E7F633" w:rsidRDefault="004532F6" w14:paraId="0C030B9E" w14:textId="77777777">
      <w:pPr>
        <w:pBdr>
          <w:top w:val="none" w:color="E3E3E3" w:sz="0" w:space="0"/>
          <w:left w:val="none" w:color="E3E3E3" w:sz="0" w:space="0"/>
          <w:bottom w:val="none" w:color="E3E3E3" w:sz="0" w:space="0"/>
          <w:right w:val="none" w:color="E3E3E3" w:sz="0" w:space="0"/>
          <w:between w:val="none" w:color="E3E3E3" w:sz="0" w:space="0"/>
        </w:pBdr>
        <w:spacing w:before="280" w:line="312" w:lineRule="auto"/>
      </w:pPr>
      <w:r w:rsidRPr="71E7F633">
        <w:rPr>
          <w:lang w:val="en-US"/>
        </w:rPr>
        <w:t>Forrester says semantic layer buyers should map options to their target state architecture — not vendor labels. Here's how to apply that framework, and where Mosaic fits.</w:t>
      </w:r>
    </w:p>
    <w:p w:rsidR="004E6B80" w:rsidRDefault="004E6B80" w14:paraId="6BE1754D" w14:textId="77777777">
      <w:pPr>
        <w:spacing w:before="480"/>
      </w:pPr>
    </w:p>
    <w:p w:rsidR="004E6B80" w:rsidRDefault="004532F6" w14:paraId="435E010F" w14:textId="77777777">
      <w:pPr>
        <w:pBdr>
          <w:top w:val="none" w:color="E3E3E3" w:sz="0" w:space="0"/>
          <w:left w:val="none" w:color="E3E3E3" w:sz="0" w:space="0"/>
          <w:bottom w:val="none" w:color="E3E3E3" w:sz="0" w:space="0"/>
          <w:right w:val="none" w:color="E3E3E3" w:sz="0" w:space="0"/>
          <w:between w:val="none" w:color="E3E3E3" w:sz="0" w:space="0"/>
        </w:pBdr>
        <w:spacing w:after="300"/>
      </w:pPr>
      <w:r>
        <w:t xml:space="preserve">QUICK ANSWER BLOCK Quick Answer: </w:t>
      </w:r>
    </w:p>
    <w:p w:rsidR="004E6B80" w:rsidP="71E7F633" w:rsidRDefault="004532F6" w14:paraId="085B807B" w14:textId="77777777">
      <w:pPr>
        <w:pBdr>
          <w:top w:val="none" w:color="E3E3E3" w:sz="0" w:space="0"/>
          <w:left w:val="none" w:color="E3E3E3" w:sz="0" w:space="0"/>
          <w:bottom w:val="none" w:color="E3E3E3" w:sz="0" w:space="0"/>
          <w:right w:val="none" w:color="E3E3E3" w:sz="0" w:space="0"/>
          <w:between w:val="none" w:color="E3E3E3" w:sz="0" w:space="0"/>
        </w:pBdr>
        <w:spacing w:after="300"/>
      </w:pPr>
      <w:r w:rsidRPr="71E7F633">
        <w:rPr>
          <w:lang w:val="en-US"/>
        </w:rPr>
        <w:t xml:space="preserve">The most important semantic layer buying decision is not which vendor category sounds right. It is whether the platform can support the data and AI architecture you are trying to build. Forrester's report </w:t>
      </w:r>
      <w:r w:rsidRPr="71E7F633">
        <w:rPr>
          <w:i/>
          <w:iCs/>
          <w:lang w:val="en-US"/>
        </w:rPr>
        <w:t>Make Data AI Ready Via Semantic Layer Platforms</w:t>
      </w:r>
      <w:r w:rsidRPr="71E7F633">
        <w:rPr>
          <w:lang w:val="en-US"/>
        </w:rPr>
        <w:t xml:space="preserve"> advises buyers to map semantic layer offerings to their current and target state architecture first, and vendor labels second. Strategy Software's Mosaic is designed for organizations whose target state requires an independent semantic layer that governs business meaning across BI tools, data products, applications, and AI agents.</w:t>
      </w:r>
    </w:p>
    <w:p w:rsidR="004E6B80" w:rsidRDefault="004E6B80" w14:paraId="395CB4F8" w14:textId="77777777">
      <w:pPr>
        <w:spacing w:before="480"/>
      </w:pPr>
    </w:p>
    <w:p w:rsidR="004E6B80" w:rsidRDefault="004532F6" w14:paraId="3497501B" w14:textId="77777777">
      <w:pPr>
        <w:pBdr>
          <w:top w:val="none" w:color="E3E3E3" w:sz="0" w:space="0"/>
          <w:left w:val="none" w:color="E3E3E3" w:sz="0" w:space="0"/>
          <w:bottom w:val="none" w:color="E3E3E3" w:sz="0" w:space="0"/>
          <w:right w:val="none" w:color="E3E3E3" w:sz="0" w:space="0"/>
          <w:between w:val="none" w:color="E3E3E3" w:sz="0" w:space="0"/>
        </w:pBdr>
        <w:spacing w:after="300"/>
      </w:pPr>
      <w:r>
        <w:t>BLOG BODY:</w:t>
      </w:r>
    </w:p>
    <w:p w:rsidR="004E6B80" w:rsidRDefault="004532F6" w14:paraId="2BE8F6A0" w14:textId="77777777">
      <w:pPr>
        <w:pBdr>
          <w:top w:val="none" w:color="E3E3E3" w:sz="0" w:space="0"/>
          <w:left w:val="none" w:color="E3E3E3" w:sz="0" w:space="0"/>
          <w:bottom w:val="none" w:color="E3E3E3" w:sz="0" w:space="0"/>
          <w:right w:val="none" w:color="E3E3E3" w:sz="0" w:space="0"/>
          <w:between w:val="none" w:color="E3E3E3" w:sz="0" w:space="0"/>
        </w:pBdr>
        <w:spacing w:after="300"/>
      </w:pPr>
      <w:r>
        <w:t>Enterprise technology decisions often begin with the vendor list.</w:t>
      </w:r>
    </w:p>
    <w:p w:rsidR="004E6B80" w:rsidP="71E7F633" w:rsidRDefault="004532F6" w14:paraId="234A114C"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rsidRPr="71E7F633">
        <w:rPr>
          <w:lang w:val="en-US"/>
        </w:rPr>
        <w:t>That is understandable. Buyers need to compare options. Analysts need to categorize markets. Internal stakeholders need a simple way to understand what is available. Categories make complicated decisions easier to discuss.</w:t>
      </w:r>
    </w:p>
    <w:p w:rsidR="004E6B80" w:rsidP="71E7F633" w:rsidRDefault="004532F6" w14:paraId="6B865AC9"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rsidRPr="71E7F633">
        <w:rPr>
          <w:lang w:val="en-US"/>
        </w:rPr>
        <w:t>But they can also make the wrong question feel like the right one.</w:t>
      </w:r>
    </w:p>
    <w:p w:rsidR="004E6B80" w:rsidRDefault="004532F6" w14:paraId="1C55CA7B"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 xml:space="preserve">In its report </w:t>
      </w:r>
      <w:commentRangeStart w:id="0"/>
      <w:r>
        <w:rPr>
          <w:i/>
          <w:iCs/>
        </w:rPr>
        <w:t>Make Data AI Ready Via Semantic Layer Platforms</w:t>
      </w:r>
      <w:commentRangeEnd w:id="0"/>
      <w:r>
        <w:rPr>
          <w:rStyle w:val="CommentReference"/>
          <w:sz w:val="22"/>
          <w:szCs w:val="22"/>
        </w:rPr>
        <w:commentReference w:id="0"/>
      </w:r>
      <w:r>
        <w:t xml:space="preserve">, Forrester gives data and analytics leaders a better starting point: </w:t>
      </w:r>
    </w:p>
    <w:p w:rsidR="004E6B80" w:rsidP="71E7F633" w:rsidRDefault="004532F6" w14:paraId="22459518" w14:textId="77777777">
      <w:pPr>
        <w:pBdr>
          <w:top w:val="none" w:color="E3E3E3" w:sz="0" w:space="0"/>
          <w:left w:val="none" w:color="E3E3E3" w:sz="0" w:space="0"/>
          <w:bottom w:val="none" w:color="E3E3E3" w:sz="0" w:space="0"/>
          <w:right w:val="none" w:color="E3E3E3" w:sz="0" w:space="0"/>
          <w:between w:val="none" w:color="E3E3E3" w:sz="0" w:space="0"/>
        </w:pBdr>
        <w:spacing w:before="300" w:after="300"/>
        <w:ind w:left="720"/>
      </w:pPr>
      <w:r w:rsidRPr="71E7F633">
        <w:rPr>
          <w:lang w:val="en-US"/>
        </w:rPr>
        <w:t>“Don’t shortlist [semantic layer platforms] based on labels alone. Instead, map offerings to your current and target state architecture. Then data and analytics leaders should use vendor heritage to understand each category’s strengths and tradeoffs.”</w:t>
      </w:r>
    </w:p>
    <w:p w:rsidR="004E6B80" w:rsidRDefault="004532F6" w14:paraId="62758D56" w14:textId="77777777">
      <w:pPr>
        <w:pBdr>
          <w:top w:val="none" w:color="E3E3E3" w:sz="0" w:space="0"/>
          <w:left w:val="none" w:color="E3E3E3" w:sz="0" w:space="0"/>
          <w:bottom w:val="none" w:color="E3E3E3" w:sz="0" w:space="0"/>
          <w:right w:val="none" w:color="E3E3E3" w:sz="0" w:space="0"/>
          <w:between w:val="none" w:color="E3E3E3" w:sz="0" w:space="0"/>
        </w:pBdr>
        <w:spacing w:before="300" w:after="300"/>
        <w:ind w:firstLine="720"/>
      </w:pPr>
      <w:r>
        <w:t xml:space="preserve">Forrester Research, </w:t>
      </w:r>
      <w:commentRangeStart w:id="1"/>
      <w:r>
        <w:rPr>
          <w:i/>
          <w:iCs/>
        </w:rPr>
        <w:t>Make Data AI Ready Via Semantic Layer Platforms</w:t>
      </w:r>
      <w:commentRangeEnd w:id="1"/>
      <w:r>
        <w:rPr>
          <w:rStyle w:val="CommentReference"/>
          <w:sz w:val="22"/>
          <w:szCs w:val="22"/>
        </w:rPr>
        <w:commentReference w:id="1"/>
      </w:r>
      <w:r>
        <w:t>, June 2026</w:t>
      </w:r>
    </w:p>
    <w:p w:rsidR="004E6B80" w:rsidRDefault="004E6B80" w14:paraId="52BC115B" w14:textId="77777777">
      <w:pPr>
        <w:pBdr>
          <w:top w:val="none" w:color="E3E3E3" w:sz="0" w:space="0"/>
          <w:left w:val="none" w:color="E3E3E3" w:sz="0" w:space="0"/>
          <w:bottom w:val="none" w:color="E3E3E3" w:sz="0" w:space="0"/>
          <w:right w:val="none" w:color="E3E3E3" w:sz="0" w:space="0"/>
          <w:between w:val="none" w:color="E3E3E3" w:sz="0" w:space="0"/>
        </w:pBdr>
        <w:spacing w:before="300" w:after="300"/>
        <w:ind w:firstLine="720"/>
      </w:pPr>
    </w:p>
    <w:p w:rsidR="004E6B80" w:rsidP="71E7F633" w:rsidRDefault="004532F6" w14:paraId="13F2A63B"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sz w:val="24"/>
          <w:szCs w:val="24"/>
          <w:lang w:val="en-US"/>
        </w:rPr>
      </w:pPr>
      <w:r w:rsidRPr="71E7F633">
        <w:rPr>
          <w:lang w:val="en-US"/>
        </w:rPr>
        <w:t>That guidance matters because the semantic layer market is not really one market moving from the same origin point. The market includes BI-native platforms, full-stack analytics vendors, data virtualization providers, lakehouse-native approaches, semantic layer specialists, and data graph providers. Each category reflects where the vendor started, what it optimizes for, and how it expects enterprises to consume governed business logic.</w:t>
      </w:r>
    </w:p>
    <w:p w:rsidR="004E6B80" w:rsidRDefault="004532F6" w14:paraId="5EDFD490"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But the real question is not, “Which semantic layer category sounds closest to us?”</w:t>
      </w:r>
    </w:p>
    <w:p w:rsidR="004E6B80" w:rsidRDefault="004532F6" w14:paraId="4BEA7BD1"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b/>
          <w:bCs/>
        </w:rPr>
      </w:pPr>
      <w:r>
        <w:t xml:space="preserve">The real question is, </w:t>
      </w:r>
      <w:r>
        <w:rPr>
          <w:b/>
          <w:bCs/>
        </w:rPr>
        <w:t>“What kind of data and AI architecture are we trying to build, and which semantic layer can survive that future?”</w:t>
      </w:r>
    </w:p>
    <w:p w:rsidR="004E6B80" w:rsidRDefault="004532F6" w14:paraId="7D9CE327" w14:textId="77777777">
      <w:pPr>
        <w:pStyle w:val="Heading3"/>
        <w:pBdr>
          <w:top w:val="none" w:color="E3E3E3" w:sz="0" w:space="0"/>
          <w:left w:val="none" w:color="E3E3E3" w:sz="0" w:space="0"/>
          <w:bottom w:val="none" w:color="E3E3E3" w:sz="0" w:space="0"/>
          <w:right w:val="none" w:color="E3E3E3" w:sz="0" w:space="0"/>
          <w:between w:val="none" w:color="E3E3E3" w:sz="0" w:space="0"/>
        </w:pBdr>
        <w:spacing w:after="300"/>
      </w:pPr>
      <w:bookmarkStart w:name="_w50pzjjl51km" w:colFirst="0" w:colLast="0" w:id="2"/>
      <w:bookmarkEnd w:id="2"/>
      <w:r>
        <w:t>Vendor Heritage Matters, But Architecture Prevails</w:t>
      </w:r>
    </w:p>
    <w:p w:rsidR="004E6B80" w:rsidP="71E7F633" w:rsidRDefault="004532F6" w14:paraId="06C35465"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rsidRPr="71E7F633">
        <w:rPr>
          <w:lang w:val="en-US"/>
        </w:rPr>
        <w:t>Forrester’s taxonomy is useful because it shows how vendor origins shape product strengths and tradeoffs.</w:t>
      </w:r>
    </w:p>
    <w:p w:rsidR="004E6B80" w:rsidRDefault="004532F6" w14:paraId="0E895886"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The table below maps each origin to its primary strength and its natural architectural boundary:</w:t>
      </w:r>
    </w:p>
    <w:tbl>
      <w:tblPr>
        <w:tblStyle w:val="a"/>
        <w:tblW w:w="9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3315"/>
        <w:gridCol w:w="4365"/>
      </w:tblGrid>
      <w:tr w:rsidR="004E6B80" w:rsidTr="71E7F633" w14:paraId="12CBB6B0" w14:textId="77777777">
        <w:trPr>
          <w:trHeight w:val="920"/>
        </w:trPr>
        <w:tc>
          <w:tcPr>
            <w:tcW w:w="1695" w:type="dxa"/>
            <w:tcBorders>
              <w:top w:val="single" w:color="000000" w:themeColor="text1" w:sz="6" w:space="0"/>
              <w:left w:val="single" w:color="000000" w:themeColor="text1" w:sz="6" w:space="0"/>
              <w:bottom w:val="single" w:color="000000" w:themeColor="text1" w:sz="6" w:space="0"/>
              <w:right w:val="nil"/>
            </w:tcBorders>
            <w:tcMar>
              <w:top w:w="100" w:type="dxa"/>
              <w:left w:w="100" w:type="dxa"/>
              <w:bottom w:w="100" w:type="dxa"/>
              <w:right w:w="100" w:type="dxa"/>
            </w:tcMar>
            <w:vAlign w:val="bottom"/>
          </w:tcPr>
          <w:p w:rsidR="004E6B80" w:rsidRDefault="004532F6" w14:paraId="4615B823" w14:textId="77777777">
            <w:pPr>
              <w:spacing w:before="380" w:after="380" w:line="335" w:lineRule="auto"/>
              <w:jc w:val="center"/>
            </w:pPr>
            <w:r>
              <w:t>Vendor Origin</w:t>
            </w:r>
          </w:p>
        </w:tc>
        <w:tc>
          <w:tcPr>
            <w:tcW w:w="3315" w:type="dxa"/>
            <w:tcBorders>
              <w:top w:val="single" w:color="000000" w:themeColor="text1" w:sz="6" w:space="0"/>
              <w:left w:val="single" w:color="000000" w:themeColor="text1" w:sz="6" w:space="0"/>
              <w:bottom w:val="single" w:color="000000" w:themeColor="text1" w:sz="6" w:space="0"/>
              <w:right w:val="nil"/>
            </w:tcBorders>
            <w:tcMar>
              <w:top w:w="100" w:type="dxa"/>
              <w:left w:w="100" w:type="dxa"/>
              <w:bottom w:w="100" w:type="dxa"/>
              <w:right w:w="100" w:type="dxa"/>
            </w:tcMar>
            <w:vAlign w:val="bottom"/>
          </w:tcPr>
          <w:p w:rsidR="004E6B80" w:rsidRDefault="004532F6" w14:paraId="4A45FE0A" w14:textId="77777777">
            <w:pPr>
              <w:spacing w:before="380" w:after="380" w:line="335" w:lineRule="auto"/>
              <w:jc w:val="center"/>
            </w:pPr>
            <w:r>
              <w:t>Primary Strength</w:t>
            </w:r>
          </w:p>
        </w:tc>
        <w:tc>
          <w:tcPr>
            <w:tcW w:w="43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bottom"/>
          </w:tcPr>
          <w:p w:rsidR="004E6B80" w:rsidRDefault="004532F6" w14:paraId="7A2FB1FA" w14:textId="77777777">
            <w:pPr>
              <w:spacing w:before="380" w:after="380" w:line="335" w:lineRule="auto"/>
              <w:jc w:val="center"/>
            </w:pPr>
            <w:r>
              <w:t>Architectural Boundary</w:t>
            </w:r>
          </w:p>
        </w:tc>
      </w:tr>
      <w:tr w:rsidR="004E6B80" w:rsidTr="71E7F633" w14:paraId="6FC4521D" w14:textId="77777777">
        <w:trPr>
          <w:trHeight w:val="905"/>
        </w:trPr>
        <w:tc>
          <w:tcPr>
            <w:tcW w:w="1695"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4E6B80" w:rsidRDefault="004532F6" w14:paraId="2C2C42F3" w14:textId="77777777">
            <w:pPr>
              <w:spacing w:before="380" w:after="380" w:line="335" w:lineRule="auto"/>
            </w:pPr>
            <w:r>
              <w:t>Full-stack BI platform</w:t>
            </w:r>
          </w:p>
        </w:tc>
        <w:tc>
          <w:tcPr>
            <w:tcW w:w="3315"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4E6B80" w:rsidRDefault="004532F6" w14:paraId="391122EB" w14:textId="77777777">
            <w:pPr>
              <w:spacing w:before="380" w:after="380" w:line="335" w:lineRule="auto"/>
            </w:pPr>
            <w:r>
              <w:t>Pre-integrated analytics components within one ecosystem</w:t>
            </w:r>
          </w:p>
        </w:tc>
        <w:tc>
          <w:tcPr>
            <w:tcW w:w="4365" w:type="dxa"/>
            <w:tcBorders>
              <w:top w:val="nil"/>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E6B80" w:rsidRDefault="004532F6" w14:paraId="61756584" w14:textId="77777777">
            <w:pPr>
              <w:spacing w:before="380" w:after="380" w:line="335" w:lineRule="auto"/>
            </w:pPr>
            <w:r w:rsidRPr="71E7F633">
              <w:rPr>
                <w:lang w:val="en-US"/>
              </w:rPr>
              <w:t>Optimized for organizations standardized on that vendor; limited portability outside it</w:t>
            </w:r>
          </w:p>
        </w:tc>
      </w:tr>
      <w:tr w:rsidR="004E6B80" w:rsidTr="71E7F633" w14:paraId="566A6AFF" w14:textId="77777777">
        <w:trPr>
          <w:trHeight w:val="1190"/>
        </w:trPr>
        <w:tc>
          <w:tcPr>
            <w:tcW w:w="1695"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4E6B80" w:rsidRDefault="004532F6" w14:paraId="598F2895" w14:textId="77777777">
            <w:pPr>
              <w:spacing w:before="380" w:after="380" w:line="335" w:lineRule="auto"/>
            </w:pPr>
            <w:r>
              <w:t>Lakehouse-native</w:t>
            </w:r>
          </w:p>
        </w:tc>
        <w:tc>
          <w:tcPr>
            <w:tcW w:w="3315"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4E6B80" w:rsidRDefault="004532F6" w14:paraId="6414B451" w14:textId="77777777">
            <w:pPr>
              <w:spacing w:before="380" w:after="380" w:line="335" w:lineRule="auto"/>
            </w:pPr>
            <w:r w:rsidRPr="71E7F633">
              <w:rPr>
                <w:lang w:val="en-US"/>
              </w:rPr>
              <w:t>Tight performance integration, simplified operations for teams consolidating on one data platform</w:t>
            </w:r>
          </w:p>
        </w:tc>
        <w:tc>
          <w:tcPr>
            <w:tcW w:w="4365" w:type="dxa"/>
            <w:tcBorders>
              <w:top w:val="nil"/>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E6B80" w:rsidRDefault="004532F6" w14:paraId="09567F9D" w14:textId="77777777">
            <w:pPr>
              <w:spacing w:before="380" w:after="380" w:line="335" w:lineRule="auto"/>
            </w:pPr>
            <w:r w:rsidRPr="71E7F633">
              <w:rPr>
                <w:lang w:val="en-US"/>
              </w:rPr>
              <w:t>Well-suited when the lakehouse is both the current and long-term architectural center</w:t>
            </w:r>
          </w:p>
        </w:tc>
      </w:tr>
      <w:tr w:rsidR="004E6B80" w:rsidTr="71E7F633" w14:paraId="5BC1CA11" w14:textId="77777777">
        <w:trPr>
          <w:trHeight w:val="905"/>
        </w:trPr>
        <w:tc>
          <w:tcPr>
            <w:tcW w:w="1695"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4E6B80" w:rsidRDefault="004532F6" w14:paraId="4B97A4FC" w14:textId="77777777">
            <w:pPr>
              <w:spacing w:before="380" w:after="380" w:line="335" w:lineRule="auto"/>
            </w:pPr>
            <w:r>
              <w:t>Data virtualization</w:t>
            </w:r>
          </w:p>
        </w:tc>
        <w:tc>
          <w:tcPr>
            <w:tcW w:w="3315"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4E6B80" w:rsidRDefault="004532F6" w14:paraId="13A1240D" w14:textId="77777777">
            <w:pPr>
              <w:spacing w:before="380" w:after="380" w:line="335" w:lineRule="auto"/>
            </w:pPr>
            <w:r>
              <w:t>Federation, policy enforcement, and cross-source access</w:t>
            </w:r>
          </w:p>
        </w:tc>
        <w:tc>
          <w:tcPr>
            <w:tcW w:w="4365" w:type="dxa"/>
            <w:tcBorders>
              <w:top w:val="nil"/>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E6B80" w:rsidRDefault="004532F6" w14:paraId="27F0CBA9" w14:textId="77777777">
            <w:pPr>
              <w:spacing w:before="380" w:after="380" w:line="335" w:lineRule="auto"/>
            </w:pPr>
            <w:r>
              <w:t>Strong when federation is the primary requirement; may not extend cleanly to AI agent consumption</w:t>
            </w:r>
          </w:p>
        </w:tc>
      </w:tr>
      <w:tr w:rsidR="004E6B80" w:rsidTr="71E7F633" w14:paraId="06B2AF6D" w14:textId="77777777">
        <w:trPr>
          <w:trHeight w:val="1190"/>
        </w:trPr>
        <w:tc>
          <w:tcPr>
            <w:tcW w:w="1695"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4E6B80" w:rsidRDefault="004532F6" w14:paraId="3471C671" w14:textId="77777777">
            <w:pPr>
              <w:spacing w:before="380" w:after="380" w:line="335" w:lineRule="auto"/>
            </w:pPr>
            <w:r>
              <w:t>Semantic layer specialist</w:t>
            </w:r>
          </w:p>
        </w:tc>
        <w:tc>
          <w:tcPr>
            <w:tcW w:w="3315"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4E6B80" w:rsidRDefault="004532F6" w14:paraId="0BD6B5D8" w14:textId="77777777">
            <w:pPr>
              <w:spacing w:before="380" w:after="380" w:line="335" w:lineRule="auto"/>
            </w:pPr>
            <w:r>
              <w:t>Tool-agnostic semantics, reusable metric services, multitool delivery, governance</w:t>
            </w:r>
          </w:p>
        </w:tc>
        <w:tc>
          <w:tcPr>
            <w:tcW w:w="4365" w:type="dxa"/>
            <w:tcBorders>
              <w:top w:val="nil"/>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E6B80" w:rsidRDefault="004532F6" w14:paraId="470ADC4F" w14:textId="77777777">
            <w:pPr>
              <w:spacing w:before="380" w:after="380" w:line="335" w:lineRule="auto"/>
            </w:pPr>
            <w:r>
              <w:t>Designed for heterogeneous environments; depends on enterprise needing independence from any single platform</w:t>
            </w:r>
          </w:p>
        </w:tc>
      </w:tr>
      <w:tr w:rsidR="004E6B80" w:rsidTr="71E7F633" w14:paraId="41B5A259" w14:textId="77777777">
        <w:trPr>
          <w:trHeight w:val="905"/>
        </w:trPr>
        <w:tc>
          <w:tcPr>
            <w:tcW w:w="1695"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4E6B80" w:rsidRDefault="004532F6" w14:paraId="10008B38" w14:textId="77777777">
            <w:pPr>
              <w:spacing w:before="380" w:after="380" w:line="335" w:lineRule="auto"/>
            </w:pPr>
            <w:r>
              <w:t>Data graph provider</w:t>
            </w:r>
          </w:p>
        </w:tc>
        <w:tc>
          <w:tcPr>
            <w:tcW w:w="3315" w:type="dxa"/>
            <w:tcBorders>
              <w:top w:val="nil"/>
              <w:left w:val="single" w:color="000000" w:themeColor="text1" w:sz="6" w:space="0"/>
              <w:bottom w:val="single" w:color="000000" w:themeColor="text1" w:sz="6" w:space="0"/>
              <w:right w:val="nil"/>
            </w:tcBorders>
            <w:tcMar>
              <w:top w:w="100" w:type="dxa"/>
              <w:left w:w="100" w:type="dxa"/>
              <w:bottom w:w="100" w:type="dxa"/>
              <w:right w:w="100" w:type="dxa"/>
            </w:tcMar>
            <w:vAlign w:val="center"/>
          </w:tcPr>
          <w:p w:rsidR="004E6B80" w:rsidRDefault="004532F6" w14:paraId="7FE993AB" w14:textId="77777777">
            <w:pPr>
              <w:spacing w:before="380" w:after="380" w:line="335" w:lineRule="auto"/>
            </w:pPr>
            <w:r>
              <w:t>Relationship-centric semantics, entity resolution, knowledge graph integration</w:t>
            </w:r>
          </w:p>
        </w:tc>
        <w:tc>
          <w:tcPr>
            <w:tcW w:w="4365" w:type="dxa"/>
            <w:tcBorders>
              <w:top w:val="nil"/>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E6B80" w:rsidRDefault="004532F6" w14:paraId="3ED30D65" w14:textId="77777777">
            <w:pPr>
              <w:spacing w:before="380" w:after="380" w:line="335" w:lineRule="auto"/>
            </w:pPr>
            <w:r>
              <w:t>Strong when entity relationships and graph traversal are core to the use case</w:t>
            </w:r>
          </w:p>
        </w:tc>
      </w:tr>
    </w:tbl>
    <w:p w:rsidR="004E6B80" w:rsidRDefault="004532F6" w14:paraId="7022152F"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 xml:space="preserve">Source: Forrester Research, </w:t>
      </w:r>
      <w:r>
        <w:rPr>
          <w:i/>
          <w:iCs/>
        </w:rPr>
        <w:t>Make Data AI Ready Via Semantic Layer Platforms</w:t>
      </w:r>
      <w:r>
        <w:t>, June 2026</w:t>
      </w:r>
    </w:p>
    <w:p w:rsidR="004E6B80" w:rsidRDefault="004532F6" w14:paraId="669398A5"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These distinctions are useful. But the decision depends on where the buyer is today and where the buyer is going.</w:t>
      </w:r>
    </w:p>
    <w:p w:rsidR="004E6B80" w:rsidP="71E7F633" w:rsidRDefault="004532F6" w14:paraId="4753D36C"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b/>
          <w:bCs/>
          <w:lang w:val="en-US"/>
        </w:rPr>
      </w:pPr>
      <w:r w:rsidRPr="71E7F633">
        <w:rPr>
          <w:lang w:val="en-US"/>
        </w:rPr>
        <w:t xml:space="preserve">If the current state is fragmented — with multiple BI tools, multiple data platforms, legacy assets, cloud services, and embedded analytics — then the semantic layer has to do more than improve one reporting environment. </w:t>
      </w:r>
      <w:r w:rsidRPr="71E7F633">
        <w:rPr>
          <w:b/>
          <w:bCs/>
          <w:lang w:val="en-US"/>
        </w:rPr>
        <w:t>The platform must create consistency across a heterogeneous estate.</w:t>
      </w:r>
    </w:p>
    <w:p w:rsidR="004E6B80" w:rsidP="71E7F633" w:rsidRDefault="004532F6" w14:paraId="75E2BC22"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rsidRPr="71E7F633">
        <w:rPr>
          <w:lang w:val="en-US"/>
        </w:rPr>
        <w:t>If the target state includes AI agents, natural language analytics, governed data products, and ongoing technology churn, then the semantic layer must be more than a modeling layer inside one tool. The platform must become a durable control plane for trusted business meaning.</w:t>
      </w:r>
    </w:p>
    <w:p w:rsidR="004E6B80" w:rsidRDefault="004E6B80" w14:paraId="165865C1"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p>
    <w:p w:rsidR="004E6B80" w:rsidRDefault="004E6B80" w14:paraId="58446B43" w14:textId="77777777">
      <w:pPr>
        <w:spacing w:before="480"/>
      </w:pPr>
    </w:p>
    <w:p w:rsidR="004E6B80" w:rsidRDefault="004E6B80" w14:paraId="53D3D47D" w14:textId="77777777">
      <w:pPr>
        <w:spacing w:before="480"/>
      </w:pPr>
    </w:p>
    <w:p w:rsidR="004E6B80" w:rsidRDefault="004532F6" w14:paraId="008B8F83" w14:textId="77777777">
      <w:pPr>
        <w:pStyle w:val="Heading3"/>
        <w:pBdr>
          <w:top w:val="none" w:color="E3E3E3" w:sz="0" w:space="0"/>
          <w:left w:val="none" w:color="E3E3E3" w:sz="0" w:space="0"/>
          <w:bottom w:val="none" w:color="E3E3E3" w:sz="0" w:space="0"/>
          <w:right w:val="none" w:color="E3E3E3" w:sz="0" w:space="0"/>
          <w:between w:val="none" w:color="E3E3E3" w:sz="0" w:space="0"/>
        </w:pBdr>
        <w:spacing w:after="300"/>
      </w:pPr>
      <w:bookmarkStart w:name="_nryda0otemuu" w:colFirst="0" w:colLast="0" w:id="3"/>
      <w:bookmarkEnd w:id="3"/>
      <w:r>
        <w:t>Start With the Architecture You Want to Protect</w:t>
      </w:r>
    </w:p>
    <w:p w:rsidR="004E6B80" w:rsidRDefault="004532F6" w14:paraId="050D4EBD"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A semantic layer decision is not just a feature decision. The choice is about dependency.</w:t>
      </w:r>
    </w:p>
    <w:p w:rsidR="004E6B80" w:rsidP="71E7F633" w:rsidRDefault="004532F6" w14:paraId="6A925A56"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rsidRPr="71E7F633">
        <w:rPr>
          <w:lang w:val="en-US"/>
        </w:rPr>
        <w:t>Where will business logic live? Who governs it? How portable is it? What happens when a BI tool changes? What happens when a data platform changes? What happens when the organization adopts new AI experiences? What happens when a business definition changes and dozens of downstream assets depend on it?</w:t>
      </w:r>
    </w:p>
    <w:p w:rsidR="004E6B80" w:rsidRDefault="004532F6" w14:paraId="0BA08AFF"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These are all architecture questions.</w:t>
      </w:r>
    </w:p>
    <w:p w:rsidR="004E6B80" w:rsidRDefault="004532F6" w14:paraId="29010A2B"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rPr>
          <w:b/>
          <w:bCs/>
        </w:rPr>
        <w:t>The wrong semantic layer can reduce complexity in one part of the stack while creating dependency somewhere else</w:t>
      </w:r>
      <w:r>
        <w:t>. A platform-native semantic layer may be convenient, but it can also bind meaning tightly to one vendor’s ecosystem. A BI-native semantic layer may support reporting well, but it may not extend cleanly into AI agents, data products, or broader data fabric services. A thin metrics layer may help with basic consistency, but fail when the enterprise needs dimensional depth, governance, access control, lineage, and runtime optimization.</w:t>
      </w:r>
    </w:p>
    <w:p w:rsidR="004E6B80" w:rsidRDefault="004532F6" w14:paraId="27EFC992"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The right semantic layer should protect business meaning from technology churn.</w:t>
      </w:r>
    </w:p>
    <w:p w:rsidR="004E6B80" w:rsidP="71E7F633" w:rsidRDefault="004532F6" w14:paraId="3514B77D"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rsidRPr="71E7F633">
        <w:rPr>
          <w:lang w:val="en-US"/>
        </w:rPr>
        <w:t>The urgency is real because the data stack is not standing still. Cloud architectures are shifting. BI tools are evolving. AI interfaces are emerging quickly. Organizations are moving between platforms, consolidating workloads, managing cost pressures, and trying to avoid lock-in.</w:t>
      </w:r>
    </w:p>
    <w:p w:rsidR="004E6B80" w:rsidRDefault="004532F6" w14:paraId="76CFFAE4"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In that environment, the semantic layer should not become another fragile dependency. The right choice becomes the stable layer above the churn.</w:t>
      </w:r>
    </w:p>
    <w:p w:rsidR="004E6B80" w:rsidRDefault="004532F6" w14:paraId="23D8FDC8" w14:textId="77777777">
      <w:pPr>
        <w:pStyle w:val="Heading3"/>
        <w:pBdr>
          <w:top w:val="none" w:color="E3E3E3" w:sz="0" w:space="0"/>
          <w:left w:val="none" w:color="E3E3E3" w:sz="0" w:space="0"/>
          <w:bottom w:val="none" w:color="E3E3E3" w:sz="0" w:space="0"/>
          <w:right w:val="none" w:color="E3E3E3" w:sz="0" w:space="0"/>
          <w:between w:val="none" w:color="E3E3E3" w:sz="0" w:space="0"/>
        </w:pBdr>
        <w:spacing w:before="300" w:after="300"/>
      </w:pPr>
      <w:bookmarkStart w:name="_kvx60ok4pbng" w:colFirst="0" w:colLast="0" w:id="4"/>
      <w:bookmarkEnd w:id="4"/>
      <w:r>
        <w:t xml:space="preserve">Why an Independent Semantic Layer? </w:t>
      </w:r>
    </w:p>
    <w:p w:rsidR="004E6B80" w:rsidRDefault="004532F6" w14:paraId="568CAC5C"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rPr>
          <w:b/>
          <w:bCs/>
        </w:rPr>
        <w:t xml:space="preserve">An independent semantic architecture starts with the enterprise: </w:t>
      </w:r>
      <w:r>
        <w:t>“Where should business meaning live so it can survive changes in tools, platforms, and interfaces?”</w:t>
      </w:r>
    </w:p>
    <w:p w:rsidR="004E6B80" w:rsidP="71E7F633" w:rsidRDefault="004532F6" w14:paraId="6DBD22EE" w14:textId="77777777">
      <w:pPr>
        <w:pBdr>
          <w:top w:val="none" w:color="E3E3E3" w:sz="0" w:space="0"/>
          <w:left w:val="none" w:color="E3E3E3" w:sz="0" w:space="0"/>
          <w:bottom w:val="none" w:color="E3E3E3" w:sz="0" w:space="0"/>
          <w:right w:val="none" w:color="E3E3E3" w:sz="0" w:space="0"/>
          <w:between w:val="none" w:color="E3E3E3" w:sz="0" w:space="0"/>
        </w:pBdr>
        <w:spacing w:before="360" w:after="360"/>
      </w:pPr>
      <w:r w:rsidRPr="71E7F633">
        <w:rPr>
          <w:lang w:val="en-US"/>
        </w:rPr>
        <w:t>A universal semantic layer solves an enterprise architecture problem: multiple tools, platforms, and AI experiences, one governed semantic control plane.</w:t>
      </w:r>
    </w:p>
    <w:p w:rsidR="004E6B80" w:rsidRDefault="004532F6" w14:paraId="0BF1F8AE"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For many enterprises, the realistic target state is not a single-vendor analytics stack. It is an environment where business users, analysts, applications, and AI agents can consume trusted data through different experiences while relying on the same governed definitions underneath.</w:t>
      </w:r>
    </w:p>
    <w:p w:rsidR="004E6B80" w:rsidRDefault="004532F6" w14:paraId="5CDDD432"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That requires a semantic layer that:</w:t>
      </w:r>
    </w:p>
    <w:p w:rsidR="004E6B80" w:rsidRDefault="004532F6" w14:paraId="452269B7" w14:textId="77777777">
      <w:pPr>
        <w:numPr>
          <w:ilvl w:val="0"/>
          <w:numId w:val="3"/>
        </w:numPr>
        <w:pBdr>
          <w:top w:val="none" w:color="E3E3E3" w:sz="0" w:space="0"/>
          <w:left w:val="none" w:color="E3E3E3" w:sz="0" w:space="0"/>
          <w:bottom w:val="none" w:color="E3E3E3" w:sz="0" w:space="0"/>
          <w:right w:val="none" w:color="E3E3E3" w:sz="0" w:space="0"/>
          <w:between w:val="none" w:color="E3E3E3" w:sz="0" w:space="0"/>
        </w:pBdr>
        <w:spacing w:before="360"/>
      </w:pPr>
      <w:r>
        <w:t>Sits above BI tools and data platforms, not inside one of them</w:t>
      </w:r>
    </w:p>
    <w:p w:rsidR="004E6B80" w:rsidRDefault="004532F6" w14:paraId="543E6C5E" w14:textId="77777777">
      <w:pPr>
        <w:numPr>
          <w:ilvl w:val="0"/>
          <w:numId w:val="3"/>
        </w:numPr>
        <w:pBdr>
          <w:top w:val="none" w:color="E3E3E3" w:sz="0" w:space="0"/>
          <w:left w:val="none" w:color="E3E3E3" w:sz="0" w:space="0"/>
          <w:bottom w:val="none" w:color="E3E3E3" w:sz="0" w:space="0"/>
          <w:right w:val="none" w:color="E3E3E3" w:sz="0" w:space="0"/>
          <w:between w:val="none" w:color="E3E3E3" w:sz="0" w:space="0"/>
        </w:pBdr>
      </w:pPr>
      <w:r>
        <w:t>Centralizes business logic, metrics, relationships, and policies</w:t>
      </w:r>
    </w:p>
    <w:p w:rsidR="004E6B80" w:rsidRDefault="004532F6" w14:paraId="79D038A6" w14:textId="77777777">
      <w:pPr>
        <w:numPr>
          <w:ilvl w:val="0"/>
          <w:numId w:val="3"/>
        </w:numPr>
        <w:pBdr>
          <w:top w:val="none" w:color="E3E3E3" w:sz="0" w:space="0"/>
          <w:left w:val="none" w:color="E3E3E3" w:sz="0" w:space="0"/>
          <w:bottom w:val="none" w:color="E3E3E3" w:sz="0" w:space="0"/>
          <w:right w:val="none" w:color="E3E3E3" w:sz="0" w:space="0"/>
          <w:between w:val="none" w:color="E3E3E3" w:sz="0" w:space="0"/>
        </w:pBdr>
      </w:pPr>
      <w:r>
        <w:t>Publishes those semantics consistently into many consumption experiences</w:t>
      </w:r>
    </w:p>
    <w:p w:rsidR="004E6B80" w:rsidRDefault="004532F6" w14:paraId="441A24BA" w14:textId="77777777">
      <w:pPr>
        <w:numPr>
          <w:ilvl w:val="0"/>
          <w:numId w:val="3"/>
        </w:numPr>
        <w:pBdr>
          <w:top w:val="none" w:color="E3E3E3" w:sz="0" w:space="0"/>
          <w:left w:val="none" w:color="E3E3E3" w:sz="0" w:space="0"/>
          <w:bottom w:val="none" w:color="E3E3E3" w:sz="0" w:space="0"/>
          <w:right w:val="none" w:color="E3E3E3" w:sz="0" w:space="0"/>
          <w:between w:val="none" w:color="E3E3E3" w:sz="0" w:space="0"/>
        </w:pBdr>
        <w:spacing w:after="360"/>
      </w:pPr>
      <w:r>
        <w:t>Absorbs platform changes without forcing you to rewrite the business</w:t>
      </w:r>
    </w:p>
    <w:p w:rsidR="004E6B80" w:rsidRDefault="004E6B80" w14:paraId="39FFC71E"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p>
    <w:p w:rsidR="004E6B80" w:rsidRDefault="004532F6" w14:paraId="248691AF" w14:textId="77777777">
      <w:pPr>
        <w:pStyle w:val="Heading3"/>
        <w:pBdr>
          <w:top w:val="none" w:color="E3E3E3" w:sz="0" w:space="0"/>
          <w:left w:val="none" w:color="E3E3E3" w:sz="0" w:space="0"/>
          <w:bottom w:val="none" w:color="E3E3E3" w:sz="0" w:space="0"/>
          <w:right w:val="none" w:color="E3E3E3" w:sz="0" w:space="0"/>
          <w:between w:val="none" w:color="E3E3E3" w:sz="0" w:space="0"/>
        </w:pBdr>
        <w:spacing w:after="300"/>
      </w:pPr>
      <w:bookmarkStart w:name="_qfa9swngaqi3" w:colFirst="0" w:colLast="0" w:id="5"/>
      <w:bookmarkEnd w:id="5"/>
      <w:r>
        <w:t>What to Ask Before Choosing a Semantic Layer</w:t>
      </w:r>
    </w:p>
    <w:p w:rsidR="004E6B80" w:rsidRDefault="004532F6" w14:paraId="598F9A80"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Forrester’s “current and target state architecture” guidance gives buyers a practical way to structure evaluation: architecture first, vendor label second.</w:t>
      </w:r>
    </w:p>
    <w:p w:rsidR="004E6B80" w:rsidRDefault="004532F6" w14:paraId="7526F59E"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b/>
          <w:bCs/>
        </w:rPr>
      </w:pPr>
      <w:r>
        <w:rPr>
          <w:b/>
          <w:bCs/>
        </w:rPr>
        <w:t>1. How heterogeneous is your environment today?</w:t>
      </w:r>
    </w:p>
    <w:p w:rsidR="004E6B80" w:rsidP="71E7F633" w:rsidRDefault="004532F6" w14:paraId="72A9956C"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rsidRPr="71E7F633">
        <w:rPr>
          <w:lang w:val="en-US"/>
        </w:rPr>
        <w:t>Is the organization standardized on one data platform and one analytics tool, or does it operate across multiple clouds, warehouses, BI tools, and business applications? The more heterogeneous the environment, the more important semantic independence becomes.</w:t>
      </w:r>
    </w:p>
    <w:p w:rsidR="004E6B80" w:rsidRDefault="004532F6" w14:paraId="6ED64725"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b/>
          <w:bCs/>
        </w:rPr>
      </w:pPr>
      <w:r>
        <w:rPr>
          <w:b/>
          <w:bCs/>
        </w:rPr>
        <w:t>2. What needs to consume the semantic layer?</w:t>
      </w:r>
    </w:p>
    <w:p w:rsidR="004E6B80" w:rsidP="71E7F633" w:rsidRDefault="004532F6" w14:paraId="2D743A79"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rsidRPr="71E7F633">
        <w:rPr>
          <w:lang w:val="en-US"/>
        </w:rPr>
        <w:t>Is the use case mainly dashboard consistency, or does the organization need governed semantics for BI, embedded analytics, data products, natural language analytics, and AI agents? The broader the consumption layer, the less useful a BI-only frame becomes.</w:t>
      </w:r>
    </w:p>
    <w:p w:rsidR="004E6B80" w:rsidRDefault="004532F6" w14:paraId="5EF3FA50"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b/>
          <w:bCs/>
        </w:rPr>
      </w:pPr>
      <w:r>
        <w:rPr>
          <w:b/>
          <w:bCs/>
        </w:rPr>
        <w:t>3. How should business logic be governed?</w:t>
      </w:r>
    </w:p>
    <w:p w:rsidR="004E6B80" w:rsidRDefault="004532F6" w14:paraId="50D6BE68"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Can definitions be versioned, tested, reused, and audited? Can access policies and entitlements be enforced consistently? Can teams understand lineage and impact when definitions change?</w:t>
      </w:r>
    </w:p>
    <w:p w:rsidR="004E6B80" w:rsidRDefault="004532F6" w14:paraId="59537279"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b/>
          <w:bCs/>
        </w:rPr>
      </w:pPr>
      <w:r>
        <w:rPr>
          <w:b/>
          <w:bCs/>
        </w:rPr>
        <w:t>4. How portable are your semantic assets?</w:t>
      </w:r>
    </w:p>
    <w:p w:rsidR="004E6B80" w:rsidRDefault="004532F6" w14:paraId="715B6BDD"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Can the organization preserve its definitions if it changes BI tools, adds a new cloud platform, or introduces new AI interfaces? Or is the business logic effectively trapped in one vendor's stack?</w:t>
      </w:r>
    </w:p>
    <w:p w:rsidR="004E6B80" w:rsidRDefault="004532F6" w14:paraId="5B45EA4E" w14:textId="77777777">
      <w:pPr>
        <w:pBdr>
          <w:top w:val="none" w:color="E3E3E3" w:sz="0" w:space="0"/>
          <w:left w:val="none" w:color="E3E3E3" w:sz="0" w:space="0"/>
          <w:bottom w:val="none" w:color="E3E3E3" w:sz="0" w:space="0"/>
          <w:right w:val="none" w:color="E3E3E3" w:sz="0" w:space="0"/>
          <w:between w:val="none" w:color="E3E3E3" w:sz="0" w:space="0"/>
        </w:pBdr>
        <w:spacing w:before="300" w:after="300"/>
        <w:rPr>
          <w:b/>
          <w:bCs/>
        </w:rPr>
      </w:pPr>
      <w:r>
        <w:rPr>
          <w:b/>
          <w:bCs/>
        </w:rPr>
        <w:t>5. Does this choice move you toward your target state?</w:t>
      </w:r>
    </w:p>
    <w:p w:rsidR="004E6B80" w:rsidP="71E7F633" w:rsidRDefault="004532F6" w14:paraId="243A9744"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rsidRPr="71E7F633">
        <w:rPr>
          <w:lang w:val="en-US"/>
        </w:rPr>
        <w:t>A semantic layer that solves today's reporting inconsistency but cannot support tomorrow's AI architecture may become another modernization project later. The platform should accelerate your move toward the target state architecture you actually want to live in.</w:t>
      </w:r>
    </w:p>
    <w:p w:rsidR="004E6B80" w:rsidRDefault="004532F6" w14:paraId="76C9D8E0"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These questions force the conversation back where it belongs: architecture first, vendor label second.</w:t>
      </w:r>
    </w:p>
    <w:p w:rsidR="004E6B80" w:rsidRDefault="004532F6" w14:paraId="38920D06" w14:textId="77777777">
      <w:pPr>
        <w:pStyle w:val="Heading3"/>
        <w:pBdr>
          <w:top w:val="none" w:color="E3E3E3" w:sz="0" w:space="0"/>
          <w:left w:val="none" w:color="E3E3E3" w:sz="0" w:space="0"/>
          <w:bottom w:val="none" w:color="E3E3E3" w:sz="0" w:space="0"/>
          <w:right w:val="none" w:color="E3E3E3" w:sz="0" w:space="0"/>
          <w:between w:val="none" w:color="E3E3E3" w:sz="0" w:space="0"/>
        </w:pBdr>
        <w:spacing w:after="300"/>
      </w:pPr>
      <w:bookmarkStart w:name="_kufj5wi2rwc1" w:colFirst="0" w:colLast="0" w:id="6"/>
      <w:bookmarkEnd w:id="6"/>
      <w:r>
        <w:t>Where Mosaic Fits</w:t>
      </w:r>
    </w:p>
    <w:p w:rsidR="004E6B80" w:rsidRDefault="004532F6" w14:paraId="560A7E90"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Mosaic, from Strategy Software, is an independent, universal semantic layer that centralizes business logic, metric definitions, access policies, and relationships — and delivers them consistently across BI tools, data products, applications, and AI agents, regardless of which data platform or LLM an organization uses.</w:t>
      </w:r>
    </w:p>
    <w:p w:rsidR="004E6B80" w:rsidRDefault="004532F6" w14:paraId="6BA63CEA"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Built by Strategy Software as an independent semantic layer for the entire data and AI estate, Mosaic defines, governs, and delivers trusted business meaning across:</w:t>
      </w:r>
    </w:p>
    <w:p w:rsidR="004E6B80" w:rsidRDefault="004532F6" w14:paraId="637BDEB5" w14:textId="77777777">
      <w:pPr>
        <w:numPr>
          <w:ilvl w:val="0"/>
          <w:numId w:val="1"/>
        </w:numPr>
        <w:pBdr>
          <w:top w:val="none" w:color="E3E3E3" w:sz="0" w:space="0"/>
          <w:left w:val="none" w:color="E3E3E3" w:sz="0" w:space="0"/>
          <w:bottom w:val="none" w:color="E3E3E3" w:sz="0" w:space="0"/>
          <w:right w:val="none" w:color="E3E3E3" w:sz="0" w:space="0"/>
          <w:between w:val="none" w:color="E3E3E3" w:sz="0" w:space="0"/>
        </w:pBdr>
        <w:spacing w:before="360"/>
      </w:pPr>
      <w:r>
        <w:t>BI tools and reporting environments</w:t>
      </w:r>
    </w:p>
    <w:p w:rsidR="004E6B80" w:rsidRDefault="004532F6" w14:paraId="221BAFC8" w14:textId="77777777">
      <w:pPr>
        <w:numPr>
          <w:ilvl w:val="0"/>
          <w:numId w:val="1"/>
        </w:numPr>
        <w:pBdr>
          <w:top w:val="none" w:color="E3E3E3" w:sz="0" w:space="0"/>
          <w:left w:val="none" w:color="E3E3E3" w:sz="0" w:space="0"/>
          <w:bottom w:val="none" w:color="E3E3E3" w:sz="0" w:space="0"/>
          <w:right w:val="none" w:color="E3E3E3" w:sz="0" w:space="0"/>
          <w:between w:val="none" w:color="E3E3E3" w:sz="0" w:space="0"/>
        </w:pBdr>
      </w:pPr>
      <w:r>
        <w:t>Data products and shared datasets</w:t>
      </w:r>
    </w:p>
    <w:p w:rsidR="004E6B80" w:rsidRDefault="004532F6" w14:paraId="1B333FF5" w14:textId="77777777">
      <w:pPr>
        <w:numPr>
          <w:ilvl w:val="0"/>
          <w:numId w:val="1"/>
        </w:numPr>
        <w:pBdr>
          <w:top w:val="none" w:color="E3E3E3" w:sz="0" w:space="0"/>
          <w:left w:val="none" w:color="E3E3E3" w:sz="0" w:space="0"/>
          <w:bottom w:val="none" w:color="E3E3E3" w:sz="0" w:space="0"/>
          <w:right w:val="none" w:color="E3E3E3" w:sz="0" w:space="0"/>
          <w:between w:val="none" w:color="E3E3E3" w:sz="0" w:space="0"/>
        </w:pBdr>
      </w:pPr>
      <w:r>
        <w:t>Operational and embedded analytics</w:t>
      </w:r>
    </w:p>
    <w:p w:rsidR="004E6B80" w:rsidRDefault="004532F6" w14:paraId="18296B9B" w14:textId="77777777">
      <w:pPr>
        <w:numPr>
          <w:ilvl w:val="0"/>
          <w:numId w:val="1"/>
        </w:numPr>
        <w:pBdr>
          <w:top w:val="none" w:color="E3E3E3" w:sz="0" w:space="0"/>
          <w:left w:val="none" w:color="E3E3E3" w:sz="0" w:space="0"/>
          <w:bottom w:val="none" w:color="E3E3E3" w:sz="0" w:space="0"/>
          <w:right w:val="none" w:color="E3E3E3" w:sz="0" w:space="0"/>
          <w:between w:val="none" w:color="E3E3E3" w:sz="0" w:space="0"/>
        </w:pBdr>
        <w:spacing w:after="360"/>
      </w:pPr>
      <w:r>
        <w:t>Natural language analytics and AI agents</w:t>
      </w:r>
    </w:p>
    <w:p w:rsidR="004E6B80" w:rsidRDefault="004532F6" w14:paraId="0811C55F"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Mosaic helps decouple business meaning from both the physical data layer and the consumption layer. The platform is proven at scale across enterprises including Fannie Mae, Pfizer, and Porsche, supporting tens of thousands of users across some of the world’s most complex data environments.</w:t>
      </w:r>
    </w:p>
    <w:p w:rsidR="004E6B80" w:rsidRDefault="004532F6" w14:paraId="2CCD797F"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Mosaic can absolutely support BI modernization. But its architectural value is larger: it acts as a semantic control plane for trusted analytics and AI. Mosaic lets buyers think beyond the next dashboarding decision and toward a target state where business meaning is governed once, delivered broadly, and protected from churn.</w:t>
      </w:r>
    </w:p>
    <w:p w:rsidR="004E6B80" w:rsidRDefault="004532F6" w14:paraId="61BAC883" w14:textId="77777777">
      <w:pPr>
        <w:pStyle w:val="Heading3"/>
        <w:pBdr>
          <w:top w:val="none" w:color="E3E3E3" w:sz="0" w:space="0"/>
          <w:left w:val="none" w:color="E3E3E3" w:sz="0" w:space="0"/>
          <w:bottom w:val="none" w:color="E3E3E3" w:sz="0" w:space="0"/>
          <w:right w:val="none" w:color="E3E3E3" w:sz="0" w:space="0"/>
          <w:between w:val="none" w:color="E3E3E3" w:sz="0" w:space="0"/>
        </w:pBdr>
        <w:spacing w:after="300"/>
      </w:pPr>
      <w:bookmarkStart w:name="_lxmqdiqfzuhx" w:colFirst="0" w:colLast="0" w:id="7"/>
      <w:bookmarkEnd w:id="7"/>
      <w:r>
        <w:t>The Takeaway</w:t>
      </w:r>
    </w:p>
    <w:p w:rsidR="004E6B80" w:rsidRDefault="004532F6" w14:paraId="55AB3F73"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Forrester’s vendor taxonomy is useful, but its most important buying guidance may be simpler: map semantic layer offerings to your current and target state architecture.</w:t>
      </w:r>
    </w:p>
    <w:p w:rsidR="004E6B80" w:rsidRDefault="004532F6" w14:paraId="25AE1444"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That should be the organizing principle.</w:t>
      </w:r>
    </w:p>
    <w:p w:rsidR="004E6B80" w:rsidRDefault="004532F6" w14:paraId="224C475A" w14:textId="77777777">
      <w:pPr>
        <w:numPr>
          <w:ilvl w:val="0"/>
          <w:numId w:val="2"/>
        </w:numPr>
        <w:pBdr>
          <w:top w:val="none" w:color="E3E3E3" w:sz="0" w:space="0"/>
          <w:left w:val="none" w:color="E3E3E3" w:sz="0" w:space="0"/>
          <w:bottom w:val="none" w:color="E3E3E3" w:sz="0" w:space="0"/>
          <w:right w:val="none" w:color="E3E3E3" w:sz="0" w:space="0"/>
          <w:between w:val="none" w:color="E3E3E3" w:sz="0" w:space="0"/>
        </w:pBdr>
        <w:spacing w:before="360"/>
      </w:pPr>
      <w:r>
        <w:t>If your target state is a single analytics stack, a platform-native semantic layer may be enough.</w:t>
      </w:r>
    </w:p>
    <w:p w:rsidR="004E6B80" w:rsidP="71E7F633" w:rsidRDefault="004532F6" w14:paraId="635A0895" w14:textId="77777777">
      <w:pPr>
        <w:numPr>
          <w:ilvl w:val="0"/>
          <w:numId w:val="2"/>
        </w:numPr>
        <w:pBdr>
          <w:top w:val="none" w:color="E3E3E3" w:sz="0" w:space="0"/>
          <w:left w:val="none" w:color="E3E3E3" w:sz="0" w:space="0"/>
          <w:bottom w:val="none" w:color="E3E3E3" w:sz="0" w:space="0"/>
          <w:right w:val="none" w:color="E3E3E3" w:sz="0" w:space="0"/>
          <w:between w:val="none" w:color="E3E3E3" w:sz="0" w:space="0"/>
        </w:pBdr>
      </w:pPr>
      <w:r w:rsidRPr="71E7F633">
        <w:rPr>
          <w:lang w:val="en-US"/>
        </w:rPr>
        <w:t>If your target state is a lakehouse-centered operating model, a lakehouse-native option may make sense.</w:t>
      </w:r>
    </w:p>
    <w:p w:rsidR="004E6B80" w:rsidRDefault="004532F6" w14:paraId="10082183" w14:textId="77777777">
      <w:pPr>
        <w:numPr>
          <w:ilvl w:val="0"/>
          <w:numId w:val="2"/>
        </w:numPr>
        <w:pBdr>
          <w:top w:val="none" w:color="E3E3E3" w:sz="0" w:space="0"/>
          <w:left w:val="none" w:color="E3E3E3" w:sz="0" w:space="0"/>
          <w:bottom w:val="none" w:color="E3E3E3" w:sz="0" w:space="0"/>
          <w:right w:val="none" w:color="E3E3E3" w:sz="0" w:space="0"/>
          <w:between w:val="none" w:color="E3E3E3" w:sz="0" w:space="0"/>
        </w:pBdr>
      </w:pPr>
      <w:r>
        <w:t>If your target state requires federation across complex environments, data virtualization may be central.</w:t>
      </w:r>
    </w:p>
    <w:p w:rsidR="004E6B80" w:rsidRDefault="004532F6" w14:paraId="22FA48DA" w14:textId="77777777">
      <w:pPr>
        <w:numPr>
          <w:ilvl w:val="0"/>
          <w:numId w:val="2"/>
        </w:numPr>
        <w:pBdr>
          <w:top w:val="none" w:color="E3E3E3" w:sz="0" w:space="0"/>
          <w:left w:val="none" w:color="E3E3E3" w:sz="0" w:space="0"/>
          <w:bottom w:val="none" w:color="E3E3E3" w:sz="0" w:space="0"/>
          <w:right w:val="none" w:color="E3E3E3" w:sz="0" w:space="0"/>
          <w:between w:val="none" w:color="E3E3E3" w:sz="0" w:space="0"/>
        </w:pBdr>
        <w:spacing w:after="360"/>
      </w:pPr>
      <w:r>
        <w:t xml:space="preserve">But if your target state is an independent semantic layer that governs business meaning across BI tools, data products, applications, and AI agents, then the buyer conversation has to move to building an </w:t>
      </w:r>
      <w:r>
        <w:rPr>
          <w:b/>
          <w:bCs/>
        </w:rPr>
        <w:t>independent, governed, reusable, and durable context layer that only a universal and independent semantic layer can provide.</w:t>
      </w:r>
    </w:p>
    <w:p w:rsidR="004E6B80" w:rsidRDefault="004E6B80" w14:paraId="76C997C0" w14:textId="77777777">
      <w:pPr>
        <w:pBdr>
          <w:top w:val="none" w:color="E3E3E3" w:sz="0" w:space="0"/>
          <w:left w:val="none" w:color="E3E3E3" w:sz="0" w:space="0"/>
          <w:bottom w:val="none" w:color="E3E3E3" w:sz="0" w:space="0"/>
          <w:right w:val="none" w:color="E3E3E3" w:sz="0" w:space="0"/>
          <w:between w:val="none" w:color="E3E3E3" w:sz="0" w:space="0"/>
        </w:pBdr>
        <w:spacing w:before="360" w:after="360"/>
        <w:ind w:left="720"/>
      </w:pPr>
    </w:p>
    <w:p w:rsidR="004E6B80" w:rsidP="71E7F633" w:rsidRDefault="004532F6" w14:paraId="2ECFA8AC"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rsidRPr="71E7F633">
        <w:rPr>
          <w:lang w:val="en-US"/>
        </w:rPr>
        <w:t>The right architecture is not just about where analytics happens today. The real question is where trusted business meaning should live tomorrow.</w:t>
      </w:r>
    </w:p>
    <w:p w:rsidR="004E6B80" w:rsidRDefault="004E6B80" w14:paraId="6F8694FD"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p>
    <w:p w:rsidR="004E6B80" w:rsidRDefault="004532F6" w14:paraId="190EAB31" w14:textId="77777777">
      <w:pPr>
        <w:pBdr>
          <w:top w:val="none" w:color="E3E3E3" w:sz="0" w:space="0"/>
          <w:left w:val="none" w:color="E3E3E3" w:sz="0" w:space="0"/>
          <w:bottom w:val="none" w:color="E3E3E3" w:sz="0" w:space="0"/>
          <w:right w:val="none" w:color="E3E3E3" w:sz="0" w:space="0"/>
          <w:between w:val="none" w:color="E3E3E3" w:sz="0" w:space="0"/>
        </w:pBdr>
        <w:spacing w:before="300" w:after="300"/>
      </w:pPr>
      <w:r>
        <w:t xml:space="preserve">Read the </w:t>
      </w:r>
      <w:commentRangeStart w:id="8"/>
      <w:r>
        <w:t>full Forrester Research report,</w:t>
      </w:r>
      <w:commentRangeEnd w:id="8"/>
      <w:r>
        <w:rPr>
          <w:rStyle w:val="CommentReference"/>
          <w:sz w:val="22"/>
          <w:szCs w:val="22"/>
        </w:rPr>
        <w:commentReference w:id="8"/>
      </w:r>
      <w:r>
        <w:t xml:space="preserve"> courtesy of Strategy Software. </w:t>
      </w:r>
    </w:p>
    <w:p w:rsidR="004E6B80" w:rsidRDefault="004532F6" w14:paraId="62CA4540" w14:textId="77777777">
      <w:pPr>
        <w:pBdr>
          <w:top w:val="none" w:color="E3E3E3" w:sz="0" w:space="0"/>
          <w:left w:val="none" w:color="E3E3E3" w:sz="0" w:space="0"/>
          <w:bottom w:val="none" w:color="E3E3E3" w:sz="0" w:space="0"/>
          <w:right w:val="none" w:color="E3E3E3" w:sz="0" w:space="0"/>
          <w:between w:val="none" w:color="E3E3E3" w:sz="0" w:space="0"/>
        </w:pBdr>
        <w:spacing w:after="300"/>
      </w:pPr>
      <w:r>
        <w:t xml:space="preserve">See Mosaic in action </w:t>
      </w:r>
    </w:p>
    <w:p w:rsidR="004E6B80" w:rsidRDefault="004532F6" w14:paraId="04CF88E9" w14:textId="77777777">
      <w:pPr>
        <w:pBdr>
          <w:top w:val="none" w:color="E3E3E3" w:sz="0" w:space="0"/>
          <w:left w:val="none" w:color="E3E3E3" w:sz="0" w:space="0"/>
          <w:bottom w:val="none" w:color="E3E3E3" w:sz="0" w:space="0"/>
          <w:right w:val="none" w:color="E3E3E3" w:sz="0" w:space="0"/>
          <w:between w:val="none" w:color="E3E3E3" w:sz="0" w:space="0"/>
        </w:pBdr>
        <w:spacing w:after="300"/>
      </w:pPr>
      <w:r>
        <w:t>[link to Mosaic product page or demo request]</w:t>
      </w:r>
    </w:p>
    <w:p w:rsidR="004E6B80" w:rsidRDefault="004E6B80" w14:paraId="28C41243" w14:textId="77777777">
      <w:pPr>
        <w:spacing w:before="480"/>
      </w:pPr>
    </w:p>
    <w:p w:rsidR="004E6B80" w:rsidRDefault="004532F6" w14:paraId="04FD4FFD" w14:textId="77777777">
      <w:pPr>
        <w:pStyle w:val="Heading3"/>
      </w:pPr>
      <w:bookmarkStart w:name="_lavy4hdnmvvj" w:colFirst="0" w:colLast="0" w:id="9"/>
      <w:bookmarkEnd w:id="9"/>
      <w:r>
        <w:t>Frequently asked questions</w:t>
      </w:r>
    </w:p>
    <w:p w:rsidR="004E6B80" w:rsidRDefault="004532F6" w14:paraId="04F24081" w14:textId="77777777">
      <w:pPr>
        <w:spacing w:before="280"/>
      </w:pPr>
      <w:r>
        <w:t>What does “target state architecture” mean?</w:t>
      </w:r>
    </w:p>
    <w:p w:rsidR="004E6B80" w:rsidRDefault="004532F6" w14:paraId="5CA1530D" w14:textId="77777777">
      <w:pPr>
        <w:spacing w:before="240" w:after="240"/>
      </w:pPr>
      <w:r>
        <w:t>Target state architecture is the future operating model an organization is trying to build. In this context, it means the desired structure for data, analytics, governance, AI, and business consumption across tools and platforms.</w:t>
      </w:r>
    </w:p>
    <w:p w:rsidR="004E6B80" w:rsidRDefault="004532F6" w14:paraId="33FC10C9" w14:textId="77777777">
      <w:pPr>
        <w:spacing w:before="280"/>
      </w:pPr>
      <w:r w:rsidRPr="71E7F633">
        <w:rPr>
          <w:lang w:val="en-US"/>
        </w:rPr>
        <w:t>What is headless BI?</w:t>
      </w:r>
    </w:p>
    <w:p w:rsidR="004E6B80" w:rsidRDefault="004532F6" w14:paraId="681CBA8C" w14:textId="77777777">
      <w:pPr>
        <w:spacing w:before="240" w:after="240"/>
      </w:pPr>
      <w:r w:rsidRPr="71E7F633">
        <w:rPr>
          <w:lang w:val="en-US"/>
        </w:rPr>
        <w:t>Headless BI separates the modeling and metrics layer from the visualization layer. Instead of locking logic inside one BI front end, it allows governed metrics and definitions to be consumed by multiple tools or experiences.</w:t>
      </w:r>
    </w:p>
    <w:p w:rsidR="004E6B80" w:rsidRDefault="004532F6" w14:paraId="312D6A4C" w14:textId="77777777">
      <w:pPr>
        <w:spacing w:before="280"/>
      </w:pPr>
      <w:r>
        <w:t>Why does semantic layer independence matter?</w:t>
      </w:r>
    </w:p>
    <w:p w:rsidR="004E6B80" w:rsidRDefault="004532F6" w14:paraId="3653AC7E" w14:textId="77777777">
      <w:pPr>
        <w:spacing w:before="240" w:after="240"/>
      </w:pPr>
      <w:r>
        <w:t>Independence matters because enterprise technology stacks change. BI tools, data platforms, cloud strategies, and AI interfaces will continue to evolve. An independent semantic layer helps preserve trusted business definitions and governance across that churn, reducing rework and avoiding unnecessary lock-in.</w:t>
      </w:r>
    </w:p>
    <w:p w:rsidR="004E6B80" w:rsidRDefault="004E6B80" w14:paraId="430D312B" w14:textId="77777777"/>
    <w:p w:rsidR="004E6B80" w:rsidRDefault="004E6B80" w14:paraId="6C241ED4" w14:textId="77777777">
      <w:pPr>
        <w:spacing w:before="480"/>
      </w:pPr>
    </w:p>
    <w:p w:rsidR="004E6B80" w:rsidRDefault="004E6B80" w14:paraId="40BF8D8C" w14:textId="77777777">
      <w:pPr>
        <w:spacing w:before="480"/>
      </w:pPr>
    </w:p>
    <w:p w:rsidR="004E6B80" w:rsidRDefault="004E6B80" w14:paraId="0FA6084F" w14:textId="77777777">
      <w:pPr>
        <w:spacing w:before="480"/>
      </w:pPr>
    </w:p>
    <w:p w:rsidR="004E6B80" w:rsidRDefault="004E6B80" w14:paraId="6F996702" w14:textId="77777777">
      <w:pPr>
        <w:spacing w:before="480"/>
      </w:pPr>
    </w:p>
    <w:p w:rsidR="004E6B80" w:rsidRDefault="004E6B80" w14:paraId="6B11AD49" w14:textId="77777777">
      <w:pPr>
        <w:spacing w:before="480"/>
      </w:pPr>
    </w:p>
    <w:p w:rsidR="004E6B80" w:rsidRDefault="004E6B80" w14:paraId="2031C993" w14:textId="77777777">
      <w:pPr>
        <w:spacing w:before="480"/>
      </w:pPr>
    </w:p>
    <w:p w:rsidR="004E6B80" w:rsidRDefault="004E6B80" w14:paraId="310ED037" w14:textId="77777777">
      <w:pPr>
        <w:spacing w:before="480"/>
      </w:pPr>
    </w:p>
    <w:p w:rsidR="004E6B80" w:rsidRDefault="004E6B80" w14:paraId="20569038" w14:textId="77777777">
      <w:pPr>
        <w:spacing w:before="480"/>
      </w:pPr>
    </w:p>
    <w:p w:rsidR="004E6B80" w:rsidRDefault="004E6B80" w14:paraId="33E77DB3" w14:textId="77777777">
      <w:pPr>
        <w:spacing w:before="480"/>
      </w:pPr>
    </w:p>
    <w:p w:rsidR="004E6B80" w:rsidRDefault="004E6B80" w14:paraId="52CE0F32" w14:textId="77777777">
      <w:pPr>
        <w:spacing w:before="480"/>
      </w:pPr>
    </w:p>
    <w:p w:rsidR="004E6B80" w:rsidRDefault="004E6B80" w14:paraId="4629E2D5" w14:textId="77777777">
      <w:pPr>
        <w:spacing w:before="480"/>
      </w:pPr>
    </w:p>
    <w:p w:rsidR="004E6B80" w:rsidRDefault="004E6B80" w14:paraId="4FEFCDE9" w14:textId="77777777">
      <w:pPr>
        <w:spacing w:before="480"/>
      </w:pPr>
    </w:p>
    <w:p w:rsidR="004E6B80" w:rsidRDefault="004E6B80" w14:paraId="3DBB36E4" w14:textId="77777777">
      <w:pPr>
        <w:spacing w:before="480"/>
      </w:pPr>
    </w:p>
    <w:p w:rsidR="004E6B80" w:rsidRDefault="004E6B80" w14:paraId="52359B19" w14:textId="77777777"/>
    <w:sectPr w:rsidR="004E6B80">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Beata Socha" w:date="2026-06-16T16:01:00Z" w:id="0">
    <w:p w:rsidR="004E6B80" w:rsidRDefault="002402B3" w14:paraId="6D8BF8DA" w14:textId="77777777">
      <w:pPr>
        <w:widowControl w:val="0"/>
        <w:pBdr>
          <w:top w:val="nil"/>
          <w:left w:val="nil"/>
          <w:bottom w:val="nil"/>
          <w:right w:val="nil"/>
          <w:between w:val="nil"/>
        </w:pBdr>
        <w:spacing w:line="240" w:lineRule="auto"/>
        <w:rPr>
          <w:color w:val="000000"/>
        </w:rPr>
      </w:pPr>
      <w:r>
        <w:rPr>
          <w:rStyle w:val="CommentReference"/>
        </w:rPr>
        <w:annotationRef/>
      </w:r>
      <w:r w:rsidR="004532F6">
        <w:rPr>
          <w:color w:val="000000"/>
        </w:rPr>
        <w:t>link to LP</w:t>
      </w:r>
    </w:p>
  </w:comment>
  <w:comment w:initials="" w:author="Beata Socha" w:date="2026-06-16T16:01:00Z" w:id="1">
    <w:p w:rsidR="004E6B80" w:rsidRDefault="002402B3" w14:paraId="2DD6BD2E" w14:textId="77777777">
      <w:pPr>
        <w:widowControl w:val="0"/>
        <w:pBdr>
          <w:top w:val="nil"/>
          <w:left w:val="nil"/>
          <w:bottom w:val="nil"/>
          <w:right w:val="nil"/>
          <w:between w:val="nil"/>
        </w:pBdr>
        <w:spacing w:line="240" w:lineRule="auto"/>
        <w:rPr>
          <w:color w:val="000000"/>
        </w:rPr>
      </w:pPr>
      <w:r>
        <w:rPr>
          <w:rStyle w:val="CommentReference"/>
        </w:rPr>
        <w:annotationRef/>
      </w:r>
      <w:r w:rsidR="004532F6">
        <w:rPr>
          <w:color w:val="000000"/>
        </w:rPr>
        <w:t>link to LP</w:t>
      </w:r>
    </w:p>
  </w:comment>
  <w:comment w:initials="" w:author="Beata Socha" w:date="2026-06-16T16:43:00Z" w:id="8">
    <w:p w:rsidR="004E6B80" w:rsidRDefault="002402B3" w14:paraId="22245C76" w14:textId="77777777">
      <w:pPr>
        <w:widowControl w:val="0"/>
        <w:pBdr>
          <w:top w:val="nil"/>
          <w:left w:val="nil"/>
          <w:bottom w:val="nil"/>
          <w:right w:val="nil"/>
          <w:between w:val="nil"/>
        </w:pBdr>
        <w:spacing w:line="240" w:lineRule="auto"/>
        <w:rPr>
          <w:color w:val="000000"/>
        </w:rPr>
      </w:pPr>
      <w:r>
        <w:rPr>
          <w:rStyle w:val="CommentReference"/>
        </w:rPr>
        <w:annotationRef/>
      </w:r>
      <w:r w:rsidR="004532F6">
        <w:rPr>
          <w:color w:val="000000"/>
        </w:rPr>
        <w:t>Link to LP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BF8DA" w15:done="0"/>
  <w15:commentEx w15:paraId="2DD6BD2E" w15:done="0"/>
  <w15:commentEx w15:paraId="22245C7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BF8DA" w16cid:durableId="5813300C"/>
  <w16cid:commentId w16cid:paraId="2DD6BD2E" w16cid:durableId="620E4878"/>
  <w16cid:commentId w16cid:paraId="22245C76" w16cid:durableId="0E31344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454D309D-1F46-4011-9441-0920AEE4181F}" r:id="rId1"/>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w:fontKey="{E52DF93A-4AC3-4C70-A524-6334CED42FC9}"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A5F74"/>
    <w:multiLevelType w:val="multilevel"/>
    <w:tmpl w:val="4D042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E227B1"/>
    <w:multiLevelType w:val="multilevel"/>
    <w:tmpl w:val="C6A8C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6A84B76"/>
    <w:multiLevelType w:val="multilevel"/>
    <w:tmpl w:val="53F0B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752368">
    <w:abstractNumId w:val="1"/>
  </w:num>
  <w:num w:numId="2" w16cid:durableId="1480539887">
    <w:abstractNumId w:val="0"/>
  </w:num>
  <w:num w:numId="3" w16cid:durableId="1510480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B80"/>
    <w:rsid w:val="002402B3"/>
    <w:rsid w:val="00365623"/>
    <w:rsid w:val="004532F6"/>
    <w:rsid w:val="00491BB6"/>
    <w:rsid w:val="004A49DC"/>
    <w:rsid w:val="004E6B80"/>
    <w:rsid w:val="00673133"/>
    <w:rsid w:val="007617D7"/>
    <w:rsid w:val="00D828C8"/>
    <w:rsid w:val="00EA6505"/>
    <w:rsid w:val="00F91015"/>
    <w:rsid w:val="32470640"/>
    <w:rsid w:val="56CAC990"/>
    <w:rsid w:val="600652F0"/>
    <w:rsid w:val="71E7F6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0DA1133"/>
  <w15:docId w15:val="{770764BB-275E-4057-97C2-7853DB482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Socha, Beata</lastModifiedBy>
  <revision>6</revision>
  <dcterms:created xsi:type="dcterms:W3CDTF">2026-06-16T16:43:00.0000000Z</dcterms:created>
  <dcterms:modified xsi:type="dcterms:W3CDTF">2026-06-17T13:11:26.3023520Z</dcterms:modified>
</coreProperties>
</file>