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804B7" w:rsidR="002804B7" w:rsidP="002804B7" w:rsidRDefault="002804B7" w14:paraId="027E08F6" w14:textId="7777777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commentRangeStart w:id="0"/>
      <w:commentRangeStart w:id="1"/>
      <w:r w:rsidRPr="002804B7">
        <w:rPr>
          <w:rFonts w:ascii="Times New Roman" w:hAnsi="Times New Roman" w:eastAsia="Times New Roman" w:cs="Times New Roman"/>
          <w:b/>
          <w:bCs/>
          <w:kern w:val="36"/>
          <w:sz w:val="48"/>
          <w:szCs w:val="48"/>
          <w14:ligatures w14:val="none"/>
        </w:rPr>
        <w:t>Forrester Says 70-80% Accuracy Isn't Good Enough. We Agree.</w:t>
      </w:r>
      <w:commentRangeEnd w:id="0"/>
      <w:r w:rsidRPr="002804B7">
        <w:rPr>
          <w:rStyle w:val="CommentReference"/>
          <w:rFonts w:ascii="Times New Roman" w:hAnsi="Times New Roman" w:eastAsia="Times New Roman" w:cs="Times New Roman"/>
          <w:b/>
          <w:bCs/>
          <w:kern w:val="36"/>
          <w:sz w:val="48"/>
          <w:szCs w:val="48"/>
          <w14:ligatures w14:val="none"/>
        </w:rPr>
        <w:commentReference w:id="0"/>
      </w:r>
      <w:commentRangeEnd w:id="1"/>
      <w:r>
        <w:rPr>
          <w:rStyle w:val="CommentReference"/>
        </w:rPr>
        <w:commentReference w:id="1"/>
      </w:r>
    </w:p>
    <w:p w:rsidR="00FB6BF9" w:rsidP="087A4F40" w:rsidRDefault="00FB6BF9" w14:paraId="093CE973" w14:textId="1FEA526F">
      <w:pPr>
        <w:spacing w:before="100" w:beforeAutospacing="on" w:after="100" w:afterAutospacing="on" w:line="240" w:lineRule="auto"/>
        <w:outlineLvl w:val="1"/>
        <w:rPr>
          <w:rFonts w:ascii="Times New Roman" w:hAnsi="Times New Roman" w:eastAsia="Times New Roman" w:cs="Times New Roman"/>
        </w:rPr>
      </w:pPr>
      <w:r w:rsidRPr="087A4F40" w:rsidR="40C07BFD">
        <w:rPr>
          <w:rFonts w:ascii="Times New Roman" w:hAnsi="Times New Roman" w:eastAsia="Times New Roman" w:cs="Times New Roman"/>
        </w:rPr>
        <w:t xml:space="preserve">Enterprise data teams have </w:t>
      </w:r>
      <w:r w:rsidRPr="087A4F40" w:rsidR="6F45F6C8">
        <w:rPr>
          <w:rFonts w:ascii="Times New Roman" w:hAnsi="Times New Roman" w:eastAsia="Times New Roman" w:cs="Times New Roman"/>
        </w:rPr>
        <w:t>an AI accuracy problem when querying complex enterprise data</w:t>
      </w:r>
      <w:r w:rsidRPr="087A4F40" w:rsidR="40C07BFD">
        <w:rPr>
          <w:rFonts w:ascii="Times New Roman" w:hAnsi="Times New Roman" w:eastAsia="Times New Roman" w:cs="Times New Roman"/>
        </w:rPr>
        <w:t>, and Forrester Research has put a number on it. A June 2026 Forrester report</w:t>
      </w:r>
      <w:r w:rsidRPr="087A4F40" w:rsidR="2F6411A5">
        <w:rPr>
          <w:rFonts w:ascii="Times New Roman" w:hAnsi="Times New Roman" w:eastAsia="Times New Roman" w:cs="Times New Roman"/>
        </w:rPr>
        <w:t>,</w:t>
      </w:r>
      <w:r w:rsidRPr="087A4F40" w:rsidR="40C07BFD">
        <w:rPr>
          <w:rFonts w:ascii="Times New Roman" w:hAnsi="Times New Roman" w:eastAsia="Times New Roman" w:cs="Times New Roman"/>
        </w:rPr>
        <w:t xml:space="preserve"> </w:t>
      </w:r>
      <w:commentRangeStart w:id="502213917"/>
      <w:r w:rsidRPr="087A4F40" w:rsidR="2F6411A5">
        <w:rPr>
          <w:rFonts w:ascii="Times New Roman" w:hAnsi="Times New Roman" w:eastAsia="Times New Roman" w:cs="Times New Roman"/>
          <w:i w:val="1"/>
          <w:iCs w:val="1"/>
        </w:rPr>
        <w:t>Make Data AI Ready Via Semantic Layer Platforms</w:t>
      </w:r>
      <w:commentRangeEnd w:id="502213917"/>
      <w:r>
        <w:rPr>
          <w:rStyle w:val="CommentReference"/>
        </w:rPr>
        <w:commentReference w:id="502213917"/>
      </w:r>
      <w:r w:rsidRPr="087A4F40" w:rsidR="2F6411A5">
        <w:rPr>
          <w:rFonts w:ascii="Times New Roman" w:hAnsi="Times New Roman" w:eastAsia="Times New Roman" w:cs="Times New Roman"/>
        </w:rPr>
        <w:t>,</w:t>
      </w:r>
      <w:r w:rsidRPr="087A4F40" w:rsidR="40C07BFD">
        <w:rPr>
          <w:rFonts w:ascii="Times New Roman" w:hAnsi="Times New Roman" w:eastAsia="Times New Roman" w:cs="Times New Roman"/>
        </w:rPr>
        <w:t xml:space="preserve"> </w:t>
      </w:r>
      <w:r w:rsidRPr="087A4F40" w:rsidR="40C07BFD">
        <w:rPr>
          <w:rFonts w:ascii="Times New Roman" w:hAnsi="Times New Roman" w:eastAsia="Times New Roman" w:cs="Times New Roman"/>
        </w:rPr>
        <w:t xml:space="preserve">on semantic layer platforms finds that leading LLMs achieve 70-80% execution accuracy on benchmark datasets under controlled conditions, with accuracy degrading sharply on the multi-table queries that enterprise analytics requires. We ran a parallel benchmark on a real-world insurance schema. </w:t>
      </w:r>
    </w:p>
    <w:p w:rsidR="00FB6BF9" w:rsidP="002804B7" w:rsidRDefault="00FB6BF9" w14:paraId="7356723B" w14:textId="69CA1963">
      <w:pPr>
        <w:spacing w:before="100" w:beforeAutospacing="1" w:after="100" w:afterAutospacing="1" w:line="240" w:lineRule="auto"/>
        <w:outlineLvl w:val="1"/>
        <w:rPr>
          <w:rFonts w:ascii="Times New Roman" w:hAnsi="Times New Roman" w:eastAsia="Times New Roman" w:cs="Times New Roman"/>
        </w:rPr>
      </w:pPr>
      <w:r w:rsidRPr="3AD13B0F">
        <w:rPr>
          <w:rFonts w:ascii="Times New Roman" w:hAnsi="Times New Roman" w:eastAsia="Times New Roman" w:cs="Times New Roman"/>
        </w:rPr>
        <w:t>Overall accuracy with direct text-to-SQL: 88.2%. On complex multi-table queries: 0%. Strategy Mosaic scored 100% on both. This post examines what that gap means, why it's structural rather than a prompting problem, and how grounding queries in a semantic layer closes it.</w:t>
      </w:r>
    </w:p>
    <w:p w:rsidR="004CF7EC" w:rsidP="004CF7EC" w:rsidRDefault="004CF7EC" w14:paraId="4146CC2E" w14:textId="39E42D9D">
      <w:pPr>
        <w:spacing w:beforeAutospacing="1" w:afterAutospacing="1" w:line="240" w:lineRule="auto"/>
        <w:outlineLvl w:val="1"/>
        <w:rPr>
          <w:rFonts w:ascii="Times New Roman" w:hAnsi="Times New Roman" w:eastAsia="Times New Roman" w:cs="Times New Roman"/>
        </w:rPr>
      </w:pPr>
    </w:p>
    <w:p w:rsidRPr="002804B7" w:rsidR="002804B7" w:rsidP="002804B7" w:rsidRDefault="002804B7" w14:paraId="2FD73A07" w14:textId="59BE447E">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2804B7">
        <w:rPr>
          <w:rFonts w:ascii="Times New Roman" w:hAnsi="Times New Roman" w:eastAsia="Times New Roman" w:cs="Times New Roman"/>
          <w:b/>
          <w:bCs/>
          <w:kern w:val="0"/>
          <w:sz w:val="36"/>
          <w:szCs w:val="36"/>
          <w14:ligatures w14:val="none"/>
        </w:rPr>
        <w:t>The 70-80% Number Understates the Real Problem</w:t>
      </w:r>
    </w:p>
    <w:p w:rsidRPr="002804B7" w:rsidR="002804B7" w:rsidP="002804B7" w:rsidRDefault="002804B7" w14:paraId="6ED9E9FE"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The 70-80% accuracy figure comes from Spider and PICARD, the standard benchmarks for measuring text-to-SQL quality. They test how accurately LLMs convert natural language into executable SQL against documented schemas under controlled conditions. Real enterprise schemas are neither controlled nor simple, and accuracy falls faster than the benchmark suggests.</w:t>
      </w:r>
    </w:p>
    <w:p w:rsidRPr="002804B7" w:rsidR="002804B7" w:rsidP="002804B7" w:rsidRDefault="002804B7" w14:paraId="38F2B21B"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Multi-fact tables, bridge tables with authoritative join paths, and business logic embedded nowhere in the schema itself create conditions where LLMs don't just underperform; they generate results that look valid and are materially wrong.</w:t>
      </w:r>
    </w:p>
    <w:p w:rsidRPr="002804B7" w:rsidR="002804B7" w:rsidP="002804B7" w:rsidRDefault="002804B7" w14:paraId="51A780D0" w14:textId="51BDAF54">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 xml:space="preserve">We tested insurance claims analytics questions against a 28-table real-world data model, comparing direct PostgreSQL text-to-SQL against the same questions routed through Strategy Mosaic. </w:t>
      </w:r>
    </w:p>
    <w:p w:rsidRPr="002804B7" w:rsidR="002804B7" w:rsidP="002804B7" w:rsidRDefault="002804B7" w14:paraId="22057E96" w14:textId="34AAD0BC">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 xml:space="preserve">The </w:t>
      </w:r>
      <w:r>
        <w:rPr>
          <w:rFonts w:ascii="Times New Roman" w:hAnsi="Times New Roman" w:eastAsia="Times New Roman" w:cs="Times New Roman"/>
          <w:kern w:val="0"/>
          <w14:ligatures w14:val="none"/>
        </w:rPr>
        <w:t>three text-to-SQL</w:t>
      </w:r>
      <w:r w:rsidRPr="002804B7">
        <w:rPr>
          <w:rFonts w:ascii="Times New Roman" w:hAnsi="Times New Roman" w:eastAsia="Times New Roman" w:cs="Times New Roman"/>
          <w:kern w:val="0"/>
          <w14:ligatures w14:val="none"/>
        </w:rPr>
        <w:t xml:space="preserve"> failures were structurally predictable: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5"/>
        <w:gridCol w:w="1688"/>
        <w:gridCol w:w="1489"/>
        <w:gridCol w:w="2978"/>
      </w:tblGrid>
      <w:tr w:rsidRPr="002804B7" w:rsidR="002804B7" w14:paraId="011B30D3" w14:textId="77777777">
        <w:trPr>
          <w:tblHeader/>
          <w:tblCellSpacing w:w="15" w:type="dxa"/>
        </w:trPr>
        <w:tc>
          <w:tcPr>
            <w:tcW w:w="0" w:type="auto"/>
            <w:vAlign w:val="center"/>
            <w:hideMark/>
          </w:tcPr>
          <w:p w:rsidRPr="002804B7" w:rsidR="002804B7" w:rsidP="002804B7" w:rsidRDefault="002804B7" w14:paraId="47D5FDDC" w14:textId="77777777">
            <w:pPr>
              <w:spacing w:after="0" w:line="240" w:lineRule="auto"/>
              <w:jc w:val="center"/>
              <w:rPr>
                <w:rFonts w:ascii="Times New Roman" w:hAnsi="Times New Roman" w:eastAsia="Times New Roman" w:cs="Times New Roman"/>
                <w:b/>
                <w:bCs/>
                <w:kern w:val="0"/>
                <w14:ligatures w14:val="none"/>
              </w:rPr>
            </w:pPr>
            <w:r w:rsidRPr="002804B7">
              <w:rPr>
                <w:rFonts w:ascii="Times New Roman" w:hAnsi="Times New Roman" w:eastAsia="Times New Roman" w:cs="Times New Roman"/>
                <w:b/>
                <w:bCs/>
                <w:kern w:val="0"/>
                <w14:ligatures w14:val="none"/>
              </w:rPr>
              <w:t>Query</w:t>
            </w:r>
          </w:p>
        </w:tc>
        <w:tc>
          <w:tcPr>
            <w:tcW w:w="0" w:type="auto"/>
            <w:vAlign w:val="center"/>
            <w:hideMark/>
          </w:tcPr>
          <w:p w:rsidRPr="002804B7" w:rsidR="002804B7" w:rsidP="002804B7" w:rsidRDefault="002804B7" w14:paraId="7778B1B1" w14:textId="77777777">
            <w:pPr>
              <w:spacing w:after="0" w:line="240" w:lineRule="auto"/>
              <w:jc w:val="center"/>
              <w:rPr>
                <w:rFonts w:ascii="Times New Roman" w:hAnsi="Times New Roman" w:eastAsia="Times New Roman" w:cs="Times New Roman"/>
                <w:b/>
                <w:bCs/>
                <w:kern w:val="0"/>
                <w14:ligatures w14:val="none"/>
              </w:rPr>
            </w:pPr>
            <w:r w:rsidRPr="002804B7">
              <w:rPr>
                <w:rFonts w:ascii="Times New Roman" w:hAnsi="Times New Roman" w:eastAsia="Times New Roman" w:cs="Times New Roman"/>
                <w:b/>
                <w:bCs/>
                <w:kern w:val="0"/>
                <w14:ligatures w14:val="none"/>
              </w:rPr>
              <w:t>Direct SQL Result</w:t>
            </w:r>
          </w:p>
        </w:tc>
        <w:tc>
          <w:tcPr>
            <w:tcW w:w="0" w:type="auto"/>
            <w:vAlign w:val="center"/>
            <w:hideMark/>
          </w:tcPr>
          <w:p w:rsidRPr="002804B7" w:rsidR="002804B7" w:rsidP="002804B7" w:rsidRDefault="002804B7" w14:paraId="6C45CC28" w14:textId="77777777">
            <w:pPr>
              <w:spacing w:after="0" w:line="240" w:lineRule="auto"/>
              <w:jc w:val="center"/>
              <w:rPr>
                <w:rFonts w:ascii="Times New Roman" w:hAnsi="Times New Roman" w:eastAsia="Times New Roman" w:cs="Times New Roman"/>
                <w:b/>
                <w:bCs/>
                <w:kern w:val="0"/>
                <w14:ligatures w14:val="none"/>
              </w:rPr>
            </w:pPr>
            <w:r w:rsidRPr="002804B7">
              <w:rPr>
                <w:rFonts w:ascii="Times New Roman" w:hAnsi="Times New Roman" w:eastAsia="Times New Roman" w:cs="Times New Roman"/>
                <w:b/>
                <w:bCs/>
                <w:kern w:val="0"/>
                <w14:ligatures w14:val="none"/>
              </w:rPr>
              <w:t>Correct Answer</w:t>
            </w:r>
          </w:p>
        </w:tc>
        <w:tc>
          <w:tcPr>
            <w:tcW w:w="0" w:type="auto"/>
            <w:vAlign w:val="center"/>
            <w:hideMark/>
          </w:tcPr>
          <w:p w:rsidRPr="002804B7" w:rsidR="002804B7" w:rsidP="002804B7" w:rsidRDefault="002804B7" w14:paraId="4CB61A49" w14:textId="77777777">
            <w:pPr>
              <w:spacing w:after="0" w:line="240" w:lineRule="auto"/>
              <w:jc w:val="center"/>
              <w:rPr>
                <w:rFonts w:ascii="Times New Roman" w:hAnsi="Times New Roman" w:eastAsia="Times New Roman" w:cs="Times New Roman"/>
                <w:b/>
                <w:bCs/>
                <w:kern w:val="0"/>
                <w14:ligatures w14:val="none"/>
              </w:rPr>
            </w:pPr>
            <w:r w:rsidRPr="002804B7">
              <w:rPr>
                <w:rFonts w:ascii="Times New Roman" w:hAnsi="Times New Roman" w:eastAsia="Times New Roman" w:cs="Times New Roman"/>
                <w:b/>
                <w:bCs/>
                <w:kern w:val="0"/>
                <w14:ligatures w14:val="none"/>
              </w:rPr>
              <w:t>Error</w:t>
            </w:r>
          </w:p>
        </w:tc>
      </w:tr>
      <w:tr w:rsidRPr="002804B7" w:rsidR="002804B7" w14:paraId="582414BC" w14:textId="77777777">
        <w:trPr>
          <w:tblCellSpacing w:w="15" w:type="dxa"/>
        </w:trPr>
        <w:tc>
          <w:tcPr>
            <w:tcW w:w="0" w:type="auto"/>
            <w:vAlign w:val="center"/>
            <w:hideMark/>
          </w:tcPr>
          <w:p w:rsidRPr="002804B7" w:rsidR="002804B7" w:rsidP="002804B7" w:rsidRDefault="002804B7" w14:paraId="0B2CBB03"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Policy 336: total coverage limit + total claims</w:t>
            </w:r>
          </w:p>
        </w:tc>
        <w:tc>
          <w:tcPr>
            <w:tcW w:w="0" w:type="auto"/>
            <w:vAlign w:val="center"/>
            <w:hideMark/>
          </w:tcPr>
          <w:p w:rsidRPr="002804B7" w:rsidR="002804B7" w:rsidP="002804B7" w:rsidRDefault="002804B7" w14:paraId="4E0F29F2"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$40,688,000</w:t>
            </w:r>
          </w:p>
        </w:tc>
        <w:tc>
          <w:tcPr>
            <w:tcW w:w="0" w:type="auto"/>
            <w:vAlign w:val="center"/>
            <w:hideMark/>
          </w:tcPr>
          <w:p w:rsidRPr="002804B7" w:rsidR="002804B7" w:rsidP="002804B7" w:rsidRDefault="002804B7" w14:paraId="36C915AC"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$5,086,000</w:t>
            </w:r>
          </w:p>
        </w:tc>
        <w:tc>
          <w:tcPr>
            <w:tcW w:w="0" w:type="auto"/>
            <w:vAlign w:val="center"/>
            <w:hideMark/>
          </w:tcPr>
          <w:p w:rsidRPr="002804B7" w:rsidR="002804B7" w:rsidP="002804B7" w:rsidRDefault="002804B7" w14:paraId="5B51472B"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8-10x inflated (fan-out)</w:t>
            </w:r>
          </w:p>
        </w:tc>
      </w:tr>
      <w:tr w:rsidRPr="002804B7" w:rsidR="002804B7" w14:paraId="30476566" w14:textId="77777777">
        <w:trPr>
          <w:tblCellSpacing w:w="15" w:type="dxa"/>
        </w:trPr>
        <w:tc>
          <w:tcPr>
            <w:tcW w:w="0" w:type="auto"/>
            <w:vAlign w:val="center"/>
            <w:hideMark/>
          </w:tcPr>
          <w:p w:rsidRPr="002804B7" w:rsidR="002804B7" w:rsidP="002804B7" w:rsidRDefault="002804B7" w14:paraId="7B3C6183"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Policy 336: catastrophe payout</w:t>
            </w:r>
          </w:p>
        </w:tc>
        <w:tc>
          <w:tcPr>
            <w:tcW w:w="0" w:type="auto"/>
            <w:vAlign w:val="center"/>
            <w:hideMark/>
          </w:tcPr>
          <w:p w:rsidRPr="002804B7" w:rsidR="002804B7" w:rsidP="002804B7" w:rsidRDefault="002804B7" w14:paraId="5675CA09"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$23,000</w:t>
            </w:r>
          </w:p>
        </w:tc>
        <w:tc>
          <w:tcPr>
            <w:tcW w:w="0" w:type="auto"/>
            <w:vAlign w:val="center"/>
            <w:hideMark/>
          </w:tcPr>
          <w:p w:rsidRPr="002804B7" w:rsidR="002804B7" w:rsidP="002804B7" w:rsidRDefault="002804B7" w14:paraId="7FD4A73D"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$13,600</w:t>
            </w:r>
          </w:p>
        </w:tc>
        <w:tc>
          <w:tcPr>
            <w:tcW w:w="0" w:type="auto"/>
            <w:vAlign w:val="center"/>
            <w:hideMark/>
          </w:tcPr>
          <w:p w:rsidRPr="002804B7" w:rsidR="002804B7" w:rsidP="002804B7" w:rsidRDefault="002804B7" w14:paraId="1C20C58D"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5x inflated + cross-policy misattribution</w:t>
            </w:r>
          </w:p>
        </w:tc>
      </w:tr>
      <w:tr w:rsidRPr="002804B7" w:rsidR="002804B7" w14:paraId="6F358417" w14:textId="77777777">
        <w:trPr>
          <w:tblCellSpacing w:w="15" w:type="dxa"/>
        </w:trPr>
        <w:tc>
          <w:tcPr>
            <w:tcW w:w="0" w:type="auto"/>
            <w:vAlign w:val="center"/>
            <w:hideMark/>
          </w:tcPr>
          <w:p w:rsidRPr="002804B7" w:rsidR="002804B7" w:rsidP="002804B7" w:rsidRDefault="002804B7" w14:paraId="3E09D638"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Policy 337: catastrophe payout</w:t>
            </w:r>
          </w:p>
        </w:tc>
        <w:tc>
          <w:tcPr>
            <w:tcW w:w="0" w:type="auto"/>
            <w:vAlign w:val="center"/>
            <w:hideMark/>
          </w:tcPr>
          <w:p w:rsidRPr="002804B7" w:rsidR="002804B7" w:rsidP="002804B7" w:rsidRDefault="002804B7" w14:paraId="1A6BE5DB"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$9,000</w:t>
            </w:r>
          </w:p>
        </w:tc>
        <w:tc>
          <w:tcPr>
            <w:tcW w:w="0" w:type="auto"/>
            <w:vAlign w:val="center"/>
            <w:hideMark/>
          </w:tcPr>
          <w:p w:rsidRPr="002804B7" w:rsidR="002804B7" w:rsidP="002804B7" w:rsidRDefault="002804B7" w14:paraId="385DCF49"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$0</w:t>
            </w:r>
          </w:p>
        </w:tc>
        <w:tc>
          <w:tcPr>
            <w:tcW w:w="0" w:type="auto"/>
            <w:vAlign w:val="center"/>
            <w:hideMark/>
          </w:tcPr>
          <w:p w:rsidRPr="002804B7" w:rsidR="002804B7" w:rsidP="002804B7" w:rsidRDefault="002804B7" w14:paraId="01E5FD5D"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100% misattributed from Policy 336</w:t>
            </w:r>
          </w:p>
        </w:tc>
      </w:tr>
    </w:tbl>
    <w:p w:rsidRPr="002804B7" w:rsidR="002804B7" w:rsidP="002804B7" w:rsidRDefault="002804B7" w14:paraId="7319661C" w14:textId="3BE9D354">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Neither failure triggered a SQL error. Both results would pass review by an analyst without prior knowledge of the correct answer. The LLM selected the wrong join path because the correct path isn't derivable from column names. It lives in the business logic, which the raw schema doesn't expose.</w:t>
      </w:r>
      <w:r w:rsidRPr="00FB6BF9" w:rsidR="00FB6BF9">
        <w:t xml:space="preserve"> </w:t>
      </w:r>
      <w:r w:rsidRPr="00FB6BF9" w:rsidR="00FB6BF9">
        <w:rPr>
          <w:rFonts w:ascii="Times New Roman" w:hAnsi="Times New Roman" w:eastAsia="Times New Roman" w:cs="Times New Roman"/>
          <w:kern w:val="0"/>
          <w14:ligatures w14:val="none"/>
        </w:rPr>
        <w:t>Without a semantic layer to enforce that relationship, the model had to guess</w:t>
      </w:r>
      <w:r w:rsidR="00FB6BF9">
        <w:rPr>
          <w:rFonts w:ascii="Times New Roman" w:hAnsi="Times New Roman" w:eastAsia="Times New Roman" w:cs="Times New Roman"/>
          <w:kern w:val="0"/>
          <w14:ligatures w14:val="none"/>
        </w:rPr>
        <w:t xml:space="preserve">, </w:t>
      </w:r>
      <w:r w:rsidRPr="00FB6BF9" w:rsidR="00FB6BF9">
        <w:rPr>
          <w:rFonts w:ascii="Times New Roman" w:hAnsi="Times New Roman" w:eastAsia="Times New Roman" w:cs="Times New Roman"/>
          <w:kern w:val="0"/>
          <w14:ligatures w14:val="none"/>
        </w:rPr>
        <w:t>and it guessed wrong without triggering a single SQL error.</w:t>
      </w:r>
    </w:p>
    <w:p w:rsidRPr="002804B7" w:rsidR="002804B7" w:rsidP="002804B7" w:rsidRDefault="002804B7" w14:paraId="306F2567"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2804B7">
        <w:rPr>
          <w:rFonts w:ascii="Times New Roman" w:hAnsi="Times New Roman" w:eastAsia="Times New Roman" w:cs="Times New Roman"/>
          <w:b/>
          <w:bCs/>
          <w:kern w:val="0"/>
          <w:sz w:val="36"/>
          <w:szCs w:val="36"/>
          <w14:ligatures w14:val="none"/>
        </w:rPr>
        <w:t>What "Grounding in a Semantic Layer" Means</w:t>
      </w:r>
    </w:p>
    <w:p w:rsidRPr="002804B7" w:rsidR="002804B7" w:rsidP="002804B7" w:rsidRDefault="002804B7" w14:paraId="32FAA32E"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Forrester's June 2026 report prescribes a specific architectural fix. Figure 2 is titled "Use A Semantic Layer For Natural Language To SQL Translation To Achieve 100% Accuracy." The recommendation: map each question to governed metrics, dimensions, and policy-aware views, then generate SQL from those contracts.</w:t>
      </w:r>
    </w:p>
    <w:p w:rsidR="692484A0" w:rsidP="692484A0" w:rsidRDefault="7E18B99A" w14:paraId="70D4396F" w14:textId="25D37935">
      <w:pPr>
        <w:spacing w:beforeAutospacing="1" w:afterAutospacing="1" w:line="240" w:lineRule="auto"/>
        <w:rPr>
          <w:rFonts w:ascii="Times New Roman" w:hAnsi="Times New Roman" w:eastAsia="Times New Roman" w:cs="Times New Roman"/>
        </w:rPr>
      </w:pPr>
      <w:r>
        <w:rPr>
          <w:noProof/>
        </w:rPr>
        <w:drawing>
          <wp:inline distT="0" distB="0" distL="0" distR="0" wp14:anchorId="11DA1621" wp14:editId="3A3699CB">
            <wp:extent cx="5943600" cy="2124075"/>
            <wp:effectExtent l="0" t="0" r="0" b="0"/>
            <wp:docPr id="1958971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1593" name="Picture 1958971593"/>
                    <pic:cNvPicPr/>
                  </pic:nvPicPr>
                  <pic:blipFill>
                    <a:blip r:embed="rId9">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rsidRPr="002804B7" w:rsidR="002804B7" w:rsidP="002804B7" w:rsidRDefault="002804B7" w14:paraId="5452EF7B"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That's an architectural requirement, not a prompting technique. The Forrester report is explicit: the accuracy problem comes from LLMs reasoning about join paths and business logic from raw schema definitions on every query. A semantic layer encodes that reasoning once. Every subsequent query, regardless of user or model, follows the validated path.</w:t>
      </w:r>
    </w:p>
    <w:p w:rsidRPr="002804B7" w:rsidR="002804B7" w:rsidP="002804B7" w:rsidRDefault="002804B7" w14:paraId="0CBA1E60"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The insurance benchmark illustrates why this matters. The fan-out error that inflated Policy 336's coverage limit by 8-10x happens because a 5-year policy generates 5 rows in the coverage detail table. When the LLM joins that table to claims through a shared key without semantic isolation, each claim row matches all 5 coverage year rows and SUM() inflates every dollar by a factor of 5. The query shape looks correct. The number is not.</w:t>
      </w:r>
    </w:p>
    <w:p w:rsidRPr="002804B7" w:rsidR="002804B7" w:rsidP="002804B7" w:rsidRDefault="002804B7" w14:paraId="5B2BF070"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Strategy Mosaic prevents this by computing coverage and claim metrics independently via canonical paths, then combining pre-aggregated results at the policy level. The multiplicative error cannot form because the semantic model doesn't allow that join to run unconstrained.</w:t>
      </w:r>
    </w:p>
    <w:p w:rsidRPr="002804B7" w:rsidR="002804B7" w:rsidP="002804B7" w:rsidRDefault="002804B7" w14:paraId="3FB3CEEE"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How the two approaches compare on the queries where accuracy diverges: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2926"/>
        <w:gridCol w:w="1735"/>
      </w:tblGrid>
      <w:tr w:rsidRPr="002804B7" w:rsidR="002804B7" w14:paraId="7A11FE11" w14:textId="77777777">
        <w:trPr>
          <w:tblHeader/>
          <w:tblCellSpacing w:w="15" w:type="dxa"/>
        </w:trPr>
        <w:tc>
          <w:tcPr>
            <w:tcW w:w="0" w:type="auto"/>
            <w:vAlign w:val="center"/>
            <w:hideMark/>
          </w:tcPr>
          <w:p w:rsidRPr="002804B7" w:rsidR="002804B7" w:rsidP="002804B7" w:rsidRDefault="002804B7" w14:paraId="70165CEB" w14:textId="77777777">
            <w:pPr>
              <w:spacing w:after="0" w:line="240" w:lineRule="auto"/>
              <w:jc w:val="center"/>
              <w:rPr>
                <w:rFonts w:ascii="Times New Roman" w:hAnsi="Times New Roman" w:eastAsia="Times New Roman" w:cs="Times New Roman"/>
                <w:b/>
                <w:bCs/>
                <w:kern w:val="0"/>
                <w14:ligatures w14:val="none"/>
              </w:rPr>
            </w:pPr>
            <w:r w:rsidRPr="002804B7">
              <w:rPr>
                <w:rFonts w:ascii="Times New Roman" w:hAnsi="Times New Roman" w:eastAsia="Times New Roman" w:cs="Times New Roman"/>
                <w:b/>
                <w:bCs/>
                <w:kern w:val="0"/>
                <w14:ligatures w14:val="none"/>
              </w:rPr>
              <w:t>Query type</w:t>
            </w:r>
          </w:p>
        </w:tc>
        <w:tc>
          <w:tcPr>
            <w:tcW w:w="0" w:type="auto"/>
            <w:vAlign w:val="center"/>
            <w:hideMark/>
          </w:tcPr>
          <w:p w:rsidRPr="002804B7" w:rsidR="002804B7" w:rsidP="002804B7" w:rsidRDefault="002804B7" w14:paraId="24F7A91F" w14:textId="77777777">
            <w:pPr>
              <w:spacing w:after="0" w:line="240" w:lineRule="auto"/>
              <w:jc w:val="center"/>
              <w:rPr>
                <w:rFonts w:ascii="Times New Roman" w:hAnsi="Times New Roman" w:eastAsia="Times New Roman" w:cs="Times New Roman"/>
                <w:b/>
                <w:bCs/>
                <w:kern w:val="0"/>
                <w14:ligatures w14:val="none"/>
              </w:rPr>
            </w:pPr>
            <w:r w:rsidRPr="002804B7">
              <w:rPr>
                <w:rFonts w:ascii="Times New Roman" w:hAnsi="Times New Roman" w:eastAsia="Times New Roman" w:cs="Times New Roman"/>
                <w:b/>
                <w:bCs/>
                <w:kern w:val="0"/>
                <w14:ligatures w14:val="none"/>
              </w:rPr>
              <w:t>Direct text-to-SQL</w:t>
            </w:r>
          </w:p>
        </w:tc>
        <w:tc>
          <w:tcPr>
            <w:tcW w:w="0" w:type="auto"/>
            <w:vAlign w:val="center"/>
            <w:hideMark/>
          </w:tcPr>
          <w:p w:rsidRPr="002804B7" w:rsidR="002804B7" w:rsidP="002804B7" w:rsidRDefault="002804B7" w14:paraId="4C1FC694" w14:textId="77777777">
            <w:pPr>
              <w:spacing w:after="0" w:line="240" w:lineRule="auto"/>
              <w:jc w:val="center"/>
              <w:rPr>
                <w:rFonts w:ascii="Times New Roman" w:hAnsi="Times New Roman" w:eastAsia="Times New Roman" w:cs="Times New Roman"/>
                <w:b/>
                <w:bCs/>
                <w:kern w:val="0"/>
                <w14:ligatures w14:val="none"/>
              </w:rPr>
            </w:pPr>
            <w:r w:rsidRPr="002804B7">
              <w:rPr>
                <w:rFonts w:ascii="Times New Roman" w:hAnsi="Times New Roman" w:eastAsia="Times New Roman" w:cs="Times New Roman"/>
                <w:b/>
                <w:bCs/>
                <w:kern w:val="0"/>
                <w14:ligatures w14:val="none"/>
              </w:rPr>
              <w:t>Strategy Mosaic</w:t>
            </w:r>
          </w:p>
        </w:tc>
      </w:tr>
      <w:tr w:rsidRPr="002804B7" w:rsidR="002804B7" w14:paraId="66F4A9D3" w14:textId="77777777">
        <w:trPr>
          <w:tblCellSpacing w:w="15" w:type="dxa"/>
        </w:trPr>
        <w:tc>
          <w:tcPr>
            <w:tcW w:w="0" w:type="auto"/>
            <w:vAlign w:val="center"/>
            <w:hideMark/>
          </w:tcPr>
          <w:p w:rsidRPr="002804B7" w:rsidR="002804B7" w:rsidP="002804B7" w:rsidRDefault="002804B7" w14:paraId="1F4CDE5E"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Simple, single-table</w:t>
            </w:r>
          </w:p>
        </w:tc>
        <w:tc>
          <w:tcPr>
            <w:tcW w:w="0" w:type="auto"/>
            <w:vAlign w:val="center"/>
            <w:hideMark/>
          </w:tcPr>
          <w:p w:rsidRPr="002804B7" w:rsidR="002804B7" w:rsidP="002804B7" w:rsidRDefault="002804B7" w14:paraId="62FB904B"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Correct</w:t>
            </w:r>
          </w:p>
        </w:tc>
        <w:tc>
          <w:tcPr>
            <w:tcW w:w="0" w:type="auto"/>
            <w:vAlign w:val="center"/>
            <w:hideMark/>
          </w:tcPr>
          <w:p w:rsidRPr="002804B7" w:rsidR="002804B7" w:rsidP="002804B7" w:rsidRDefault="002804B7" w14:paraId="67DB6669"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Correct</w:t>
            </w:r>
          </w:p>
        </w:tc>
      </w:tr>
      <w:tr w:rsidRPr="002804B7" w:rsidR="002804B7" w14:paraId="3E8A3237" w14:textId="77777777">
        <w:trPr>
          <w:tblCellSpacing w:w="15" w:type="dxa"/>
        </w:trPr>
        <w:tc>
          <w:tcPr>
            <w:tcW w:w="0" w:type="auto"/>
            <w:vAlign w:val="center"/>
            <w:hideMark/>
          </w:tcPr>
          <w:p w:rsidRPr="002804B7" w:rsidR="002804B7" w:rsidP="002804B7" w:rsidRDefault="002804B7" w14:paraId="53240221"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Multi-table with clear foreign key</w:t>
            </w:r>
          </w:p>
        </w:tc>
        <w:tc>
          <w:tcPr>
            <w:tcW w:w="0" w:type="auto"/>
            <w:vAlign w:val="center"/>
            <w:hideMark/>
          </w:tcPr>
          <w:p w:rsidRPr="002804B7" w:rsidR="002804B7" w:rsidP="002804B7" w:rsidRDefault="002804B7" w14:paraId="27729D35"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Correct</w:t>
            </w:r>
          </w:p>
        </w:tc>
        <w:tc>
          <w:tcPr>
            <w:tcW w:w="0" w:type="auto"/>
            <w:vAlign w:val="center"/>
            <w:hideMark/>
          </w:tcPr>
          <w:p w:rsidRPr="002804B7" w:rsidR="002804B7" w:rsidP="002804B7" w:rsidRDefault="002804B7" w14:paraId="7305BF56"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Correct</w:t>
            </w:r>
          </w:p>
        </w:tc>
      </w:tr>
      <w:tr w:rsidRPr="002804B7" w:rsidR="002804B7" w14:paraId="0E78DA59" w14:textId="77777777">
        <w:trPr>
          <w:tblCellSpacing w:w="15" w:type="dxa"/>
        </w:trPr>
        <w:tc>
          <w:tcPr>
            <w:tcW w:w="0" w:type="auto"/>
            <w:vAlign w:val="center"/>
            <w:hideMark/>
          </w:tcPr>
          <w:p w:rsidRPr="002804B7" w:rsidR="002804B7" w:rsidP="002804B7" w:rsidRDefault="002804B7" w14:paraId="56B53814"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Multi-fact-table aggregation</w:t>
            </w:r>
          </w:p>
        </w:tc>
        <w:tc>
          <w:tcPr>
            <w:tcW w:w="0" w:type="auto"/>
            <w:vAlign w:val="center"/>
            <w:hideMark/>
          </w:tcPr>
          <w:p w:rsidRPr="002804B7" w:rsidR="002804B7" w:rsidP="002804B7" w:rsidRDefault="002804B7" w14:paraId="013537C7"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Wrong (fan-out inflation)</w:t>
            </w:r>
          </w:p>
        </w:tc>
        <w:tc>
          <w:tcPr>
            <w:tcW w:w="0" w:type="auto"/>
            <w:vAlign w:val="center"/>
            <w:hideMark/>
          </w:tcPr>
          <w:p w:rsidRPr="002804B7" w:rsidR="002804B7" w:rsidP="002804B7" w:rsidRDefault="002804B7" w14:paraId="71A97EF8"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Correct</w:t>
            </w:r>
          </w:p>
        </w:tc>
      </w:tr>
      <w:tr w:rsidRPr="002804B7" w:rsidR="002804B7" w14:paraId="4F10D0DB" w14:textId="77777777">
        <w:trPr>
          <w:tblCellSpacing w:w="15" w:type="dxa"/>
        </w:trPr>
        <w:tc>
          <w:tcPr>
            <w:tcW w:w="0" w:type="auto"/>
            <w:vAlign w:val="center"/>
            <w:hideMark/>
          </w:tcPr>
          <w:p w:rsidRPr="002804B7" w:rsidR="002804B7" w:rsidP="002804B7" w:rsidRDefault="002804B7" w14:paraId="4D5D36B6"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Bridge-table attribution</w:t>
            </w:r>
          </w:p>
        </w:tc>
        <w:tc>
          <w:tcPr>
            <w:tcW w:w="0" w:type="auto"/>
            <w:vAlign w:val="center"/>
            <w:hideMark/>
          </w:tcPr>
          <w:p w:rsidRPr="002804B7" w:rsidR="002804B7" w:rsidP="002804B7" w:rsidRDefault="002804B7" w14:paraId="0C08CEAB"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Wrong (cross-record leakage)</w:t>
            </w:r>
          </w:p>
        </w:tc>
        <w:tc>
          <w:tcPr>
            <w:tcW w:w="0" w:type="auto"/>
            <w:vAlign w:val="center"/>
            <w:hideMark/>
          </w:tcPr>
          <w:p w:rsidRPr="002804B7" w:rsidR="002804B7" w:rsidP="002804B7" w:rsidRDefault="002804B7" w14:paraId="48ED34D6" w14:textId="77777777">
            <w:pPr>
              <w:spacing w:after="0"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Correct</w:t>
            </w:r>
          </w:p>
        </w:tc>
      </w:tr>
    </w:tbl>
    <w:p w:rsidRPr="002804B7" w:rsidR="002804B7" w:rsidP="002804B7" w:rsidRDefault="002804B7" w14:paraId="5329369A" w14:textId="18168DAC">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 xml:space="preserve">Accuracy isn't the only benefit. Because Strategy Mosaic exposes a semantic API rather than the raw schema, token consumption drops 37% per query. For a 10-person team running 200 queries per day against a 200-table schema, raw text-to-SQL generates over $15,000 per month in schema context overhead before a single query executes against the data. </w:t>
      </w:r>
    </w:p>
    <w:p w:rsidRPr="002804B7" w:rsidR="002804B7" w:rsidP="002804B7" w:rsidRDefault="002804B7" w14:paraId="6F209200"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2804B7">
        <w:rPr>
          <w:rFonts w:ascii="Times New Roman" w:hAnsi="Times New Roman" w:eastAsia="Times New Roman" w:cs="Times New Roman"/>
          <w:b/>
          <w:bCs/>
          <w:kern w:val="0"/>
          <w:sz w:val="36"/>
          <w:szCs w:val="36"/>
          <w14:ligatures w14:val="none"/>
        </w:rPr>
        <w:t>How Strategy Mosaic Is Built for This Problem</w:t>
      </w:r>
    </w:p>
    <w:p w:rsidRPr="002804B7" w:rsidR="002804B7" w:rsidP="002804B7" w:rsidRDefault="002804B7" w14:paraId="4F8E04F5"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Most teams have spent the last two years trying to prompt their way out of the accuracy problem: narrowing schema scope, adding guardrails, curating context windows. The problem with that approach is that it treats the symptom. As long as the LLM generates the SQL, answers will be inconsistent across models, teams, and use cases. The same question can produce a different query on every run.</w:t>
      </w:r>
    </w:p>
    <w:p w:rsidRPr="002804B7" w:rsidR="002804B7" w:rsidP="002804B7" w:rsidRDefault="002804B7" w14:paraId="166107B1"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Strategy Mosaic's architecture separates the language problem from the query problem. The LLM handles natural language. Mosaic handles the query. SQL generation happens in Mosaic's deterministic query engine, not the LLM. Every answer derives from pre-defined business logic, not what the model happens to infer from table and column names.</w:t>
      </w:r>
    </w:p>
    <w:p w:rsidRPr="002804B7" w:rsidR="002804B7" w:rsidP="002804B7" w:rsidRDefault="002804B7" w14:paraId="2370DF3A"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Three protections in the semantic model prevent the failure modes the benchmark uncovered:</w:t>
      </w:r>
    </w:p>
    <w:p w:rsidRPr="002804B7" w:rsidR="002804B7" w:rsidP="002804B7" w:rsidRDefault="002804B7" w14:paraId="3C308A50"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b/>
          <w:bCs/>
          <w:kern w:val="0"/>
          <w14:ligatures w14:val="none"/>
        </w:rPr>
        <w:t>Fan-out protection.</w:t>
      </w:r>
      <w:r w:rsidRPr="002804B7">
        <w:rPr>
          <w:rFonts w:ascii="Times New Roman" w:hAnsi="Times New Roman" w:eastAsia="Times New Roman" w:cs="Times New Roman"/>
          <w:kern w:val="0"/>
          <w14:ligatures w14:val="none"/>
        </w:rPr>
        <w:t xml:space="preserve"> Fact tables are isolated at the semantic model level. Coverage and claim metrics compute via independent canonical paths. Results combine only as pre-aggregated values at the correct grain. The multiplicative error that inflated the PostgreSQL result by 8-10x cannot form.</w:t>
      </w:r>
    </w:p>
    <w:p w:rsidRPr="002804B7" w:rsidR="002804B7" w:rsidP="002804B7" w:rsidRDefault="002804B7" w14:paraId="2D36FB87"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b/>
          <w:bCs/>
          <w:kern w:val="0"/>
          <w14:ligatures w14:val="none"/>
        </w:rPr>
        <w:t>Canonical bridge routing.</w:t>
      </w:r>
      <w:r w:rsidRPr="002804B7">
        <w:rPr>
          <w:rFonts w:ascii="Times New Roman" w:hAnsi="Times New Roman" w:eastAsia="Times New Roman" w:cs="Times New Roman"/>
          <w:kern w:val="0"/>
          <w14:ligatures w14:val="none"/>
        </w:rPr>
        <w:t xml:space="preserve"> The semantic model encodes one authoritative join path for each entity relationship. Every query, regardless of user or LLM, follows the same validated route. The plausible-but-incorrect shortcut that produced cross-policy misattribution in direct SQL isn't available.</w:t>
      </w:r>
    </w:p>
    <w:p w:rsidRPr="002804B7" w:rsidR="002804B7" w:rsidP="002804B7" w:rsidRDefault="002804B7" w14:paraId="315C2311"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b/>
          <w:bCs/>
          <w:kern w:val="0"/>
          <w14:ligatures w14:val="none"/>
        </w:rPr>
        <w:t>Compressed semantic context.</w:t>
      </w:r>
      <w:r w:rsidRPr="002804B7">
        <w:rPr>
          <w:rFonts w:ascii="Times New Roman" w:hAnsi="Times New Roman" w:eastAsia="Times New Roman" w:cs="Times New Roman"/>
          <w:kern w:val="0"/>
          <w14:ligatures w14:val="none"/>
        </w:rPr>
        <w:t xml:space="preserve"> Instead of the full raw schema (4,428 tokens for a 28-table model), Mosaic returns business-friendly definitions and validated relationships (2,073 tokens). The SQL generated from this context is simpler, more precise, and 37% cheaper per query.</w:t>
      </w:r>
    </w:p>
    <w:p w:rsidR="00FB6BF9" w:rsidP="00FB6BF9" w:rsidRDefault="00FB6BF9" w14:paraId="622B68F6" w14:textId="77777777">
      <w:pPr>
        <w:pStyle w:val="font-claude-response-body"/>
      </w:pPr>
      <w:r>
        <w:t>When Forrester's June 2026 report evaluated the Headless BI landscape, it highlighted a critical structural shift: the decoupling of business logic from the traditional visualization layer. But for the modern enterprise, "headless" cannot just mean serving decoupled metrics back to human dashboards.</w:t>
      </w:r>
    </w:p>
    <w:p w:rsidR="00FB6BF9" w:rsidP="00FB6BF9" w:rsidRDefault="00FB6BF9" w14:paraId="36669C94" w14:textId="77777777">
      <w:pPr>
        <w:pStyle w:val="font-claude-response-body"/>
      </w:pPr>
      <w:r>
        <w:t>A true universal semantic layer must operate completely standalone, sitting above any individual BI tool, LLM, or cloud warehouse. That architectural independence is what transforms Strategy Mosaic from a standard data modeling utility into a true control plane for enterprise AI analytics.</w:t>
      </w:r>
    </w:p>
    <w:p w:rsidRPr="002804B7" w:rsidR="002804B7" w:rsidP="002804B7" w:rsidRDefault="002804B7" w14:paraId="18888736"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2804B7">
        <w:rPr>
          <w:rFonts w:ascii="Times New Roman" w:hAnsi="Times New Roman" w:eastAsia="Times New Roman" w:cs="Times New Roman"/>
          <w:b/>
          <w:bCs/>
          <w:kern w:val="0"/>
          <w:sz w:val="36"/>
          <w:szCs w:val="36"/>
          <w14:ligatures w14:val="none"/>
        </w:rPr>
        <w:t>What This Means for Your AI Analytics Stack</w:t>
      </w:r>
    </w:p>
    <w:p w:rsidRPr="002804B7" w:rsidR="002804B7" w:rsidP="007D6BBF" w:rsidRDefault="007D6BBF" w14:paraId="48B7E634" w14:textId="590D1C24">
      <w:pPr>
        <w:spacing w:before="100" w:beforeAutospacing="1" w:after="100" w:afterAutospacing="1" w:line="240" w:lineRule="auto"/>
        <w:rPr>
          <w:rFonts w:ascii="Times New Roman" w:hAnsi="Times New Roman" w:eastAsia="Times New Roman" w:cs="Times New Roman"/>
          <w:kern w:val="0"/>
          <w14:ligatures w14:val="none"/>
        </w:rPr>
      </w:pPr>
      <w:r w:rsidRPr="007D6BBF">
        <w:rPr>
          <w:rFonts w:ascii="Times New Roman" w:hAnsi="Times New Roman" w:eastAsia="Times New Roman" w:cs="Times New Roman"/>
          <w:kern w:val="0"/>
          <w14:ligatures w14:val="none"/>
        </w:rPr>
        <w:t>Forrester’s 70–80% benchmark range shows the baseline AI accuracy challenge. Our direct text-to-SQL benchmark shows the deeper enterprise risk: 88.2% overall accuracy still masked 0% accuracy on complex multi-table queries</w:t>
      </w:r>
      <w:commentRangeStart w:id="4"/>
      <w:r w:rsidRPr="007D6BBF" w:rsidR="002804B7">
        <w:rPr>
          <w:rFonts w:ascii="Times New Roman" w:hAnsi="Times New Roman" w:eastAsia="Times New Roman" w:cs="Times New Roman"/>
          <w:kern w:val="0"/>
          <w14:ligatures w14:val="none"/>
        </w:rPr>
        <w:t>.</w:t>
      </w:r>
      <w:r w:rsidRPr="002804B7" w:rsidR="002804B7">
        <w:rPr>
          <w:rFonts w:ascii="Times New Roman" w:hAnsi="Times New Roman" w:eastAsia="Times New Roman" w:cs="Times New Roman"/>
          <w:kern w:val="0"/>
          <w14:ligatures w14:val="none"/>
        </w:rPr>
        <w:t xml:space="preserve"> </w:t>
      </w:r>
      <w:commentRangeEnd w:id="4"/>
      <w:r w:rsidRPr="002804B7" w:rsidR="002804B7">
        <w:rPr>
          <w:rStyle w:val="CommentReference"/>
          <w:rFonts w:ascii="Times New Roman" w:hAnsi="Times New Roman" w:eastAsia="Times New Roman" w:cs="Times New Roman"/>
          <w:kern w:val="0"/>
          <w:sz w:val="24"/>
          <w:szCs w:val="24"/>
          <w14:ligatures w14:val="none"/>
        </w:rPr>
        <w:commentReference w:id="4"/>
      </w:r>
      <w:r w:rsidRPr="002804B7" w:rsidR="002804B7">
        <w:rPr>
          <w:rFonts w:ascii="Times New Roman" w:hAnsi="Times New Roman" w:eastAsia="Times New Roman" w:cs="Times New Roman"/>
          <w:kern w:val="0"/>
          <w14:ligatures w14:val="none"/>
        </w:rPr>
        <w:t>It's structural. LLMs generate SQL by reasoning about schemas they can't fully understand, and on complex queries, that reasoning produces confident, wrong answers.</w:t>
      </w:r>
    </w:p>
    <w:p w:rsidRPr="002804B7" w:rsidR="002804B7" w:rsidP="002804B7" w:rsidRDefault="002804B7" w14:paraId="52072C96"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Removing the LLM from SQL generation is the fix. Ground natural language questions in governed business context, generate SQL from verified contracts, and the accuracy problem resolves at the architecture level rather than the prompt level.</w:t>
      </w:r>
    </w:p>
    <w:p w:rsidRPr="002804B7" w:rsidR="002804B7" w:rsidP="002804B7" w:rsidRDefault="002804B7" w14:paraId="78464C35"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kern w:val="0"/>
          <w14:ligatures w14:val="none"/>
        </w:rPr>
        <w:t>Our benchmark found 100% accuracy when queries ran through Strategy Mosaic on a real insurance schema. Forrester's 2026 report recommends exactly this architecture. Enterprise data teams now have both third-party validation and first-party evidence pointing to the same conclusion: 88.2% accuracy is not good enough, and the path to 100% runs through the semantic layer.</w:t>
      </w:r>
    </w:p>
    <w:p w:rsidRPr="002804B7" w:rsidR="002804B7" w:rsidP="087A4F40" w:rsidRDefault="002804B7" w14:textId="77777777" w14:paraId="1849FFF1">
      <w:pPr>
        <w:spacing w:before="100" w:beforeAutospacing="on" w:after="100" w:afterAutospacing="on" w:line="240" w:lineRule="auto"/>
        <w:rPr>
          <w:rFonts w:ascii="Times New Roman" w:hAnsi="Times New Roman" w:eastAsia="Times New Roman" w:cs="Times New Roman"/>
          <w:kern w:val="0"/>
          <w14:ligatures w14:val="none"/>
        </w:rPr>
      </w:pPr>
      <w:r w:rsidRPr="002804B7" w:rsidR="7AEAFA0B">
        <w:rPr>
          <w:rFonts w:ascii="Times New Roman" w:hAnsi="Times New Roman" w:eastAsia="Times New Roman" w:cs="Times New Roman"/>
          <w:kern w:val="0"/>
          <w14:ligatures w14:val="none"/>
        </w:rPr>
        <w:t>[Explore how Strategy Mosaic handles complex enterprise queries. Request a demo.] [VERIFY BEFORE PUBLISH: confirm URL /demo or /software/mosaic]</w:t>
      </w:r>
    </w:p>
    <w:p w:rsidRPr="002804B7" w:rsidR="002804B7" w:rsidP="002804B7" w:rsidRDefault="007D6BBF" w14:paraId="15A2A0B4" w14:textId="2B40260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noProof/>
          <w:kern w:val="0"/>
        </w:rPr>
        <w:pict w14:anchorId="4837A795">
          <v:rect id="_x0000_i1025" style="width:468pt;height:.05pt" o:hr="t" o:hrstd="t" o:hralign="center" fillcolor="#a0a0a0" stroked="f"/>
        </w:pict>
      </w:r>
    </w:p>
    <w:p w:rsidRPr="002804B7" w:rsidR="002804B7" w:rsidP="002804B7" w:rsidRDefault="002804B7" w14:paraId="1AFBD9FB"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2804B7">
        <w:rPr>
          <w:rFonts w:ascii="Times New Roman" w:hAnsi="Times New Roman" w:eastAsia="Times New Roman" w:cs="Times New Roman"/>
          <w:b/>
          <w:bCs/>
          <w:kern w:val="0"/>
          <w:sz w:val="36"/>
          <w:szCs w:val="36"/>
          <w14:ligatures w14:val="none"/>
        </w:rPr>
        <w:t>Frequently Asked Questions</w:t>
      </w:r>
    </w:p>
    <w:p w:rsidRPr="002804B7" w:rsidR="002804B7" w:rsidP="002804B7" w:rsidRDefault="002804B7" w14:paraId="4AE63BB0"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b/>
          <w:bCs/>
          <w:kern w:val="0"/>
          <w14:ligatures w14:val="none"/>
        </w:rPr>
        <w:t>Q: How accurate is LLM-generated SQL on enterprise data?</w:t>
      </w:r>
      <w:r w:rsidRPr="002804B7">
        <w:rPr>
          <w:rFonts w:ascii="Times New Roman" w:hAnsi="Times New Roman" w:eastAsia="Times New Roman" w:cs="Times New Roman"/>
          <w:kern w:val="0"/>
          <w14:ligatures w14:val="none"/>
        </w:rPr>
        <w:t xml:space="preserve"> A: According to Forrester Research's June 2026 report, LLMs achieve 70-80% text-to-SQL accuracy on standard benchmarks under controlled conditions, with accuracy degrading further on real enterprise schemas involving multi-table joins and ambiguous business terms. Strategy Software's benchmark found 88.2% accuracy with direct text-to-SQL against a 28-table insurance data model, with the 2 failed queries returning results 5-10x inflated from the correct answer.</w:t>
      </w:r>
    </w:p>
    <w:p w:rsidRPr="002804B7" w:rsidR="002804B7" w:rsidP="087A4F40" w:rsidRDefault="002804B7" w14:paraId="7D8CB00B" w14:textId="7A7B4C70">
      <w:pPr>
        <w:spacing w:before="100" w:beforeAutospacing="on" w:after="100" w:afterAutospacing="on" w:line="240" w:lineRule="auto"/>
        <w:rPr>
          <w:rFonts w:ascii="Times New Roman" w:hAnsi="Times New Roman" w:eastAsia="Times New Roman" w:cs="Times New Roman"/>
          <w:kern w:val="0"/>
          <w14:ligatures w14:val="none"/>
        </w:rPr>
      </w:pPr>
      <w:r w:rsidRPr="002804B7" w:rsidR="7AEAFA0B">
        <w:rPr>
          <w:rFonts w:ascii="Times New Roman" w:hAnsi="Times New Roman" w:eastAsia="Times New Roman" w:cs="Times New Roman"/>
          <w:b w:val="1"/>
          <w:bCs w:val="1"/>
          <w:kern w:val="0"/>
          <w14:ligatures w14:val="none"/>
        </w:rPr>
        <w:t>Q: How does a semantic layer improve text-to-SQL accuracy?</w:t>
      </w:r>
      <w:r w:rsidRPr="002804B7" w:rsidR="7AEAFA0B">
        <w:rPr>
          <w:rFonts w:ascii="Times New Roman" w:hAnsi="Times New Roman" w:eastAsia="Times New Roman" w:cs="Times New Roman"/>
          <w:kern w:val="0"/>
          <w14:ligatures w14:val="none"/>
        </w:rPr>
        <w:t xml:space="preserve"> A: A semantic layer improves text-to-SQL accuracy by encoding the correct join paths, metric definitions, and business logic into a governed model, so SQL is generated from verified contracts rather than inferred from column names at query time. </w:t>
      </w:r>
      <w:r w:rsidRPr="002804B7" w:rsidR="7AEAFA0B">
        <w:rPr>
          <w:rFonts w:ascii="Times New Roman" w:hAnsi="Times New Roman" w:eastAsia="Times New Roman" w:cs="Times New Roman"/>
          <w:kern w:val="0"/>
          <w14:ligatures w14:val="none"/>
        </w:rPr>
        <w:t>Strategy Mosaic achieved 100% accuracy on the same 17-question benchmark where direct</w:t>
      </w:r>
      <w:r w:rsidRPr="002804B7" w:rsidR="7AEAFA0B">
        <w:rPr>
          <w:rFonts w:ascii="Times New Roman" w:hAnsi="Times New Roman" w:eastAsia="Times New Roman" w:cs="Times New Roman"/>
          <w:kern w:val="0"/>
          <w14:ligatures w14:val="none"/>
        </w:rPr>
        <w:t xml:space="preserve"> text-to-SQ</w:t>
      </w:r>
      <w:r w:rsidRPr="002804B7" w:rsidR="7AEAFA0B">
        <w:rPr>
          <w:rFonts w:ascii="Times New Roman" w:hAnsi="Times New Roman" w:eastAsia="Times New Roman" w:cs="Times New Roman"/>
          <w:kern w:val="0"/>
          <w14:ligatures w14:val="none"/>
        </w:rPr>
        <w:t>L returned wrong answers on 2 queries. Forrester Research's 2026 report recommends exactly this architecture, identifying the semantic layer as the path to 100% NL-to-SQL accuracy.</w:t>
      </w:r>
    </w:p>
    <w:p w:rsidRPr="002804B7" w:rsidR="002804B7" w:rsidP="087A4F40" w:rsidRDefault="002804B7" w14:paraId="194A7F6C" w14:textId="3D47EDC3">
      <w:pPr>
        <w:spacing w:before="100" w:beforeAutospacing="on" w:after="100" w:afterAutospacing="on" w:line="240" w:lineRule="auto"/>
        <w:rPr>
          <w:rFonts w:ascii="Times New Roman" w:hAnsi="Times New Roman" w:eastAsia="Times New Roman" w:cs="Times New Roman"/>
          <w:kern w:val="0"/>
          <w14:ligatures w14:val="none"/>
        </w:rPr>
      </w:pPr>
      <w:r w:rsidRPr="002804B7" w:rsidR="7AEAFA0B">
        <w:rPr>
          <w:rFonts w:ascii="Times New Roman" w:hAnsi="Times New Roman" w:eastAsia="Times New Roman" w:cs="Times New Roman"/>
          <w:b w:val="1"/>
          <w:bCs w:val="1"/>
          <w:kern w:val="0"/>
          <w14:ligatures w14:val="none"/>
        </w:rPr>
        <w:t>Q: What causes wrong answers in AI-generated SQL on complex enterprise queries?</w:t>
      </w:r>
      <w:r w:rsidRPr="002804B7" w:rsidR="7AEAFA0B">
        <w:rPr>
          <w:rFonts w:ascii="Times New Roman" w:hAnsi="Times New Roman" w:eastAsia="Times New Roman" w:cs="Times New Roman"/>
          <w:kern w:val="0"/>
          <w14:ligatures w14:val="none"/>
        </w:rPr>
        <w:t xml:space="preserve"> A: The most common failure modes are fan-out errors and incorrect join path selection. Fan-out occurs when a join multiplies rows before aggregation, inflating totals by the number of matching rows. Incorrect join path selection happens when the LLM chooses a plausible but wrong route through bridge tables, producing results attributed to the wrong record. Neither failure triggers a SQL error. </w:t>
      </w:r>
      <w:r w:rsidRPr="002804B7" w:rsidR="7AEAFA0B">
        <w:rPr>
          <w:rFonts w:ascii="Times New Roman" w:hAnsi="Times New Roman" w:eastAsia="Times New Roman" w:cs="Times New Roman"/>
          <w:kern w:val="0"/>
          <w14:ligatures w14:val="none"/>
        </w:rPr>
        <w:t>Strategy Mosaic prevents both by isolating fact tables in</w:t>
      </w:r>
      <w:r w:rsidRPr="002804B7" w:rsidR="7AEAFA0B">
        <w:rPr>
          <w:rFonts w:ascii="Times New Roman" w:hAnsi="Times New Roman" w:eastAsia="Times New Roman" w:cs="Times New Roman"/>
          <w:kern w:val="0"/>
          <w14:ligatures w14:val="none"/>
        </w:rPr>
        <w:t xml:space="preserve"> the se</w:t>
      </w:r>
      <w:r w:rsidRPr="002804B7" w:rsidR="7AEAFA0B">
        <w:rPr>
          <w:rFonts w:ascii="Times New Roman" w:hAnsi="Times New Roman" w:eastAsia="Times New Roman" w:cs="Times New Roman"/>
          <w:kern w:val="0"/>
          <w14:ligatures w14:val="none"/>
        </w:rPr>
        <w:t>mantic model and encoding the single authoritative join path for each entity relationship.</w:t>
      </w:r>
    </w:p>
    <w:p w:rsidRPr="002804B7" w:rsidR="002804B7" w:rsidP="002804B7" w:rsidRDefault="002804B7" w14:paraId="5A071B97"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b/>
          <w:bCs/>
          <w:kern w:val="0"/>
          <w14:ligatures w14:val="none"/>
        </w:rPr>
        <w:t>Q: Does routing queries through a semantic layer reduce AI token costs?</w:t>
      </w:r>
      <w:r w:rsidRPr="002804B7">
        <w:rPr>
          <w:rFonts w:ascii="Times New Roman" w:hAnsi="Times New Roman" w:eastAsia="Times New Roman" w:cs="Times New Roman"/>
          <w:kern w:val="0"/>
          <w14:ligatures w14:val="none"/>
        </w:rPr>
        <w:t xml:space="preserve"> A: Yes. Strategy Software's benchmark found that routing queries through Strategy Mosaic's semantic API reduced token consumption by 37% per query compared to direct text-to-SQL, because Mosaic exposes compressed, business-relevant context instead of the full raw schema. For a 10-person team running 200 queries per day against a 200-table schema, raw text-to-SQL generates over $15,000 per month in schema context overhead. Strategy Software's AI Agents, which route through Mosaic's governed context, reduce that overhead by approximately 98%.</w:t>
      </w:r>
    </w:p>
    <w:p w:rsidRPr="002804B7" w:rsidR="002804B7" w:rsidP="002804B7" w:rsidRDefault="002804B7" w14:paraId="5DBA4306"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b/>
          <w:bCs/>
          <w:kern w:val="0"/>
          <w14:ligatures w14:val="none"/>
        </w:rPr>
        <w:t>Q: What is Strategy Mosaic and how does it work for AI analytics?</w:t>
      </w:r>
      <w:r w:rsidRPr="002804B7">
        <w:rPr>
          <w:rFonts w:ascii="Times New Roman" w:hAnsi="Times New Roman" w:eastAsia="Times New Roman" w:cs="Times New Roman"/>
          <w:kern w:val="0"/>
          <w14:ligatures w14:val="none"/>
        </w:rPr>
        <w:t xml:space="preserve"> A: Strategy Mosaic is the enterprise semantic layer from Strategy Software, built to give AI the business context it needs to generate accurate, consistent queries. Rather than exposing raw schemas to LLMs, Strategy Mosaic presents governed metric definitions, dimension structures, and validated join logic via a semantic API. The LLM handles the natural language. Mosaic generates the SQL, deterministically, so the same question returns the same answer regardless of which LLM or user submits it. Strategy Mosaic connects to 200+ data sources and applies the same governance to BI tools, AI agents, and embedded analytics simultaneously.</w:t>
      </w:r>
    </w:p>
    <w:p w:rsidRPr="002804B7" w:rsidR="002804B7" w:rsidP="002804B7" w:rsidRDefault="007D6BBF" w14:paraId="4DAA2ED8" w14:textId="56FFF7F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noProof/>
          <w:kern w:val="0"/>
        </w:rPr>
        <w:pict w14:anchorId="712400ED">
          <v:rect id="_x0000_i1026" style="width:468pt;height:.05pt" o:hr="t" o:hrstd="t" o:hralign="center" fillcolor="#a0a0a0" stroked="f"/>
        </w:pict>
      </w:r>
    </w:p>
    <w:p w:rsidRPr="002804B7" w:rsidR="002804B7" w:rsidP="002804B7" w:rsidRDefault="002804B7" w14:paraId="14D4035E" w14:textId="77777777">
      <w:pPr>
        <w:spacing w:before="100" w:beforeAutospacing="1" w:after="100" w:afterAutospacing="1" w:line="240" w:lineRule="auto"/>
        <w:rPr>
          <w:rFonts w:ascii="Times New Roman" w:hAnsi="Times New Roman" w:eastAsia="Times New Roman" w:cs="Times New Roman"/>
          <w:kern w:val="0"/>
          <w14:ligatures w14:val="none"/>
        </w:rPr>
      </w:pPr>
      <w:r w:rsidRPr="002804B7">
        <w:rPr>
          <w:rFonts w:ascii="Times New Roman" w:hAnsi="Times New Roman" w:eastAsia="Times New Roman" w:cs="Times New Roman"/>
          <w:b/>
          <w:bCs/>
          <w:kern w:val="0"/>
          <w14:ligatures w14:val="none"/>
        </w:rPr>
        <w:t>Meta description:</w:t>
      </w:r>
      <w:r w:rsidRPr="002804B7">
        <w:rPr>
          <w:rFonts w:ascii="Times New Roman" w:hAnsi="Times New Roman" w:eastAsia="Times New Roman" w:cs="Times New Roman"/>
          <w:kern w:val="0"/>
          <w14:ligatures w14:val="none"/>
        </w:rPr>
        <w:t xml:space="preserve"> LLMs hit 70-80% text-to-SQL accuracy on controlled benchmarks, Forrester confirms. Strategy Software's real-world test found 88.2%, with wrong answers 5-10x inflated. The fix is architectural.</w:t>
      </w:r>
    </w:p>
    <w:p w:rsidRPr="002804B7" w:rsidR="002804B7" w:rsidP="002804B7" w:rsidRDefault="002804B7" w14:paraId="2DFF4E37" w14:textId="77777777"/>
    <w:sectPr w:rsidRPr="002804B7" w:rsidR="002804B7">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H" w:author="Guo, Henry" w:date="2026-06-09T12:17:00Z" w:id="0">
    <w:p w:rsidR="00105D26" w:rsidRDefault="00306FD4" w14:paraId="16CC9C67" w14:textId="6B642A60">
      <w:r>
        <w:annotationRef/>
      </w:r>
      <w:r w:rsidRPr="466749A6" w:rsidR="00105D26">
        <w:t xml:space="preserve">The current title 70-80% accuracy doesn't state accuracy for what. </w:t>
      </w:r>
    </w:p>
    <w:p w:rsidR="00105D26" w:rsidRDefault="00105D26" w14:paraId="7A2513B6" w14:textId="4D171A8C"/>
    <w:p w:rsidR="00105D26" w:rsidRDefault="00105D26" w14:paraId="708CD80C" w14:textId="08A271C2">
      <w:r w:rsidRPr="661540FE">
        <w:t>Suggested title:</w:t>
      </w:r>
    </w:p>
    <w:p w:rsidR="00105D26" w:rsidRDefault="00105D26" w14:paraId="0FBDEE77" w14:textId="1F32F010"/>
    <w:p w:rsidR="00105D26" w:rsidRDefault="00105D26" w14:paraId="03083D72" w14:textId="4E510EBF">
      <w:r w:rsidRPr="0AB6B9FE">
        <w:rPr>
          <w:b/>
          <w:bCs/>
        </w:rPr>
        <w:t>Forrester Says 70–80% AI Accuracy Isn’t Good Enough for Enterprise Analytics. We Agree.</w:t>
      </w:r>
    </w:p>
    <w:p w:rsidR="00105D26" w:rsidRDefault="00105D26" w14:paraId="335FA6DF" w14:textId="7B8E43B4"/>
    <w:p w:rsidR="00105D26" w:rsidRDefault="00105D26" w14:paraId="1128AF07" w14:textId="670FB5AE">
      <w:r w:rsidRPr="640C2DB9">
        <w:t>It is longer but more clarity on what this is about</w:t>
      </w:r>
    </w:p>
    <w:p w:rsidR="00105D26" w:rsidRDefault="00105D26" w14:paraId="2FA7FD74" w14:textId="3B03006A">
      <w:r>
        <w:fldChar w:fldCharType="begin"/>
      </w:r>
      <w:r>
        <w:instrText xml:space="preserve"> HYPERLINK "mailto:lburger@strategy.com"</w:instrText>
      </w:r>
      <w:bookmarkStart w:name="_@_BEF0B0C7379B4F23BFED27E41892CF03Z" w:id="2"/>
      <w:r>
        <w:fldChar w:fldCharType="separate"/>
      </w:r>
      <w:bookmarkEnd w:id="2"/>
      <w:r w:rsidRPr="4D8E9741">
        <w:rPr>
          <w:noProof/>
        </w:rPr>
        <w:t>@Burger O'Connor, Lauren</w:t>
      </w:r>
      <w:r>
        <w:fldChar w:fldCharType="end"/>
      </w:r>
    </w:p>
  </w:comment>
  <w:comment w:initials="BOL" w:author="Burger O'Connor, Lauren" w:date="2026-06-10T09:20:00Z" w:id="1">
    <w:p w:rsidR="007D6BBF" w:rsidP="007D6BBF" w:rsidRDefault="007D6BBF" w14:paraId="535FA4D9" w14:textId="77777777">
      <w:r>
        <w:rPr>
          <w:rStyle w:val="CommentReference"/>
        </w:rPr>
        <w:annotationRef/>
      </w:r>
      <w:r>
        <w:rPr>
          <w:sz w:val="20"/>
          <w:szCs w:val="20"/>
        </w:rPr>
        <w:t>I think it's a little too much, I'm going to keep the original</w:t>
      </w:r>
    </w:p>
  </w:comment>
  <w:comment w:initials="GH" w:author="Guo, Henry" w:date="2026-06-09T12:33:00Z" w:id="4">
    <w:p w:rsidR="003E6BBA" w:rsidRDefault="003E6BBA" w14:paraId="2AB218D5" w14:textId="27DC07E6">
      <w:r>
        <w:annotationRef/>
      </w:r>
      <w:r w:rsidRPr="6B8734CC">
        <w:t xml:space="preserve">This sentence is somewhat confusing as written. </w:t>
      </w:r>
    </w:p>
    <w:p w:rsidR="003E6BBA" w:rsidRDefault="003E6BBA" w14:paraId="4E26F2D2" w14:textId="176696DE"/>
    <w:p w:rsidR="003E6BBA" w:rsidRDefault="003E6BBA" w14:paraId="22BBACBE" w14:textId="279BDC0A">
      <w:r w:rsidRPr="60D91AE7">
        <w:t xml:space="preserve">Suggestion: </w:t>
      </w:r>
    </w:p>
    <w:p w:rsidR="003E6BBA" w:rsidRDefault="003E6BBA" w14:paraId="74736704" w14:textId="394A5911"/>
    <w:p w:rsidR="003E6BBA" w:rsidRDefault="003E6BBA" w14:paraId="39E0467E" w14:textId="084AA618">
      <w:r w:rsidRPr="25309C96">
        <w:t>Forrester’s 70–80% benchmark range shows the baseline AI accuracy challenge. Our direct text-to-SQL benchmark shows the deeper enterprise risk: 88.2% overall accuracy still masked 0% accuracy on complex multi-table queries.</w:t>
      </w:r>
    </w:p>
  </w:comment>
  <w:comment xmlns:w="http://schemas.openxmlformats.org/wordprocessingml/2006/main" w:initials="SB" w:author="Socha, Beata" w:date="2026-06-12T18:24:55" w:id="502213917">
    <w:p xmlns:w14="http://schemas.microsoft.com/office/word/2010/wordml" xmlns:w="http://schemas.openxmlformats.org/wordprocessingml/2006/main" w:rsidR="027B4D73" w:rsidRDefault="11C647D6" w14:paraId="4AF4697C" w14:textId="7EAA9E0D">
      <w:pPr>
        <w:pStyle w:val="CommentText"/>
      </w:pPr>
      <w:r>
        <w:rPr>
          <w:rStyle w:val="CommentReference"/>
        </w:rPr>
        <w:annotationRef/>
      </w:r>
      <w:r w:rsidRPr="2240B56D" w:rsidR="1DFB9723">
        <w:t>Link to report LP</w:t>
      </w:r>
    </w:p>
  </w:comment>
</w:comments>
</file>

<file path=word/commentsExtended.xml><?xml version="1.0" encoding="utf-8"?>
<w15:commentsEx xmlns:mc="http://schemas.openxmlformats.org/markup-compatibility/2006" xmlns:w15="http://schemas.microsoft.com/office/word/2012/wordml" mc:Ignorable="w15">
  <w15:commentEx w15:done="1" w15:paraId="2FA7FD74"/>
  <w15:commentEx w15:done="1" w15:paraId="535FA4D9" w15:paraIdParent="2FA7FD74"/>
  <w15:commentEx w15:done="1" w15:paraId="39E0467E"/>
  <w15:commentEx w15:done="0" w15:paraId="4AF4697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FA07320" w16cex:dateUtc="2026-06-09T16:17:00Z">
    <w16cex:extLst>
      <w16:ext w16:uri="{CE6994B0-6A32-4C9F-8C6B-6E91EDA988CE}">
        <cr:reactions xmlns:cr="http://schemas.microsoft.com/office/comments/2020/reactions">
          <cr:reaction reactionType="1">
            <cr:reactionInfo dateUtc="2026-06-10T13:18:42Z">
              <cr:user userId="S::lburger@strategy.com::deb495d9-dbc3-464e-9b9b-5f13543f18cf" userProvider="AD" userName="Burger O'Connor, Lauren"/>
            </cr:reactionInfo>
          </cr:reaction>
        </cr:reactions>
      </w16:ext>
    </w16cex:extLst>
  </w16cex:commentExtensible>
  <w16cex:commentExtensible w16cex:durableId="33E8028C" w16cex:dateUtc="2026-06-10T13:20:00Z"/>
  <w16cex:commentExtensible w16cex:durableId="5B85CE7D" w16cex:dateUtc="2026-06-09T16:33:00Z"/>
  <w16cex:commentExtensible w16cex:durableId="78E549CB" w16cex:dateUtc="2026-06-12T16:24:55.286Z"/>
</w16cex:commentsExtensible>
</file>

<file path=word/commentsIds.xml><?xml version="1.0" encoding="utf-8"?>
<w16cid:commentsIds xmlns:mc="http://schemas.openxmlformats.org/markup-compatibility/2006" xmlns:w16cid="http://schemas.microsoft.com/office/word/2016/wordml/cid" mc:Ignorable="w16cid">
  <w16cid:commentId w16cid:paraId="2FA7FD74" w16cid:durableId="1FA07320"/>
  <w16cid:commentId w16cid:paraId="535FA4D9" w16cid:durableId="33E8028C"/>
  <w16cid:commentId w16cid:paraId="39E0467E" w16cid:durableId="5B85CE7D"/>
  <w16cid:commentId w16cid:paraId="4AF4697C" w16cid:durableId="78E549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mc="http://schemas.openxmlformats.org/markup-compatibility/2006" xmlns:w15="http://schemas.microsoft.com/office/word/2012/wordml" mc:Ignorable="w15">
  <w15:person w15:author="Guo, Henry">
    <w15:presenceInfo w15:providerId="AD" w15:userId="S::heguo@strategy.com::72097768-3581-41c1-b822-d7ca357a575e"/>
  </w15:person>
  <w15:person w15:author="Burger O'Connor, Lauren">
    <w15:presenceInfo w15:providerId="AD" w15:userId="S::lburger@strategy.com::deb495d9-dbc3-464e-9b9b-5f13543f18cf"/>
  </w15:person>
  <w15:person w15:author="Socha, Beata">
    <w15:presenceInfo w15:providerId="AD" w15:userId="S::bsocha@strategy.com::77e238ca-dd2e-4059-842a-3c6835482a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B7"/>
    <w:rsid w:val="00000FBE"/>
    <w:rsid w:val="00080F49"/>
    <w:rsid w:val="00093E64"/>
    <w:rsid w:val="000B2639"/>
    <w:rsid w:val="000C6D48"/>
    <w:rsid w:val="00105D26"/>
    <w:rsid w:val="0012100A"/>
    <w:rsid w:val="001F7FEE"/>
    <w:rsid w:val="00211875"/>
    <w:rsid w:val="002526EE"/>
    <w:rsid w:val="00255C72"/>
    <w:rsid w:val="00256738"/>
    <w:rsid w:val="00271BD5"/>
    <w:rsid w:val="002804B7"/>
    <w:rsid w:val="002932CE"/>
    <w:rsid w:val="00294259"/>
    <w:rsid w:val="002F50A8"/>
    <w:rsid w:val="00300106"/>
    <w:rsid w:val="00306FD4"/>
    <w:rsid w:val="00322B5D"/>
    <w:rsid w:val="003743BE"/>
    <w:rsid w:val="00382D0F"/>
    <w:rsid w:val="003A59EF"/>
    <w:rsid w:val="003C7452"/>
    <w:rsid w:val="003E6BBA"/>
    <w:rsid w:val="004034B7"/>
    <w:rsid w:val="00425261"/>
    <w:rsid w:val="00486D21"/>
    <w:rsid w:val="004C0E40"/>
    <w:rsid w:val="004CF7EC"/>
    <w:rsid w:val="004D22D4"/>
    <w:rsid w:val="004F388B"/>
    <w:rsid w:val="0053080B"/>
    <w:rsid w:val="00541204"/>
    <w:rsid w:val="00547B09"/>
    <w:rsid w:val="00584D78"/>
    <w:rsid w:val="005A6003"/>
    <w:rsid w:val="005B3DBE"/>
    <w:rsid w:val="005E2EA2"/>
    <w:rsid w:val="00631CED"/>
    <w:rsid w:val="00675E7E"/>
    <w:rsid w:val="006D36FF"/>
    <w:rsid w:val="006E1360"/>
    <w:rsid w:val="006E55BB"/>
    <w:rsid w:val="00712683"/>
    <w:rsid w:val="00723C7C"/>
    <w:rsid w:val="007C3278"/>
    <w:rsid w:val="007D68AB"/>
    <w:rsid w:val="007D6BBF"/>
    <w:rsid w:val="00803E0F"/>
    <w:rsid w:val="00861A6D"/>
    <w:rsid w:val="00872AA7"/>
    <w:rsid w:val="008E4427"/>
    <w:rsid w:val="0098373A"/>
    <w:rsid w:val="00991BCA"/>
    <w:rsid w:val="009B45E1"/>
    <w:rsid w:val="009D6704"/>
    <w:rsid w:val="00A30732"/>
    <w:rsid w:val="00A34522"/>
    <w:rsid w:val="00A53B36"/>
    <w:rsid w:val="00A6294D"/>
    <w:rsid w:val="00A815C4"/>
    <w:rsid w:val="00A9769A"/>
    <w:rsid w:val="00AA19B3"/>
    <w:rsid w:val="00AD2280"/>
    <w:rsid w:val="00AD74AA"/>
    <w:rsid w:val="00AE38F6"/>
    <w:rsid w:val="00AF4AA5"/>
    <w:rsid w:val="00B03C4A"/>
    <w:rsid w:val="00B11D4C"/>
    <w:rsid w:val="00B36773"/>
    <w:rsid w:val="00B73146"/>
    <w:rsid w:val="00B81972"/>
    <w:rsid w:val="00BA3382"/>
    <w:rsid w:val="00C02AC9"/>
    <w:rsid w:val="00C773A1"/>
    <w:rsid w:val="00C86E0D"/>
    <w:rsid w:val="00C93432"/>
    <w:rsid w:val="00CA219B"/>
    <w:rsid w:val="00D82756"/>
    <w:rsid w:val="00D85F48"/>
    <w:rsid w:val="00D94597"/>
    <w:rsid w:val="00DE522E"/>
    <w:rsid w:val="00DE53ED"/>
    <w:rsid w:val="00DF1B6D"/>
    <w:rsid w:val="00E101FD"/>
    <w:rsid w:val="00E1203E"/>
    <w:rsid w:val="00E34501"/>
    <w:rsid w:val="00E42400"/>
    <w:rsid w:val="00E76B6C"/>
    <w:rsid w:val="00ED6FF4"/>
    <w:rsid w:val="00F01A3C"/>
    <w:rsid w:val="00F15FAA"/>
    <w:rsid w:val="00F56922"/>
    <w:rsid w:val="00FB6BF9"/>
    <w:rsid w:val="00FF7B9E"/>
    <w:rsid w:val="045EF922"/>
    <w:rsid w:val="077C71EF"/>
    <w:rsid w:val="087A4F40"/>
    <w:rsid w:val="1781BB86"/>
    <w:rsid w:val="1890B3AC"/>
    <w:rsid w:val="1CD33D90"/>
    <w:rsid w:val="21B9859F"/>
    <w:rsid w:val="2BCC6233"/>
    <w:rsid w:val="2F6411A5"/>
    <w:rsid w:val="3AD13B0F"/>
    <w:rsid w:val="3E3B5CDE"/>
    <w:rsid w:val="40C07BFD"/>
    <w:rsid w:val="42EF5AFC"/>
    <w:rsid w:val="49BE9E5C"/>
    <w:rsid w:val="6381ACC1"/>
    <w:rsid w:val="6850B381"/>
    <w:rsid w:val="692484A0"/>
    <w:rsid w:val="6F45F6C8"/>
    <w:rsid w:val="6FED5A34"/>
    <w:rsid w:val="7AEAFA0B"/>
    <w:rsid w:val="7B6AE8BD"/>
    <w:rsid w:val="7CF63316"/>
    <w:rsid w:val="7E18B99A"/>
    <w:rsid w:val="7FACB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50A8B"/>
  <w15:chartTrackingRefBased/>
  <w15:docId w15:val="{04EC25B3-A603-4CB8-ADB5-677E1B8FF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804B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04B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4B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04B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804B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804B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804B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804B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804B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04B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04B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04B7"/>
    <w:rPr>
      <w:rFonts w:eastAsiaTheme="majorEastAsia" w:cstheme="majorBidi"/>
      <w:color w:val="272727" w:themeColor="text1" w:themeTint="D8"/>
    </w:rPr>
  </w:style>
  <w:style w:type="paragraph" w:styleId="Title">
    <w:name w:val="Title"/>
    <w:basedOn w:val="Normal"/>
    <w:next w:val="Normal"/>
    <w:link w:val="TitleChar"/>
    <w:uiPriority w:val="10"/>
    <w:qFormat/>
    <w:rsid w:val="002804B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804B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804B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80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4B7"/>
    <w:pPr>
      <w:spacing w:before="160"/>
      <w:jc w:val="center"/>
    </w:pPr>
    <w:rPr>
      <w:i/>
      <w:iCs/>
      <w:color w:val="404040" w:themeColor="text1" w:themeTint="BF"/>
    </w:rPr>
  </w:style>
  <w:style w:type="character" w:styleId="QuoteChar" w:customStyle="1">
    <w:name w:val="Quote Char"/>
    <w:basedOn w:val="DefaultParagraphFont"/>
    <w:link w:val="Quote"/>
    <w:uiPriority w:val="29"/>
    <w:rsid w:val="002804B7"/>
    <w:rPr>
      <w:i/>
      <w:iCs/>
      <w:color w:val="404040" w:themeColor="text1" w:themeTint="BF"/>
    </w:rPr>
  </w:style>
  <w:style w:type="paragraph" w:styleId="ListParagraph">
    <w:name w:val="List Paragraph"/>
    <w:basedOn w:val="Normal"/>
    <w:uiPriority w:val="34"/>
    <w:qFormat/>
    <w:rsid w:val="002804B7"/>
    <w:pPr>
      <w:ind w:left="720"/>
      <w:contextualSpacing/>
    </w:pPr>
  </w:style>
  <w:style w:type="character" w:styleId="IntenseEmphasis">
    <w:name w:val="Intense Emphasis"/>
    <w:basedOn w:val="DefaultParagraphFont"/>
    <w:uiPriority w:val="21"/>
    <w:qFormat/>
    <w:rsid w:val="002804B7"/>
    <w:rPr>
      <w:i/>
      <w:iCs/>
      <w:color w:val="0F4761" w:themeColor="accent1" w:themeShade="BF"/>
    </w:rPr>
  </w:style>
  <w:style w:type="paragraph" w:styleId="IntenseQuote">
    <w:name w:val="Intense Quote"/>
    <w:basedOn w:val="Normal"/>
    <w:next w:val="Normal"/>
    <w:link w:val="IntenseQuoteChar"/>
    <w:uiPriority w:val="30"/>
    <w:qFormat/>
    <w:rsid w:val="002804B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804B7"/>
    <w:rPr>
      <w:i/>
      <w:iCs/>
      <w:color w:val="0F4761" w:themeColor="accent1" w:themeShade="BF"/>
    </w:rPr>
  </w:style>
  <w:style w:type="character" w:styleId="IntenseReference">
    <w:name w:val="Intense Reference"/>
    <w:basedOn w:val="DefaultParagraphFont"/>
    <w:uiPriority w:val="32"/>
    <w:qFormat/>
    <w:rsid w:val="002804B7"/>
    <w:rPr>
      <w:b/>
      <w:bCs/>
      <w:smallCaps/>
      <w:color w:val="0F4761" w:themeColor="accent1" w:themeShade="BF"/>
      <w:spacing w:val="5"/>
    </w:rPr>
  </w:style>
  <w:style w:type="paragraph" w:styleId="font-claude-response-body" w:customStyle="1">
    <w:name w:val="font-claude-response-body"/>
    <w:basedOn w:val="Normal"/>
    <w:rsid w:val="002804B7"/>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2804B7"/>
    <w:rPr>
      <w:b/>
      <w:bCs/>
    </w:rPr>
  </w:style>
  <w:style w:type="paragraph" w:styleId="CommentText">
    <w:name w:val="annotation text"/>
    <w:basedOn w:val="Normal"/>
    <w:link w:val="CommentTextChar"/>
    <w:uiPriority w:val="99"/>
    <w:semiHidden/>
    <w:unhideWhenUsed/>
    <w:rsid w:val="008E4427"/>
    <w:pPr>
      <w:spacing w:line="240" w:lineRule="auto"/>
    </w:pPr>
    <w:rPr>
      <w:sz w:val="20"/>
      <w:szCs w:val="20"/>
    </w:rPr>
  </w:style>
  <w:style w:type="character" w:styleId="CommentTextChar" w:customStyle="1">
    <w:name w:val="Comment Text Char"/>
    <w:basedOn w:val="DefaultParagraphFont"/>
    <w:link w:val="CommentText"/>
    <w:uiPriority w:val="99"/>
    <w:semiHidden/>
    <w:rsid w:val="008E4427"/>
    <w:rPr>
      <w:sz w:val="20"/>
      <w:szCs w:val="20"/>
    </w:rPr>
  </w:style>
  <w:style w:type="character" w:styleId="CommentReference">
    <w:name w:val="annotation reference"/>
    <w:basedOn w:val="DefaultParagraphFont"/>
    <w:uiPriority w:val="99"/>
    <w:semiHidden/>
    <w:unhideWhenUsed/>
    <w:rsid w:val="008E4427"/>
    <w:rPr>
      <w:sz w:val="16"/>
      <w:szCs w:val="16"/>
    </w:rPr>
  </w:style>
  <w:style w:type="paragraph" w:styleId="CommentSubject">
    <w:name w:val="annotation subject"/>
    <w:basedOn w:val="CommentText"/>
    <w:next w:val="CommentText"/>
    <w:link w:val="CommentSubjectChar"/>
    <w:uiPriority w:val="99"/>
    <w:semiHidden/>
    <w:unhideWhenUsed/>
    <w:rsid w:val="0053080B"/>
    <w:rPr>
      <w:b/>
      <w:bCs/>
    </w:rPr>
  </w:style>
  <w:style w:type="character" w:styleId="CommentSubjectChar" w:customStyle="1">
    <w:name w:val="Comment Subject Char"/>
    <w:basedOn w:val="CommentTextChar"/>
    <w:link w:val="CommentSubject"/>
    <w:uiPriority w:val="99"/>
    <w:semiHidden/>
    <w:rsid w:val="005308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Burger O'Connor, Lauren</dc:creator>
  <keywords/>
  <dc:description/>
  <lastModifiedBy>Socha, Beata</lastModifiedBy>
  <revision>29</revision>
  <dcterms:created xsi:type="dcterms:W3CDTF">2026-06-09T18:11:00.0000000Z</dcterms:created>
  <dcterms:modified xsi:type="dcterms:W3CDTF">2026-06-12T16:25:36.1307338Z</dcterms:modified>
</coreProperties>
</file>