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0FE5C295" w:rsidR="00343687" w:rsidRDefault="735C49C3" w:rsidP="7CEA32DB">
      <w:pPr>
        <w:pStyle w:val="Heading1"/>
      </w:pPr>
      <w:r>
        <w:t>Why Enterprise AI Needs a Semantic Layer for Governed Data</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9344"/>
      </w:tblGrid>
      <w:tr w:rsidR="7CEA32DB" w14:paraId="44095315" w14:textId="77777777" w:rsidTr="7CEA32DB">
        <w:trPr>
          <w:trHeight w:val="285"/>
        </w:trPr>
        <w:tc>
          <w:tcPr>
            <w:tcW w:w="9465" w:type="dxa"/>
            <w:tcBorders>
              <w:top w:val="single" w:sz="6" w:space="0" w:color="000000" w:themeColor="text1"/>
              <w:left w:val="single" w:sz="6" w:space="0" w:color="000000" w:themeColor="text1"/>
              <w:bottom w:val="nil"/>
              <w:right w:val="single" w:sz="6" w:space="0" w:color="000000" w:themeColor="text1"/>
            </w:tcBorders>
            <w:shd w:val="clear" w:color="auto" w:fill="F2F2F2" w:themeFill="background1" w:themeFillShade="F2"/>
            <w:tcMar>
              <w:left w:w="90" w:type="dxa"/>
              <w:right w:w="90" w:type="dxa"/>
            </w:tcMar>
            <w:vAlign w:val="center"/>
          </w:tcPr>
          <w:p w14:paraId="1646BC2C" w14:textId="5E1440F8" w:rsidR="7CEA32DB" w:rsidRDefault="7CEA32DB" w:rsidP="7CEA32DB">
            <w:pPr>
              <w:rPr>
                <w:rFonts w:ascii="Aptos" w:eastAsia="Aptos" w:hAnsi="Aptos" w:cs="Aptos"/>
                <w:b/>
                <w:bCs/>
                <w:color w:val="000000" w:themeColor="text1"/>
                <w:sz w:val="22"/>
                <w:szCs w:val="22"/>
              </w:rPr>
            </w:pPr>
            <w:r>
              <w:br/>
            </w:r>
            <w:r w:rsidR="5BF0B2FF" w:rsidRPr="7CEA32DB">
              <w:rPr>
                <w:rFonts w:ascii="Aptos" w:eastAsia="Aptos" w:hAnsi="Aptos" w:cs="Aptos"/>
                <w:b/>
                <w:bCs/>
                <w:color w:val="000000" w:themeColor="text1"/>
                <w:sz w:val="22"/>
                <w:szCs w:val="22"/>
              </w:rPr>
              <w:t>Short answer:</w:t>
            </w:r>
          </w:p>
        </w:tc>
      </w:tr>
      <w:tr w:rsidR="7CEA32DB" w14:paraId="31010BEC" w14:textId="77777777" w:rsidTr="7CEA32DB">
        <w:trPr>
          <w:trHeight w:val="1290"/>
        </w:trPr>
        <w:tc>
          <w:tcPr>
            <w:tcW w:w="9465" w:type="dxa"/>
            <w:tcBorders>
              <w:top w:val="nil"/>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left w:w="90" w:type="dxa"/>
              <w:right w:w="90" w:type="dxa"/>
            </w:tcMar>
            <w:vAlign w:val="center"/>
          </w:tcPr>
          <w:p w14:paraId="2F2C017B" w14:textId="71567A68" w:rsidR="1FB61EF3" w:rsidRDefault="1FB61EF3" w:rsidP="7CEA32DB">
            <w:r w:rsidRPr="7CEA32DB">
              <w:rPr>
                <w:rFonts w:ascii="Aptos" w:eastAsia="Aptos" w:hAnsi="Aptos" w:cs="Aptos"/>
                <w:color w:val="000000" w:themeColor="text1"/>
                <w:sz w:val="18"/>
                <w:szCs w:val="18"/>
              </w:rPr>
              <w:t>Organizations can’t rely on fragmented logic when AI systems are generating insights and influencing decisions. Enterprise AI requires governed data to produce consistent, trustworthy outputs. A semantic layer provides that governed foundation by standardizing business logic across every data source, analytics tool, and AI workflow.</w:t>
            </w:r>
          </w:p>
        </w:tc>
      </w:tr>
    </w:tbl>
    <w:p w14:paraId="09F5658F" w14:textId="7A6603A9" w:rsidR="19BA19AD" w:rsidRDefault="7F17D48E" w:rsidP="7CEA32DB">
      <w:pPr>
        <w:pStyle w:val="Heading2"/>
        <w:rPr>
          <w:i/>
          <w:iCs/>
          <w:sz w:val="24"/>
          <w:szCs w:val="24"/>
        </w:rPr>
      </w:pPr>
      <w:r>
        <w:t>Data Models are Failing, But Not for the Reason You Think</w:t>
      </w:r>
    </w:p>
    <w:p w14:paraId="21AF432C" w14:textId="525FE14D" w:rsidR="7049D065" w:rsidRDefault="7049D065" w:rsidP="7CEA32DB">
      <w:pPr>
        <w:rPr>
          <w:sz w:val="22"/>
          <w:szCs w:val="22"/>
        </w:rPr>
      </w:pPr>
      <w:r w:rsidRPr="7CEA32DB">
        <w:rPr>
          <w:sz w:val="22"/>
          <w:szCs w:val="22"/>
        </w:rPr>
        <w:t>Enterprise analytics is at a turning point. As data volumes explode, enterprises are turning to AI-powered modeling to retrieve insights at unprecedented speeds.</w:t>
      </w:r>
    </w:p>
    <w:p w14:paraId="7CB3408E" w14:textId="413D352D" w:rsidR="7049D065" w:rsidRDefault="7049D065" w:rsidP="7CEA32DB">
      <w:r w:rsidRPr="7CEA32DB">
        <w:rPr>
          <w:rFonts w:ascii="Aptos" w:eastAsia="Aptos" w:hAnsi="Aptos" w:cs="Aptos"/>
          <w:sz w:val="22"/>
          <w:szCs w:val="22"/>
        </w:rPr>
        <w:t xml:space="preserve">But there’s a blind spot: </w:t>
      </w:r>
      <w:r w:rsidRPr="7CEA32DB">
        <w:rPr>
          <w:rFonts w:ascii="Aptos" w:eastAsia="Aptos" w:hAnsi="Aptos" w:cs="Aptos"/>
          <w:b/>
          <w:bCs/>
          <w:sz w:val="22"/>
          <w:szCs w:val="22"/>
        </w:rPr>
        <w:t xml:space="preserve">AI models don't naturally understand business strategy. </w:t>
      </w:r>
      <w:r w:rsidRPr="7CEA32DB">
        <w:rPr>
          <w:rFonts w:ascii="Aptos" w:eastAsia="Aptos" w:hAnsi="Aptos" w:cs="Aptos"/>
          <w:sz w:val="22"/>
          <w:szCs w:val="22"/>
        </w:rPr>
        <w:t>They learn from raw datasets and inherit whatever business logic is embedded within them.</w:t>
      </w:r>
    </w:p>
    <w:p w14:paraId="06DBAAE7" w14:textId="6D04F196" w:rsidR="7049D065" w:rsidRDefault="7049D065" w:rsidP="7CEA32DB">
      <w:pPr>
        <w:rPr>
          <w:rFonts w:ascii="Aptos" w:eastAsia="Aptos" w:hAnsi="Aptos" w:cs="Aptos"/>
          <w:sz w:val="22"/>
          <w:szCs w:val="22"/>
        </w:rPr>
      </w:pPr>
      <w:r w:rsidRPr="7CEA32DB">
        <w:rPr>
          <w:rFonts w:ascii="Aptos" w:eastAsia="Aptos" w:hAnsi="Aptos" w:cs="Aptos"/>
          <w:sz w:val="22"/>
          <w:szCs w:val="22"/>
        </w:rPr>
        <w:t>For an AI to deliver accurate, scalable insights, it requires governed, consistent business logic:</w:t>
      </w:r>
    </w:p>
    <w:p w14:paraId="1441C6E5" w14:textId="7C570997" w:rsidR="467FDD61" w:rsidRDefault="467FDD61" w:rsidP="7CEA32DB">
      <w:pPr>
        <w:pStyle w:val="ListParagraph"/>
        <w:numPr>
          <w:ilvl w:val="0"/>
          <w:numId w:val="2"/>
        </w:numPr>
        <w:rPr>
          <w:rFonts w:ascii="Aptos" w:eastAsia="Aptos" w:hAnsi="Aptos" w:cs="Aptos"/>
          <w:sz w:val="22"/>
          <w:szCs w:val="22"/>
        </w:rPr>
      </w:pPr>
      <w:r w:rsidRPr="7CEA32DB">
        <w:rPr>
          <w:rFonts w:ascii="Aptos" w:eastAsia="Aptos" w:hAnsi="Aptos" w:cs="Aptos"/>
          <w:sz w:val="22"/>
          <w:szCs w:val="22"/>
        </w:rPr>
        <w:t>standardized metric definitions</w:t>
      </w:r>
    </w:p>
    <w:p w14:paraId="5A5351C9" w14:textId="3836417B" w:rsidR="467FDD61" w:rsidRDefault="467FDD61" w:rsidP="7CEA32DB">
      <w:pPr>
        <w:pStyle w:val="ListParagraph"/>
        <w:numPr>
          <w:ilvl w:val="0"/>
          <w:numId w:val="2"/>
        </w:numPr>
        <w:rPr>
          <w:rFonts w:ascii="Aptos" w:eastAsia="Aptos" w:hAnsi="Aptos" w:cs="Aptos"/>
          <w:sz w:val="22"/>
          <w:szCs w:val="22"/>
        </w:rPr>
      </w:pPr>
      <w:r w:rsidRPr="7CEA32DB">
        <w:rPr>
          <w:rFonts w:ascii="Aptos" w:eastAsia="Aptos" w:hAnsi="Aptos" w:cs="Aptos"/>
          <w:sz w:val="22"/>
          <w:szCs w:val="22"/>
        </w:rPr>
        <w:t>strict operational rules</w:t>
      </w:r>
    </w:p>
    <w:p w14:paraId="44EAF7D9" w14:textId="5ECEF940" w:rsidR="467FDD61" w:rsidRDefault="467FDD61" w:rsidP="7CEA32DB">
      <w:pPr>
        <w:pStyle w:val="ListParagraph"/>
        <w:numPr>
          <w:ilvl w:val="0"/>
          <w:numId w:val="2"/>
        </w:numPr>
        <w:rPr>
          <w:rFonts w:ascii="Aptos" w:eastAsia="Aptos" w:hAnsi="Aptos" w:cs="Aptos"/>
          <w:sz w:val="22"/>
          <w:szCs w:val="22"/>
        </w:rPr>
      </w:pPr>
      <w:r w:rsidRPr="7CEA32DB">
        <w:rPr>
          <w:rFonts w:ascii="Aptos" w:eastAsia="Aptos" w:hAnsi="Aptos" w:cs="Aptos"/>
          <w:sz w:val="22"/>
          <w:szCs w:val="22"/>
        </w:rPr>
        <w:t>clear data categories</w:t>
      </w:r>
    </w:p>
    <w:p w14:paraId="4940C58F" w14:textId="37295B27" w:rsidR="029C6384" w:rsidRDefault="029C6384" w:rsidP="7CEA32DB">
      <w:pPr>
        <w:rPr>
          <w:rFonts w:ascii="Aptos" w:eastAsia="Aptos" w:hAnsi="Aptos" w:cs="Aptos"/>
          <w:sz w:val="22"/>
          <w:szCs w:val="22"/>
        </w:rPr>
      </w:pPr>
      <w:r w:rsidRPr="7CEA32DB">
        <w:rPr>
          <w:rFonts w:ascii="Aptos" w:eastAsia="Aptos" w:hAnsi="Aptos" w:cs="Aptos"/>
          <w:sz w:val="22"/>
          <w:szCs w:val="22"/>
        </w:rPr>
        <w:t>When this logic is trapped in siloed BI tools or buried in messy database tables, the AI gets confused. It doesn't just cause misalignment. It delivers inconsistent, untrustworthy answers that differ based on who you ask, undermining both data governance initiatives and confidence in AI-driven decision-making.</w:t>
      </w:r>
    </w:p>
    <w:p w14:paraId="491D0773" w14:textId="1FC8FD71" w:rsidR="19B8447A" w:rsidRDefault="19B8447A" w:rsidP="7CEA32DB">
      <w:pPr>
        <w:pStyle w:val="Heading2"/>
        <w:rPr>
          <w:i/>
          <w:iCs/>
          <w:sz w:val="24"/>
          <w:szCs w:val="24"/>
        </w:rPr>
      </w:pPr>
      <w:r>
        <w:t>The Real Problem Is the Absence of Shared Business Logic</w:t>
      </w:r>
    </w:p>
    <w:p w14:paraId="5720DA03" w14:textId="0DE05F20" w:rsidR="43352B23" w:rsidRDefault="43352B23" w:rsidP="7CEA32DB">
      <w:pPr>
        <w:rPr>
          <w:sz w:val="22"/>
          <w:szCs w:val="22"/>
        </w:rPr>
      </w:pPr>
      <w:r w:rsidRPr="7CEA32DB">
        <w:rPr>
          <w:sz w:val="22"/>
          <w:szCs w:val="22"/>
        </w:rPr>
        <w:t>When a data model breaks, enterprises rarely question the foundation. Instead, they blame the most visible cracks across their tech stack:</w:t>
      </w:r>
    </w:p>
    <w:p w14:paraId="263EF1F3" w14:textId="771F69EC" w:rsidR="3D302116" w:rsidRDefault="3D302116" w:rsidP="0499E41D">
      <w:pPr>
        <w:pStyle w:val="ListParagraph"/>
        <w:numPr>
          <w:ilvl w:val="0"/>
          <w:numId w:val="4"/>
        </w:numPr>
        <w:rPr>
          <w:sz w:val="22"/>
          <w:szCs w:val="22"/>
        </w:rPr>
      </w:pPr>
      <w:r w:rsidRPr="0499E41D">
        <w:rPr>
          <w:sz w:val="22"/>
          <w:szCs w:val="22"/>
        </w:rPr>
        <w:t>"The data quality is bad”</w:t>
      </w:r>
    </w:p>
    <w:p w14:paraId="3A9E20CA" w14:textId="306C5B3B" w:rsidR="3D302116" w:rsidRDefault="3D302116" w:rsidP="0499E41D">
      <w:pPr>
        <w:pStyle w:val="ListParagraph"/>
        <w:numPr>
          <w:ilvl w:val="0"/>
          <w:numId w:val="4"/>
        </w:numPr>
        <w:rPr>
          <w:sz w:val="22"/>
          <w:szCs w:val="22"/>
        </w:rPr>
      </w:pPr>
      <w:r w:rsidRPr="0499E41D">
        <w:rPr>
          <w:sz w:val="22"/>
          <w:szCs w:val="22"/>
        </w:rPr>
        <w:t>“The AI model is hallucinating”</w:t>
      </w:r>
    </w:p>
    <w:p w14:paraId="469306C9" w14:textId="4228B400" w:rsidR="3D302116" w:rsidRDefault="3D302116" w:rsidP="0499E41D">
      <w:pPr>
        <w:pStyle w:val="ListParagraph"/>
        <w:numPr>
          <w:ilvl w:val="0"/>
          <w:numId w:val="4"/>
        </w:numPr>
        <w:rPr>
          <w:sz w:val="22"/>
          <w:szCs w:val="22"/>
        </w:rPr>
      </w:pPr>
      <w:r w:rsidRPr="0499E41D">
        <w:rPr>
          <w:sz w:val="22"/>
          <w:szCs w:val="22"/>
        </w:rPr>
        <w:t>“The warehouse is too complex”</w:t>
      </w:r>
    </w:p>
    <w:p w14:paraId="249C6AF5" w14:textId="35CFC107" w:rsidR="1131735E" w:rsidRDefault="1131735E" w:rsidP="0499E41D">
      <w:pPr>
        <w:pStyle w:val="ListParagraph"/>
        <w:numPr>
          <w:ilvl w:val="0"/>
          <w:numId w:val="4"/>
        </w:numPr>
        <w:rPr>
          <w:sz w:val="22"/>
          <w:szCs w:val="22"/>
        </w:rPr>
      </w:pPr>
      <w:r w:rsidRPr="0499E41D">
        <w:rPr>
          <w:sz w:val="22"/>
          <w:szCs w:val="22"/>
        </w:rPr>
        <w:t>“We need better governance”</w:t>
      </w:r>
    </w:p>
    <w:p w14:paraId="3D3D2D58" w14:textId="3496151C" w:rsidR="3D302116" w:rsidRDefault="6799B863" w:rsidP="0499E41D">
      <w:pPr>
        <w:pStyle w:val="ListParagraph"/>
        <w:numPr>
          <w:ilvl w:val="0"/>
          <w:numId w:val="4"/>
        </w:numPr>
        <w:rPr>
          <w:sz w:val="22"/>
          <w:szCs w:val="22"/>
        </w:rPr>
      </w:pPr>
      <w:r w:rsidRPr="7CEA32DB">
        <w:rPr>
          <w:sz w:val="22"/>
          <w:szCs w:val="22"/>
        </w:rPr>
        <w:t>“Our teams use too many tools”</w:t>
      </w:r>
    </w:p>
    <w:p w14:paraId="52E5565B" w14:textId="6F79317E" w:rsidR="62A1E374" w:rsidRDefault="62A1E374" w:rsidP="7CEA32DB">
      <w:pPr>
        <w:rPr>
          <w:color w:val="000000" w:themeColor="text1"/>
          <w:sz w:val="22"/>
          <w:szCs w:val="22"/>
        </w:rPr>
      </w:pPr>
      <w:r w:rsidRPr="7CEA32DB">
        <w:rPr>
          <w:color w:val="000000" w:themeColor="text1"/>
          <w:sz w:val="22"/>
          <w:szCs w:val="22"/>
        </w:rPr>
        <w:t xml:space="preserve">However, these symptoms all trace back to a single root cause: </w:t>
      </w:r>
      <w:r w:rsidRPr="7CEA32DB">
        <w:rPr>
          <w:b/>
          <w:bCs/>
          <w:color w:val="000000" w:themeColor="text1"/>
          <w:sz w:val="22"/>
          <w:szCs w:val="22"/>
        </w:rPr>
        <w:t xml:space="preserve">the lack of a shared, centralized business logic. </w:t>
      </w:r>
    </w:p>
    <w:p w14:paraId="38466292" w14:textId="229A8799" w:rsidR="62A1E374" w:rsidRDefault="62A1E374" w:rsidP="7CEA32DB">
      <w:pPr>
        <w:rPr>
          <w:color w:val="000000" w:themeColor="text1"/>
          <w:sz w:val="22"/>
          <w:szCs w:val="22"/>
        </w:rPr>
      </w:pPr>
      <w:r w:rsidRPr="7CEA32DB">
        <w:rPr>
          <w:color w:val="000000" w:themeColor="text1"/>
          <w:sz w:val="22"/>
          <w:szCs w:val="22"/>
        </w:rPr>
        <w:lastRenderedPageBreak/>
        <w:t>Specifically, it is the absence of governed metric definitions, attributes, relationships, and hierarchies across the enterprise data stack. Without a consistent framework for governed data, every tool, team, and AI system interprets information differently.</w:t>
      </w:r>
    </w:p>
    <w:p w14:paraId="2A2BAA99" w14:textId="068D72FD" w:rsidR="4B0BB59F" w:rsidRDefault="4B0BB59F" w:rsidP="7CEA32DB">
      <w:pPr>
        <w:rPr>
          <w:sz w:val="22"/>
          <w:szCs w:val="22"/>
        </w:rPr>
      </w:pPr>
      <w:r w:rsidRPr="7CEA32DB">
        <w:rPr>
          <w:color w:val="000000" w:themeColor="text1"/>
          <w:sz w:val="22"/>
          <w:szCs w:val="22"/>
        </w:rPr>
        <w:t xml:space="preserve">When this underlying logic varies </w:t>
      </w:r>
      <w:r w:rsidR="2991A881" w:rsidRPr="7CEA32DB">
        <w:rPr>
          <w:color w:val="000000" w:themeColor="text1"/>
          <w:sz w:val="22"/>
          <w:szCs w:val="22"/>
        </w:rPr>
        <w:t xml:space="preserve">for </w:t>
      </w:r>
      <w:r w:rsidRPr="7CEA32DB">
        <w:rPr>
          <w:color w:val="000000" w:themeColor="text1"/>
          <w:sz w:val="22"/>
          <w:szCs w:val="22"/>
        </w:rPr>
        <w:t>teams, BI dashboards, or AI workflows, alignment breaks down. Analysts receive different results for the exact same query, executive dashboards conflict, and AI systems confidently generate answers that do not align across business units.</w:t>
      </w:r>
    </w:p>
    <w:p w14:paraId="0BCEC600" w14:textId="40562190" w:rsidR="4B0BB59F" w:rsidRDefault="4B0BB59F" w:rsidP="7CEA32DB">
      <w:proofErr w:type="gramStart"/>
      <w:r w:rsidRPr="7CEA32DB">
        <w:rPr>
          <w:color w:val="000000" w:themeColor="text1"/>
          <w:sz w:val="22"/>
          <w:szCs w:val="22"/>
        </w:rPr>
        <w:t>In reality, the</w:t>
      </w:r>
      <w:proofErr w:type="gramEnd"/>
      <w:r w:rsidRPr="7CEA32DB">
        <w:rPr>
          <w:color w:val="000000" w:themeColor="text1"/>
          <w:sz w:val="22"/>
          <w:szCs w:val="22"/>
        </w:rPr>
        <w:t xml:space="preserve"> tech stack is rarely broken. It’s simply </w:t>
      </w:r>
      <w:bookmarkStart w:id="0" w:name="_Int_RU2rd4pS"/>
      <w:r w:rsidRPr="7CEA32DB">
        <w:rPr>
          <w:color w:val="000000" w:themeColor="text1"/>
          <w:sz w:val="22"/>
          <w:szCs w:val="22"/>
        </w:rPr>
        <w:t>operating on</w:t>
      </w:r>
      <w:bookmarkEnd w:id="0"/>
      <w:r w:rsidRPr="7CEA32DB">
        <w:rPr>
          <w:color w:val="000000" w:themeColor="text1"/>
          <w:sz w:val="22"/>
          <w:szCs w:val="22"/>
        </w:rPr>
        <w:t xml:space="preserve"> logic that </w:t>
      </w:r>
      <w:bookmarkStart w:id="1" w:name="_Int_IaXzrAgJ"/>
      <w:r w:rsidRPr="7CEA32DB">
        <w:rPr>
          <w:color w:val="000000" w:themeColor="text1"/>
          <w:sz w:val="22"/>
          <w:szCs w:val="22"/>
        </w:rPr>
        <w:t>isn't</w:t>
      </w:r>
      <w:bookmarkEnd w:id="1"/>
      <w:r w:rsidRPr="7CEA32DB">
        <w:rPr>
          <w:color w:val="000000" w:themeColor="text1"/>
          <w:sz w:val="22"/>
          <w:szCs w:val="22"/>
        </w:rPr>
        <w:t xml:space="preserve"> consistent, centralized, or governed at the enterprise level.</w:t>
      </w:r>
    </w:p>
    <w:tbl>
      <w:tblPr>
        <w:tblStyle w:val="TableGrid"/>
        <w:tblW w:w="9420" w:type="dxa"/>
        <w:jc w:val="center"/>
        <w:tblLook w:val="06A0" w:firstRow="1" w:lastRow="0" w:firstColumn="1" w:lastColumn="0" w:noHBand="1" w:noVBand="1"/>
      </w:tblPr>
      <w:tblGrid>
        <w:gridCol w:w="2665"/>
        <w:gridCol w:w="6755"/>
      </w:tblGrid>
      <w:tr w:rsidR="21415ECF" w14:paraId="7A7EFAD5" w14:textId="77777777" w:rsidTr="7CEA32DB">
        <w:trPr>
          <w:trHeight w:val="435"/>
          <w:jc w:val="center"/>
        </w:trPr>
        <w:tc>
          <w:tcPr>
            <w:tcW w:w="2665" w:type="dxa"/>
            <w:vAlign w:val="center"/>
          </w:tcPr>
          <w:p w14:paraId="200E3EC1" w14:textId="76A592DC" w:rsidR="1ECE2BC6" w:rsidRDefault="0D430DCF" w:rsidP="0499E41D">
            <w:pPr>
              <w:rPr>
                <w:b/>
                <w:bCs/>
                <w:sz w:val="20"/>
                <w:szCs w:val="20"/>
              </w:rPr>
            </w:pPr>
            <w:r w:rsidRPr="0499E41D">
              <w:rPr>
                <w:b/>
                <w:bCs/>
                <w:sz w:val="20"/>
                <w:szCs w:val="20"/>
              </w:rPr>
              <w:t>Visible</w:t>
            </w:r>
            <w:r w:rsidR="687599C0" w:rsidRPr="0499E41D">
              <w:rPr>
                <w:b/>
                <w:bCs/>
                <w:sz w:val="20"/>
                <w:szCs w:val="20"/>
              </w:rPr>
              <w:t xml:space="preserve"> Issue</w:t>
            </w:r>
          </w:p>
        </w:tc>
        <w:tc>
          <w:tcPr>
            <w:tcW w:w="6755" w:type="dxa"/>
            <w:vAlign w:val="center"/>
          </w:tcPr>
          <w:p w14:paraId="1D3ABC53" w14:textId="3D7AFF2C" w:rsidR="1BC209AE" w:rsidRDefault="1BC209AE" w:rsidP="21415ECF">
            <w:pPr>
              <w:rPr>
                <w:b/>
                <w:bCs/>
                <w:sz w:val="20"/>
                <w:szCs w:val="20"/>
              </w:rPr>
            </w:pPr>
            <w:r w:rsidRPr="21415ECF">
              <w:rPr>
                <w:b/>
                <w:bCs/>
                <w:sz w:val="20"/>
                <w:szCs w:val="20"/>
              </w:rPr>
              <w:t>Actual Problem</w:t>
            </w:r>
          </w:p>
        </w:tc>
      </w:tr>
      <w:tr w:rsidR="21415ECF" w14:paraId="19A2032E" w14:textId="77777777" w:rsidTr="7CEA32DB">
        <w:trPr>
          <w:trHeight w:val="300"/>
          <w:jc w:val="center"/>
        </w:trPr>
        <w:tc>
          <w:tcPr>
            <w:tcW w:w="2665" w:type="dxa"/>
            <w:vAlign w:val="center"/>
          </w:tcPr>
          <w:p w14:paraId="3C95B316" w14:textId="5034B0B5" w:rsidR="5FCAA47C" w:rsidRDefault="5FCAA47C" w:rsidP="21415ECF">
            <w:pPr>
              <w:rPr>
                <w:sz w:val="20"/>
                <w:szCs w:val="20"/>
              </w:rPr>
            </w:pPr>
            <w:r w:rsidRPr="21415ECF">
              <w:rPr>
                <w:sz w:val="20"/>
                <w:szCs w:val="20"/>
              </w:rPr>
              <w:t>Data quality issues</w:t>
            </w:r>
          </w:p>
        </w:tc>
        <w:tc>
          <w:tcPr>
            <w:tcW w:w="6755" w:type="dxa"/>
            <w:vAlign w:val="center"/>
          </w:tcPr>
          <w:p w14:paraId="1F40996A" w14:textId="1FA328E5" w:rsidR="3E1EDE15" w:rsidRDefault="45A7B16D" w:rsidP="7CEA32DB">
            <w:pPr>
              <w:rPr>
                <w:sz w:val="20"/>
                <w:szCs w:val="20"/>
              </w:rPr>
            </w:pPr>
            <w:r w:rsidRPr="7CEA32DB">
              <w:rPr>
                <w:sz w:val="20"/>
                <w:szCs w:val="20"/>
              </w:rPr>
              <w:t xml:space="preserve">No unified layer defining consistent </w:t>
            </w:r>
            <w:r w:rsidR="7E6D5228" w:rsidRPr="7CEA32DB">
              <w:rPr>
                <w:sz w:val="20"/>
                <w:szCs w:val="20"/>
              </w:rPr>
              <w:t xml:space="preserve">logic </w:t>
            </w:r>
            <w:r w:rsidRPr="7CEA32DB">
              <w:rPr>
                <w:sz w:val="20"/>
                <w:szCs w:val="20"/>
              </w:rPr>
              <w:t>across data sources</w:t>
            </w:r>
          </w:p>
        </w:tc>
      </w:tr>
      <w:tr w:rsidR="21415ECF" w14:paraId="572CEDF0" w14:textId="77777777" w:rsidTr="7CEA32DB">
        <w:trPr>
          <w:trHeight w:val="300"/>
          <w:jc w:val="center"/>
        </w:trPr>
        <w:tc>
          <w:tcPr>
            <w:tcW w:w="2665" w:type="dxa"/>
            <w:vAlign w:val="center"/>
          </w:tcPr>
          <w:p w14:paraId="3E706642" w14:textId="0474E410" w:rsidR="5F980D2C" w:rsidRDefault="55CA85F9" w:rsidP="0499E41D">
            <w:pPr>
              <w:rPr>
                <w:sz w:val="20"/>
                <w:szCs w:val="20"/>
              </w:rPr>
            </w:pPr>
            <w:r w:rsidRPr="0499E41D">
              <w:rPr>
                <w:sz w:val="20"/>
                <w:szCs w:val="20"/>
              </w:rPr>
              <w:t xml:space="preserve">AI </w:t>
            </w:r>
            <w:r w:rsidR="4DFD2032" w:rsidRPr="0499E41D">
              <w:rPr>
                <w:sz w:val="20"/>
                <w:szCs w:val="20"/>
              </w:rPr>
              <w:t>inconsistency</w:t>
            </w:r>
          </w:p>
        </w:tc>
        <w:tc>
          <w:tcPr>
            <w:tcW w:w="6755" w:type="dxa"/>
            <w:vAlign w:val="center"/>
          </w:tcPr>
          <w:p w14:paraId="1859DB69" w14:textId="23B90B0A" w:rsidR="278AC8A1" w:rsidRDefault="278AC8A1" w:rsidP="21415ECF">
            <w:pPr>
              <w:rPr>
                <w:sz w:val="20"/>
                <w:szCs w:val="20"/>
              </w:rPr>
            </w:pPr>
            <w:r w:rsidRPr="21415ECF">
              <w:rPr>
                <w:sz w:val="20"/>
                <w:szCs w:val="20"/>
              </w:rPr>
              <w:t>AI pulls from conflicting datasets and definitions because there is no single source of truth</w:t>
            </w:r>
          </w:p>
        </w:tc>
      </w:tr>
      <w:tr w:rsidR="21415ECF" w14:paraId="588E2A26" w14:textId="77777777" w:rsidTr="7CEA32DB">
        <w:trPr>
          <w:trHeight w:val="300"/>
          <w:jc w:val="center"/>
        </w:trPr>
        <w:tc>
          <w:tcPr>
            <w:tcW w:w="2665" w:type="dxa"/>
            <w:vAlign w:val="center"/>
          </w:tcPr>
          <w:p w14:paraId="1F3D0AA9" w14:textId="0048C38F" w:rsidR="36C163F8" w:rsidRDefault="36C163F8" w:rsidP="21415ECF">
            <w:pPr>
              <w:rPr>
                <w:sz w:val="20"/>
                <w:szCs w:val="20"/>
              </w:rPr>
            </w:pPr>
            <w:r w:rsidRPr="21415ECF">
              <w:rPr>
                <w:sz w:val="20"/>
                <w:szCs w:val="20"/>
              </w:rPr>
              <w:t>Data warehouse complexity</w:t>
            </w:r>
          </w:p>
        </w:tc>
        <w:tc>
          <w:tcPr>
            <w:tcW w:w="6755" w:type="dxa"/>
            <w:vAlign w:val="center"/>
          </w:tcPr>
          <w:p w14:paraId="57C6ABE9" w14:textId="499F5F05" w:rsidR="22AC1113" w:rsidRDefault="2697B379" w:rsidP="0499E41D">
            <w:r w:rsidRPr="0499E41D">
              <w:rPr>
                <w:sz w:val="20"/>
                <w:szCs w:val="20"/>
              </w:rPr>
              <w:t xml:space="preserve">The warehouse only exposes the absence of shared, enforceable </w:t>
            </w:r>
            <w:r w:rsidR="4777E37D" w:rsidRPr="0499E41D">
              <w:rPr>
                <w:sz w:val="20"/>
                <w:szCs w:val="20"/>
              </w:rPr>
              <w:t xml:space="preserve">data </w:t>
            </w:r>
            <w:r w:rsidRPr="0499E41D">
              <w:rPr>
                <w:sz w:val="20"/>
                <w:szCs w:val="20"/>
              </w:rPr>
              <w:t>logic</w:t>
            </w:r>
          </w:p>
        </w:tc>
      </w:tr>
      <w:tr w:rsidR="21415ECF" w14:paraId="5F547CE5" w14:textId="77777777" w:rsidTr="7CEA32DB">
        <w:trPr>
          <w:trHeight w:val="300"/>
          <w:jc w:val="center"/>
        </w:trPr>
        <w:tc>
          <w:tcPr>
            <w:tcW w:w="2665" w:type="dxa"/>
            <w:vAlign w:val="center"/>
          </w:tcPr>
          <w:p w14:paraId="74DE1EA1" w14:textId="66FAA7B2" w:rsidR="6C6F9B73" w:rsidRDefault="6C6F9B73" w:rsidP="21415ECF">
            <w:pPr>
              <w:rPr>
                <w:sz w:val="20"/>
                <w:szCs w:val="20"/>
              </w:rPr>
            </w:pPr>
            <w:r w:rsidRPr="21415ECF">
              <w:rPr>
                <w:sz w:val="20"/>
                <w:szCs w:val="20"/>
              </w:rPr>
              <w:t>Weak data governance</w:t>
            </w:r>
          </w:p>
        </w:tc>
        <w:tc>
          <w:tcPr>
            <w:tcW w:w="6755" w:type="dxa"/>
            <w:vAlign w:val="center"/>
          </w:tcPr>
          <w:p w14:paraId="4A2FD34C" w14:textId="78DC0CFC" w:rsidR="6E687BFE" w:rsidRDefault="4B437526" w:rsidP="7CEA32DB">
            <w:pPr>
              <w:rPr>
                <w:sz w:val="20"/>
                <w:szCs w:val="20"/>
              </w:rPr>
            </w:pPr>
            <w:r w:rsidRPr="7CEA32DB">
              <w:rPr>
                <w:sz w:val="20"/>
                <w:szCs w:val="20"/>
              </w:rPr>
              <w:t>Governance exists in documentation, not as governed data logic inside the architecture itself</w:t>
            </w:r>
          </w:p>
        </w:tc>
      </w:tr>
      <w:tr w:rsidR="21415ECF" w14:paraId="7F1DC837" w14:textId="77777777" w:rsidTr="7CEA32DB">
        <w:trPr>
          <w:trHeight w:val="300"/>
          <w:jc w:val="center"/>
        </w:trPr>
        <w:tc>
          <w:tcPr>
            <w:tcW w:w="2665" w:type="dxa"/>
            <w:vAlign w:val="center"/>
          </w:tcPr>
          <w:p w14:paraId="1477D480" w14:textId="761F6253" w:rsidR="59C0488D" w:rsidRDefault="59C0488D" w:rsidP="21415ECF">
            <w:pPr>
              <w:rPr>
                <w:sz w:val="20"/>
                <w:szCs w:val="20"/>
              </w:rPr>
            </w:pPr>
            <w:r w:rsidRPr="21415ECF">
              <w:rPr>
                <w:sz w:val="20"/>
                <w:szCs w:val="20"/>
              </w:rPr>
              <w:t>Tool fragmentation</w:t>
            </w:r>
          </w:p>
        </w:tc>
        <w:tc>
          <w:tcPr>
            <w:tcW w:w="6755" w:type="dxa"/>
            <w:vAlign w:val="center"/>
          </w:tcPr>
          <w:p w14:paraId="745C3106" w14:textId="179248E9" w:rsidR="45A83458" w:rsidRDefault="45A83458" w:rsidP="21415ECF">
            <w:pPr>
              <w:rPr>
                <w:sz w:val="20"/>
                <w:szCs w:val="20"/>
              </w:rPr>
            </w:pPr>
            <w:r w:rsidRPr="21415ECF">
              <w:rPr>
                <w:sz w:val="20"/>
                <w:szCs w:val="20"/>
              </w:rPr>
              <w:t>Business logic is redefined independently across tools and teams</w:t>
            </w:r>
          </w:p>
        </w:tc>
      </w:tr>
    </w:tbl>
    <w:p w14:paraId="6FDE285D" w14:textId="1B33CC01" w:rsidR="54DA696F" w:rsidRDefault="1C5055A2" w:rsidP="7CEA32DB">
      <w:pPr>
        <w:pStyle w:val="Heading2"/>
      </w:pPr>
      <w:r>
        <w:t xml:space="preserve">Without Data </w:t>
      </w:r>
      <w:r w:rsidR="03D68B42">
        <w:t>Governance</w:t>
      </w:r>
      <w:r>
        <w:t xml:space="preserve">, AI Becomes </w:t>
      </w:r>
      <w:r w:rsidR="31D9EA81">
        <w:t>a Self-Scaling Problem</w:t>
      </w:r>
    </w:p>
    <w:p w14:paraId="2D6DC5E2" w14:textId="34B69F4E" w:rsidR="789FD86B" w:rsidRDefault="789FD86B" w:rsidP="7CEA32DB">
      <w:pPr>
        <w:rPr>
          <w:sz w:val="22"/>
          <w:szCs w:val="22"/>
        </w:rPr>
      </w:pPr>
      <w:r w:rsidRPr="7CEA32DB">
        <w:rPr>
          <w:sz w:val="22"/>
          <w:szCs w:val="22"/>
        </w:rPr>
        <w:t>Once enterprises realize the issue starts at the foundation, the symptoms finally make sense. But while fragmented logic causes friction in human-driven workflows, AI turns that friction into a repeatable enterprise problem.</w:t>
      </w:r>
    </w:p>
    <w:p w14:paraId="59486CE6" w14:textId="1CB37A2D" w:rsidR="789FD86B" w:rsidRDefault="789FD86B" w:rsidP="7CEA32DB">
      <w:pPr>
        <w:rPr>
          <w:sz w:val="22"/>
          <w:szCs w:val="22"/>
        </w:rPr>
      </w:pPr>
      <w:r w:rsidRPr="7CEA32DB">
        <w:rPr>
          <w:sz w:val="22"/>
          <w:szCs w:val="22"/>
        </w:rPr>
        <w:t>Human analysts can spot an anomaly, question a weird number, or schedule an alignment meeting to reconcile differences. An AI model cannot. It simply generates answers based on the business and data logic it consumes.</w:t>
      </w:r>
    </w:p>
    <w:p w14:paraId="7185A677" w14:textId="6935A4BB" w:rsidR="6A3B8FA3" w:rsidRDefault="6A3B8FA3" w:rsidP="7CEA32DB">
      <w:pPr>
        <w:rPr>
          <w:sz w:val="22"/>
          <w:szCs w:val="22"/>
        </w:rPr>
      </w:pPr>
      <w:r w:rsidRPr="7CEA32DB">
        <w:rPr>
          <w:sz w:val="22"/>
          <w:szCs w:val="22"/>
        </w:rPr>
        <w:t>This creates a dangerous ripple effect across the enterprise:</w:t>
      </w:r>
    </w:p>
    <w:p w14:paraId="72B1F17E" w14:textId="702A4FF0" w:rsidR="0730575F" w:rsidRDefault="0730575F" w:rsidP="7CEA32DB">
      <w:pPr>
        <w:pStyle w:val="ListParagraph"/>
        <w:numPr>
          <w:ilvl w:val="0"/>
          <w:numId w:val="1"/>
        </w:numPr>
        <w:rPr>
          <w:sz w:val="22"/>
          <w:szCs w:val="22"/>
        </w:rPr>
      </w:pPr>
      <w:r w:rsidRPr="7CEA32DB">
        <w:rPr>
          <w:sz w:val="22"/>
          <w:szCs w:val="22"/>
        </w:rPr>
        <w:t>The AI begins reinforcing and automating inconsistent interpretations at machine speed</w:t>
      </w:r>
    </w:p>
    <w:p w14:paraId="5A23EC35" w14:textId="5ED4AB18" w:rsidR="0730575F" w:rsidRDefault="0730575F" w:rsidP="7CEA32DB">
      <w:pPr>
        <w:pStyle w:val="ListParagraph"/>
        <w:numPr>
          <w:ilvl w:val="0"/>
          <w:numId w:val="1"/>
        </w:numPr>
      </w:pPr>
      <w:r w:rsidRPr="7CEA32DB">
        <w:t>Tracking down which version of the business logic AI used becomes difficult across disconnected tools</w:t>
      </w:r>
    </w:p>
    <w:p w14:paraId="0768EED0" w14:textId="381A4B40" w:rsidR="0730575F" w:rsidRDefault="0730575F" w:rsidP="7CEA32DB">
      <w:pPr>
        <w:pStyle w:val="ListParagraph"/>
        <w:numPr>
          <w:ilvl w:val="0"/>
          <w:numId w:val="1"/>
        </w:numPr>
      </w:pPr>
      <w:r w:rsidRPr="7CEA32DB">
        <w:t>Analysts get dragged back into a manual cycle of reconciling conflicting AI results</w:t>
      </w:r>
    </w:p>
    <w:p w14:paraId="6B8D9122" w14:textId="3EB9A26D" w:rsidR="0730575F" w:rsidRDefault="0730575F" w:rsidP="7CEA32DB">
      <w:pPr>
        <w:rPr>
          <w:sz w:val="22"/>
          <w:szCs w:val="22"/>
        </w:rPr>
      </w:pPr>
      <w:r w:rsidRPr="7CEA32DB">
        <w:rPr>
          <w:sz w:val="22"/>
          <w:szCs w:val="22"/>
        </w:rPr>
        <w:t xml:space="preserve">If speed and accuracy are the reasons enterprises are investing in AI-powered data modeling, they must understand this: </w:t>
      </w:r>
      <w:r w:rsidRPr="7CEA32DB">
        <w:rPr>
          <w:b/>
          <w:bCs/>
          <w:sz w:val="22"/>
          <w:szCs w:val="22"/>
        </w:rPr>
        <w:t>you can’t train AI on a fractured data layer and expect governed, consistent outputs.</w:t>
      </w:r>
    </w:p>
    <w:p w14:paraId="5F1DC181" w14:textId="50E9FBD6" w:rsidR="311E5AAC" w:rsidRDefault="311E5AAC" w:rsidP="7CEA32DB">
      <w:pPr>
        <w:rPr>
          <w:b/>
          <w:bCs/>
          <w:color w:val="E97032"/>
          <w:sz w:val="22"/>
          <w:szCs w:val="22"/>
        </w:rPr>
      </w:pPr>
      <w:r w:rsidRPr="7CEA32DB">
        <w:rPr>
          <w:sz w:val="22"/>
          <w:szCs w:val="22"/>
        </w:rPr>
        <w:t xml:space="preserve">To scale AI successfully, the focus must shift away from trying to fix surface-level dashboards. </w:t>
      </w:r>
      <w:r w:rsidRPr="7CEA32DB">
        <w:rPr>
          <w:b/>
          <w:bCs/>
          <w:sz w:val="22"/>
          <w:szCs w:val="22"/>
        </w:rPr>
        <w:t>Instead, enterprises must fix how data logic and business logic are defined, unified, and governed across the entire data stack.</w:t>
      </w:r>
    </w:p>
    <w:p w14:paraId="7692B110" w14:textId="33DD5811" w:rsidR="7CEA32DB" w:rsidRDefault="7CEA32DB" w:rsidP="7CEA32DB">
      <w:pPr>
        <w:rPr>
          <w:b/>
          <w:bCs/>
          <w:sz w:val="22"/>
          <w:szCs w:val="22"/>
        </w:rPr>
      </w:pP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9344"/>
      </w:tblGrid>
      <w:tr w:rsidR="7CEA32DB" w14:paraId="29769A8A" w14:textId="77777777" w:rsidTr="7CEA32DB">
        <w:trPr>
          <w:trHeight w:val="285"/>
        </w:trPr>
        <w:tc>
          <w:tcPr>
            <w:tcW w:w="9465" w:type="dxa"/>
            <w:tcBorders>
              <w:top w:val="single" w:sz="6" w:space="0" w:color="000000" w:themeColor="text1"/>
              <w:left w:val="single" w:sz="6" w:space="0" w:color="000000" w:themeColor="text1"/>
              <w:bottom w:val="nil"/>
              <w:right w:val="single" w:sz="6" w:space="0" w:color="000000" w:themeColor="text1"/>
            </w:tcBorders>
            <w:shd w:val="clear" w:color="auto" w:fill="F2F2F2" w:themeFill="background1" w:themeFillShade="F2"/>
            <w:tcMar>
              <w:left w:w="90" w:type="dxa"/>
              <w:right w:w="90" w:type="dxa"/>
            </w:tcMar>
            <w:vAlign w:val="center"/>
          </w:tcPr>
          <w:p w14:paraId="582C3A90" w14:textId="52117F52" w:rsidR="7CEA32DB" w:rsidRDefault="7CEA32DB" w:rsidP="7CEA32DB">
            <w:pPr>
              <w:rPr>
                <w:rFonts w:ascii="Aptos" w:eastAsia="Aptos" w:hAnsi="Aptos" w:cs="Aptos"/>
                <w:b/>
                <w:bCs/>
                <w:color w:val="000000" w:themeColor="text1"/>
                <w:sz w:val="22"/>
                <w:szCs w:val="22"/>
              </w:rPr>
            </w:pPr>
            <w:r>
              <w:lastRenderedPageBreak/>
              <w:br/>
            </w:r>
            <w:r w:rsidRPr="7CEA32DB">
              <w:rPr>
                <w:rFonts w:ascii="Aptos" w:eastAsia="Aptos" w:hAnsi="Aptos" w:cs="Aptos"/>
                <w:b/>
                <w:bCs/>
                <w:color w:val="000000" w:themeColor="text1"/>
                <w:sz w:val="22"/>
                <w:szCs w:val="22"/>
              </w:rPr>
              <w:t>Why this matters:</w:t>
            </w:r>
          </w:p>
        </w:tc>
      </w:tr>
      <w:tr w:rsidR="7CEA32DB" w14:paraId="555BDEA5" w14:textId="77777777" w:rsidTr="7CEA32DB">
        <w:trPr>
          <w:trHeight w:val="1290"/>
        </w:trPr>
        <w:tc>
          <w:tcPr>
            <w:tcW w:w="9465" w:type="dxa"/>
            <w:tcBorders>
              <w:top w:val="nil"/>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left w:w="90" w:type="dxa"/>
              <w:right w:w="90" w:type="dxa"/>
            </w:tcMar>
            <w:vAlign w:val="center"/>
          </w:tcPr>
          <w:p w14:paraId="3D10EACD" w14:textId="5D6B1252" w:rsidR="25164A5F" w:rsidRDefault="25164A5F" w:rsidP="7CEA32DB">
            <w:r w:rsidRPr="7CEA32DB">
              <w:rPr>
                <w:rFonts w:ascii="Aptos" w:eastAsia="Aptos" w:hAnsi="Aptos" w:cs="Aptos"/>
                <w:color w:val="000000" w:themeColor="text1"/>
                <w:sz w:val="18"/>
                <w:szCs w:val="18"/>
              </w:rPr>
              <w:t xml:space="preserve">In a human-only workflow, a slightly mismatched calculation might cause a minor debate in a meeting. But when you plug an AI model directly into that same flawed foundation, it will accelerate the misalignment across every connected workflow. Without a way to govern and unify data logic, scaling AI models </w:t>
            </w:r>
            <w:r w:rsidR="32006E9C" w:rsidRPr="7CEA32DB">
              <w:rPr>
                <w:rFonts w:ascii="Aptos" w:eastAsia="Aptos" w:hAnsi="Aptos" w:cs="Aptos"/>
                <w:color w:val="000000" w:themeColor="text1"/>
                <w:sz w:val="18"/>
                <w:szCs w:val="18"/>
              </w:rPr>
              <w:t xml:space="preserve">for </w:t>
            </w:r>
            <w:r w:rsidRPr="7CEA32DB">
              <w:rPr>
                <w:rFonts w:ascii="Aptos" w:eastAsia="Aptos" w:hAnsi="Aptos" w:cs="Aptos"/>
                <w:color w:val="000000" w:themeColor="text1"/>
                <w:sz w:val="18"/>
                <w:szCs w:val="18"/>
              </w:rPr>
              <w:t>new tools and teams becomes a blocker instead of an opportunity.</w:t>
            </w:r>
          </w:p>
        </w:tc>
      </w:tr>
    </w:tbl>
    <w:p w14:paraId="2D3C9B81" w14:textId="2EA9BE6B" w:rsidR="7CEA32DB" w:rsidRDefault="7CEA32DB" w:rsidP="7CEA32DB">
      <w:pPr>
        <w:rPr>
          <w:b/>
          <w:bCs/>
          <w:sz w:val="22"/>
          <w:szCs w:val="22"/>
        </w:rPr>
      </w:pPr>
    </w:p>
    <w:p w14:paraId="2773345A" w14:textId="54BFC6D0" w:rsidR="78AA58E8" w:rsidRDefault="266DB138" w:rsidP="7CEA32DB">
      <w:pPr>
        <w:pStyle w:val="Heading2"/>
      </w:pPr>
      <w:r>
        <w:t xml:space="preserve">What Is a Semantic Layer </w:t>
      </w:r>
      <w:r w:rsidR="226CAF08">
        <w:t xml:space="preserve">for AI </w:t>
      </w:r>
      <w:r w:rsidR="7BC7712E">
        <w:t xml:space="preserve">and BI </w:t>
      </w:r>
      <w:r>
        <w:t xml:space="preserve">(And </w:t>
      </w:r>
      <w:r w:rsidR="13609F08">
        <w:t>Why Enterprises Need It</w:t>
      </w:r>
      <w:r>
        <w:t>)</w:t>
      </w:r>
    </w:p>
    <w:p w14:paraId="6BDF9B3D" w14:textId="63A6B1A7" w:rsidR="5AB7E19B" w:rsidRDefault="5AB7E19B" w:rsidP="7CEA32DB">
      <w:pPr>
        <w:rPr>
          <w:sz w:val="22"/>
          <w:szCs w:val="22"/>
        </w:rPr>
      </w:pPr>
      <w:r w:rsidRPr="7CEA32DB">
        <w:rPr>
          <w:sz w:val="22"/>
          <w:szCs w:val="22"/>
        </w:rPr>
        <w:t xml:space="preserve">To break the cycle of manual reconciliation and AI inconsistency, organizations are turning to a critical piece of data architecture: </w:t>
      </w:r>
      <w:r w:rsidRPr="7CEA32DB">
        <w:rPr>
          <w:b/>
          <w:bCs/>
          <w:color w:val="E97132" w:themeColor="accent2"/>
          <w:sz w:val="22"/>
          <w:szCs w:val="22"/>
        </w:rPr>
        <w:t>the modern semantic layer.</w:t>
      </w:r>
    </w:p>
    <w:p w14:paraId="23D45B8A" w14:textId="2EE19FB9" w:rsidR="5AB7E19B" w:rsidRDefault="5AB7E19B" w:rsidP="7CEA32DB">
      <w:pPr>
        <w:rPr>
          <w:b/>
          <w:bCs/>
          <w:i/>
          <w:iCs/>
          <w:sz w:val="22"/>
          <w:szCs w:val="22"/>
        </w:rPr>
      </w:pPr>
      <w:r w:rsidRPr="7CEA32DB">
        <w:rPr>
          <w:b/>
          <w:bCs/>
          <w:i/>
          <w:iCs/>
          <w:sz w:val="22"/>
          <w:szCs w:val="22"/>
        </w:rPr>
        <w:t>A semantic layer sits directly between your raw data infrastructure and the consumers using it. It translates complex database tables and columns into standardized, plain-language business concepts like Revenue, Active Customers, or Churn Rate, so every dashboard, application, and AI system works from the same definitions.</w:t>
      </w:r>
    </w:p>
    <w:p w14:paraId="13B74945" w14:textId="6DF7C147" w:rsidR="5AB7E19B" w:rsidRDefault="5AB7E19B" w:rsidP="7CEA32DB">
      <w:pPr>
        <w:rPr>
          <w:sz w:val="22"/>
          <w:szCs w:val="22"/>
        </w:rPr>
      </w:pPr>
      <w:r w:rsidRPr="7CEA32DB">
        <w:rPr>
          <w:sz w:val="22"/>
          <w:szCs w:val="22"/>
        </w:rPr>
        <w:t xml:space="preserve">Instead of relying on individual tools or teams to interpret data independently, a semantic layer creates </w:t>
      </w:r>
      <w:r w:rsidRPr="7CEA32DB">
        <w:rPr>
          <w:sz w:val="22"/>
          <w:szCs w:val="22"/>
          <w:u w:val="single"/>
        </w:rPr>
        <w:t>a single source of truth</w:t>
      </w:r>
      <w:r w:rsidRPr="7CEA32DB">
        <w:rPr>
          <w:sz w:val="22"/>
          <w:szCs w:val="22"/>
        </w:rPr>
        <w:t xml:space="preserve"> where those definitions are locked in, governed, and uniformly applied.</w:t>
      </w:r>
    </w:p>
    <w:p w14:paraId="4016DE11" w14:textId="787203DB" w:rsidR="5AB7E19B" w:rsidRDefault="5AB7E19B" w:rsidP="7CEA32DB">
      <w:pPr>
        <w:rPr>
          <w:b/>
          <w:bCs/>
          <w:sz w:val="22"/>
          <w:szCs w:val="22"/>
        </w:rPr>
      </w:pPr>
      <w:r w:rsidRPr="7CEA32DB">
        <w:rPr>
          <w:sz w:val="22"/>
          <w:szCs w:val="22"/>
        </w:rPr>
        <w:t>But for enterprises relying on legacy BI infrastructure, this poses a challenge:</w:t>
      </w:r>
      <w:r w:rsidRPr="7CEA32DB">
        <w:rPr>
          <w:b/>
          <w:bCs/>
          <w:sz w:val="22"/>
          <w:szCs w:val="22"/>
        </w:rPr>
        <w:t xml:space="preserve"> most traditional semantic layers are trapped inside specific BI tools, limiting how governed business logic can be reused </w:t>
      </w:r>
      <w:r w:rsidR="5E3F9ACA" w:rsidRPr="7CEA32DB">
        <w:rPr>
          <w:b/>
          <w:bCs/>
          <w:sz w:val="22"/>
          <w:szCs w:val="22"/>
        </w:rPr>
        <w:t xml:space="preserve">in </w:t>
      </w:r>
      <w:r w:rsidRPr="7CEA32DB">
        <w:rPr>
          <w:b/>
          <w:bCs/>
          <w:sz w:val="22"/>
          <w:szCs w:val="22"/>
        </w:rPr>
        <w:t>the broader data ecosystem.</w:t>
      </w:r>
    </w:p>
    <w:p w14:paraId="7D72D025" w14:textId="4973D104" w:rsidR="5AB7E19B" w:rsidRDefault="5AB7E19B" w:rsidP="7CEA32DB">
      <w:pPr>
        <w:rPr>
          <w:sz w:val="22"/>
          <w:szCs w:val="22"/>
        </w:rPr>
      </w:pPr>
      <w:r w:rsidRPr="7CEA32DB">
        <w:rPr>
          <w:sz w:val="22"/>
          <w:szCs w:val="22"/>
        </w:rPr>
        <w:t>When your metrics and logic are written in a proprietary format (like Power BI’s DAX), they cannot be read by Tableau, Python notebooks, or a downstream AI model. The moment data moves outside that specific tool, those definitions must be rebuilt, revalidated, and maintained all over again, creating additional governance overhead and opportunities for inconsistency.</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9344"/>
      </w:tblGrid>
      <w:tr w:rsidR="7CEA32DB" w14:paraId="136068B8" w14:textId="77777777" w:rsidTr="7CEA32DB">
        <w:trPr>
          <w:trHeight w:val="285"/>
        </w:trPr>
        <w:tc>
          <w:tcPr>
            <w:tcW w:w="9465" w:type="dxa"/>
            <w:tcBorders>
              <w:top w:val="single" w:sz="6" w:space="0" w:color="000000" w:themeColor="text1"/>
              <w:left w:val="single" w:sz="6" w:space="0" w:color="000000" w:themeColor="text1"/>
              <w:bottom w:val="nil"/>
              <w:right w:val="single" w:sz="6" w:space="0" w:color="000000" w:themeColor="text1"/>
            </w:tcBorders>
            <w:shd w:val="clear" w:color="auto" w:fill="F2F2F2" w:themeFill="background1" w:themeFillShade="F2"/>
            <w:tcMar>
              <w:left w:w="90" w:type="dxa"/>
              <w:right w:w="90" w:type="dxa"/>
            </w:tcMar>
            <w:vAlign w:val="center"/>
          </w:tcPr>
          <w:p w14:paraId="13408BC1" w14:textId="52117F52" w:rsidR="7CEA32DB" w:rsidRDefault="7CEA32DB" w:rsidP="7CEA32DB">
            <w:pPr>
              <w:rPr>
                <w:rFonts w:ascii="Aptos" w:eastAsia="Aptos" w:hAnsi="Aptos" w:cs="Aptos"/>
                <w:b/>
                <w:bCs/>
                <w:color w:val="000000" w:themeColor="text1"/>
                <w:sz w:val="22"/>
                <w:szCs w:val="22"/>
              </w:rPr>
            </w:pPr>
            <w:r>
              <w:br/>
            </w:r>
            <w:r w:rsidR="51CB6776" w:rsidRPr="7CEA32DB">
              <w:rPr>
                <w:rFonts w:ascii="Aptos" w:eastAsia="Aptos" w:hAnsi="Aptos" w:cs="Aptos"/>
                <w:b/>
                <w:bCs/>
                <w:color w:val="000000" w:themeColor="text1"/>
                <w:sz w:val="22"/>
                <w:szCs w:val="22"/>
              </w:rPr>
              <w:t>Why this matters</w:t>
            </w:r>
            <w:r w:rsidRPr="7CEA32DB">
              <w:rPr>
                <w:rFonts w:ascii="Aptos" w:eastAsia="Aptos" w:hAnsi="Aptos" w:cs="Aptos"/>
                <w:b/>
                <w:bCs/>
                <w:color w:val="000000" w:themeColor="text1"/>
                <w:sz w:val="22"/>
                <w:szCs w:val="22"/>
              </w:rPr>
              <w:t>:</w:t>
            </w:r>
          </w:p>
        </w:tc>
      </w:tr>
      <w:tr w:rsidR="7CEA32DB" w14:paraId="1209802A" w14:textId="77777777" w:rsidTr="7CEA32DB">
        <w:trPr>
          <w:trHeight w:val="900"/>
        </w:trPr>
        <w:tc>
          <w:tcPr>
            <w:tcW w:w="9465" w:type="dxa"/>
            <w:tcBorders>
              <w:top w:val="nil"/>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left w:w="90" w:type="dxa"/>
              <w:right w:w="90" w:type="dxa"/>
            </w:tcMar>
            <w:vAlign w:val="center"/>
          </w:tcPr>
          <w:p w14:paraId="46909C0D" w14:textId="1402D2CB" w:rsidR="27D4677B" w:rsidRDefault="27D4677B" w:rsidP="7CEA32DB">
            <w:pPr>
              <w:rPr>
                <w:rFonts w:ascii="Aptos" w:eastAsia="Aptos" w:hAnsi="Aptos" w:cs="Aptos"/>
                <w:color w:val="000000" w:themeColor="text1"/>
                <w:sz w:val="18"/>
                <w:szCs w:val="18"/>
              </w:rPr>
            </w:pPr>
            <w:r w:rsidRPr="7CEA32DB">
              <w:rPr>
                <w:rFonts w:ascii="Aptos" w:eastAsia="Aptos" w:hAnsi="Aptos" w:cs="Aptos"/>
                <w:color w:val="000000" w:themeColor="text1"/>
                <w:sz w:val="18"/>
                <w:szCs w:val="18"/>
              </w:rPr>
              <w:t>This fragmented approach completely fails in modern enterprise environments that manage thousands of data sources. To scale, enterprises don't just need a semantic layer for a single dashboard. They need a</w:t>
            </w:r>
            <w:r w:rsidR="4D5415A9" w:rsidRPr="7CEA32DB">
              <w:rPr>
                <w:rFonts w:ascii="Aptos" w:eastAsia="Aptos" w:hAnsi="Aptos" w:cs="Aptos"/>
                <w:color w:val="000000" w:themeColor="text1"/>
                <w:sz w:val="18"/>
                <w:szCs w:val="18"/>
              </w:rPr>
              <w:t xml:space="preserve"> governed semantic layer with consistent business logic that is universally accessible across the entire data stack.</w:t>
            </w:r>
          </w:p>
        </w:tc>
      </w:tr>
    </w:tbl>
    <w:p w14:paraId="74D609A5" w14:textId="417B2464" w:rsidR="1577B919" w:rsidRDefault="1577B919" w:rsidP="7CEA32DB">
      <w:pPr>
        <w:pStyle w:val="Heading2"/>
      </w:pPr>
    </w:p>
    <w:p w14:paraId="2F2D8837" w14:textId="3D417E89" w:rsidR="1577B919" w:rsidRDefault="1577B919" w:rsidP="7CEA32DB">
      <w:r>
        <w:br w:type="page"/>
      </w:r>
    </w:p>
    <w:p w14:paraId="77CB4501" w14:textId="65D29F4E" w:rsidR="1577B919" w:rsidRDefault="2DE22F8A" w:rsidP="7CEA32DB">
      <w:pPr>
        <w:pStyle w:val="Heading2"/>
      </w:pPr>
      <w:r>
        <w:lastRenderedPageBreak/>
        <w:t>The Benefits of An Independent Semantic Layer for BI and AI</w:t>
      </w:r>
    </w:p>
    <w:p w14:paraId="467199AF" w14:textId="7A544D55" w:rsidR="6DB6D004" w:rsidRDefault="6DB6D004" w:rsidP="7CEA32DB">
      <w:pPr>
        <w:rPr>
          <w:b/>
          <w:bCs/>
          <w:sz w:val="22"/>
          <w:szCs w:val="22"/>
        </w:rPr>
      </w:pPr>
      <w:r w:rsidRPr="7CEA32DB">
        <w:rPr>
          <w:b/>
          <w:bCs/>
          <w:sz w:val="22"/>
          <w:szCs w:val="22"/>
        </w:rPr>
        <w:t>Rather than sitting trapped inside a single frontend tool, a modern semantic layer operates as an independent, centralized architecture across your entire data stack, making governed data accessible wherever it is needed.</w:t>
      </w:r>
    </w:p>
    <w:p w14:paraId="41C5BE22" w14:textId="31F9C29D" w:rsidR="6DB6D004" w:rsidRDefault="6DB6D004" w:rsidP="7CEA32DB">
      <w:pPr>
        <w:rPr>
          <w:b/>
          <w:bCs/>
          <w:sz w:val="22"/>
          <w:szCs w:val="22"/>
        </w:rPr>
      </w:pPr>
      <w:r w:rsidRPr="7CEA32DB">
        <w:rPr>
          <w:sz w:val="22"/>
          <w:szCs w:val="22"/>
        </w:rPr>
        <w:t>It standardizes business logic, bridges disparate data sources, and extends governed definitions outward to every downstream system. This decouples your business logic from the tools that display it, allowing both enterprise analytics and AI-powered analytics initiatives to operate from the same trusted foundation.</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9344"/>
      </w:tblGrid>
      <w:tr w:rsidR="7CEA32DB" w14:paraId="44B44B39" w14:textId="77777777" w:rsidTr="7CEA32DB">
        <w:trPr>
          <w:trHeight w:val="285"/>
        </w:trPr>
        <w:tc>
          <w:tcPr>
            <w:tcW w:w="9465" w:type="dxa"/>
            <w:tcBorders>
              <w:top w:val="single" w:sz="6" w:space="0" w:color="000000" w:themeColor="text1"/>
              <w:left w:val="single" w:sz="6" w:space="0" w:color="000000" w:themeColor="text1"/>
              <w:bottom w:val="nil"/>
              <w:right w:val="single" w:sz="6" w:space="0" w:color="000000" w:themeColor="text1"/>
            </w:tcBorders>
            <w:shd w:val="clear" w:color="auto" w:fill="F2F2F2" w:themeFill="background1" w:themeFillShade="F2"/>
            <w:tcMar>
              <w:left w:w="90" w:type="dxa"/>
              <w:right w:w="90" w:type="dxa"/>
            </w:tcMar>
            <w:vAlign w:val="center"/>
          </w:tcPr>
          <w:p w14:paraId="18931A77" w14:textId="52117F52" w:rsidR="7CEA32DB" w:rsidRDefault="7CEA32DB" w:rsidP="7CEA32DB">
            <w:pPr>
              <w:rPr>
                <w:rFonts w:ascii="Aptos" w:eastAsia="Aptos" w:hAnsi="Aptos" w:cs="Aptos"/>
                <w:b/>
                <w:bCs/>
                <w:color w:val="000000" w:themeColor="text1"/>
                <w:sz w:val="22"/>
                <w:szCs w:val="22"/>
              </w:rPr>
            </w:pPr>
            <w:r>
              <w:br/>
            </w:r>
            <w:r w:rsidRPr="7CEA32DB">
              <w:rPr>
                <w:rFonts w:ascii="Aptos" w:eastAsia="Aptos" w:hAnsi="Aptos" w:cs="Aptos"/>
                <w:b/>
                <w:bCs/>
                <w:color w:val="000000" w:themeColor="text1"/>
                <w:sz w:val="22"/>
                <w:szCs w:val="22"/>
              </w:rPr>
              <w:t>Why this matters:</w:t>
            </w:r>
          </w:p>
        </w:tc>
      </w:tr>
      <w:tr w:rsidR="7CEA32DB" w14:paraId="5C8BB214" w14:textId="77777777" w:rsidTr="7CEA32DB">
        <w:trPr>
          <w:trHeight w:val="690"/>
        </w:trPr>
        <w:tc>
          <w:tcPr>
            <w:tcW w:w="9465" w:type="dxa"/>
            <w:tcBorders>
              <w:top w:val="nil"/>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left w:w="90" w:type="dxa"/>
              <w:right w:w="90" w:type="dxa"/>
            </w:tcMar>
            <w:vAlign w:val="center"/>
          </w:tcPr>
          <w:p w14:paraId="42501979" w14:textId="17AA53DA" w:rsidR="5D2B5614" w:rsidRDefault="5D2B5614" w:rsidP="7CEA32DB">
            <w:pPr>
              <w:rPr>
                <w:rFonts w:ascii="Aptos" w:eastAsia="Aptos" w:hAnsi="Aptos" w:cs="Aptos"/>
                <w:color w:val="000000" w:themeColor="text1"/>
                <w:sz w:val="18"/>
                <w:szCs w:val="18"/>
              </w:rPr>
            </w:pPr>
            <w:r w:rsidRPr="7CEA32DB">
              <w:rPr>
                <w:rFonts w:ascii="Aptos" w:eastAsia="Aptos" w:hAnsi="Aptos" w:cs="Aptos"/>
                <w:color w:val="000000" w:themeColor="text1"/>
                <w:sz w:val="18"/>
                <w:szCs w:val="18"/>
              </w:rPr>
              <w:t>Whether a metric is queried by an executive dashboard, a custom data application, or an AI model generating a real-time answer, the underlying definition remains identical because it is governed centrally rather than recreated locally.</w:t>
            </w:r>
          </w:p>
        </w:tc>
      </w:tr>
    </w:tbl>
    <w:p w14:paraId="168BD8EB" w14:textId="135D148D" w:rsidR="7CEA32DB" w:rsidRDefault="7CEA32DB" w:rsidP="7CEA32DB">
      <w:pPr>
        <w:rPr>
          <w:sz w:val="22"/>
          <w:szCs w:val="22"/>
        </w:rPr>
      </w:pPr>
    </w:p>
    <w:p w14:paraId="6845C1F2" w14:textId="2567D9AA" w:rsidR="26521774" w:rsidRDefault="26521774" w:rsidP="7CEA32DB">
      <w:pPr>
        <w:rPr>
          <w:sz w:val="22"/>
          <w:szCs w:val="22"/>
        </w:rPr>
      </w:pPr>
      <w:r w:rsidRPr="7CEA32DB">
        <w:rPr>
          <w:sz w:val="22"/>
          <w:szCs w:val="22"/>
        </w:rPr>
        <w:t xml:space="preserve">Because the logic is centralized, updates happen in a single place. </w:t>
      </w:r>
      <w:r w:rsidRPr="7CEA32DB">
        <w:rPr>
          <w:b/>
          <w:bCs/>
          <w:sz w:val="22"/>
          <w:szCs w:val="22"/>
        </w:rPr>
        <w:t xml:space="preserve">A change to a KPI calculation is made once and instantly reflected everywhere, eliminating the need to manually rebuild definitions </w:t>
      </w:r>
      <w:r w:rsidR="097A3A3A" w:rsidRPr="7CEA32DB">
        <w:rPr>
          <w:b/>
          <w:bCs/>
          <w:sz w:val="22"/>
          <w:szCs w:val="22"/>
        </w:rPr>
        <w:t xml:space="preserve">for </w:t>
      </w:r>
      <w:r w:rsidRPr="7CEA32DB">
        <w:rPr>
          <w:b/>
          <w:bCs/>
          <w:sz w:val="22"/>
          <w:szCs w:val="22"/>
        </w:rPr>
        <w:t xml:space="preserve">multiple pipelines. </w:t>
      </w:r>
    </w:p>
    <w:p w14:paraId="5AA1AA65" w14:textId="2F836D02" w:rsidR="4D2581D8" w:rsidRDefault="4D2581D8" w:rsidP="7CEA32DB">
      <w:pPr>
        <w:rPr>
          <w:sz w:val="22"/>
          <w:szCs w:val="22"/>
        </w:rPr>
      </w:pPr>
      <w:r w:rsidRPr="7CEA32DB">
        <w:rPr>
          <w:sz w:val="22"/>
          <w:szCs w:val="22"/>
        </w:rPr>
        <w:t>Furthermore, security and access controls can be governed directly at this logic level, ensuring that both human users and automated AI agents strictly operate within consistent, predefined boundaries aligned with enterprise governance policies.</w:t>
      </w:r>
    </w:p>
    <w:p w14:paraId="4F463F00" w14:textId="58125BDB" w:rsidR="4D2581D8" w:rsidRDefault="4D2581D8" w:rsidP="7CEA32DB">
      <w:pPr>
        <w:rPr>
          <w:sz w:val="22"/>
          <w:szCs w:val="22"/>
        </w:rPr>
      </w:pPr>
      <w:r w:rsidRPr="7CEA32DB">
        <w:rPr>
          <w:sz w:val="22"/>
          <w:szCs w:val="22"/>
        </w:rPr>
        <w:t>In other words, the semantic layer becomes the definitive, vendor-agnostic control center for how enterprise data is understood, trusted, and utilized across the entire organization, regardless of which BI tools, applications, or AI systems consume it.</w:t>
      </w:r>
    </w:p>
    <w:tbl>
      <w:tblPr>
        <w:tblStyle w:val="TableGrid"/>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none" w:sz="2" w:space="0" w:color="000000" w:themeColor="text1"/>
          <w:insideV w:val="none" w:sz="2" w:space="0" w:color="000000" w:themeColor="text1"/>
        </w:tblBorders>
        <w:tblLook w:val="06A0" w:firstRow="1" w:lastRow="0" w:firstColumn="1" w:lastColumn="0" w:noHBand="1" w:noVBand="1"/>
      </w:tblPr>
      <w:tblGrid>
        <w:gridCol w:w="9354"/>
      </w:tblGrid>
      <w:tr w:rsidR="506E9A72" w14:paraId="20310AE0" w14:textId="77777777" w:rsidTr="7CEA32DB">
        <w:trPr>
          <w:trHeight w:val="300"/>
        </w:trPr>
        <w:tc>
          <w:tcPr>
            <w:tcW w:w="9360" w:type="dxa"/>
            <w:vAlign w:val="center"/>
          </w:tcPr>
          <w:p w14:paraId="39253179" w14:textId="5646C49F" w:rsidR="2236C6BD" w:rsidRDefault="357A6E3B" w:rsidP="7CEA32DB">
            <w:pPr>
              <w:pStyle w:val="Heading4"/>
              <w:rPr>
                <w:sz w:val="20"/>
                <w:szCs w:val="20"/>
              </w:rPr>
            </w:pPr>
            <w:r>
              <w:t xml:space="preserve">Strategy Mosaic delivers an independent, vendor-agnostic semantic layer that integrates directly into your existing data stack. </w:t>
            </w:r>
            <w:r w:rsidR="536C7479">
              <w:t>Define your business logic once, govern it centrally, and deploy it consistently across all BI tools, data systems, and AI workflows, ensuring every analytics and AI experience is grounded in the same trusted definitions.</w:t>
            </w:r>
          </w:p>
        </w:tc>
      </w:tr>
      <w:tr w:rsidR="506E9A72" w14:paraId="28CFB23D" w14:textId="77777777" w:rsidTr="7CEA32DB">
        <w:trPr>
          <w:trHeight w:val="300"/>
        </w:trPr>
        <w:tc>
          <w:tcPr>
            <w:tcW w:w="9360" w:type="dxa"/>
            <w:vAlign w:val="center"/>
          </w:tcPr>
          <w:p w14:paraId="39DE19BF" w14:textId="77DF058F" w:rsidR="5B5CAF2B" w:rsidRDefault="15D15FED" w:rsidP="7CEA32DB">
            <w:pPr>
              <w:pStyle w:val="Heading4"/>
              <w:jc w:val="center"/>
              <w:rPr>
                <w:b/>
                <w:bCs/>
                <w:sz w:val="18"/>
                <w:szCs w:val="18"/>
              </w:rPr>
            </w:pPr>
            <w:r w:rsidRPr="7CEA32DB">
              <w:rPr>
                <w:b/>
                <w:bCs/>
              </w:rPr>
              <w:t>Explore Strategy Mosaic →</w:t>
            </w:r>
          </w:p>
        </w:tc>
      </w:tr>
    </w:tbl>
    <w:p w14:paraId="60990443" w14:textId="6A1E35E2" w:rsidR="1FE4E4DC" w:rsidRDefault="614D75C3" w:rsidP="7CEA32DB">
      <w:pPr>
        <w:pStyle w:val="Heading2"/>
      </w:pPr>
      <w:r>
        <w:t>How a Governed Semantic Layer Transforms Your Workflows</w:t>
      </w:r>
    </w:p>
    <w:p w14:paraId="3C2C1576" w14:textId="6992B66F" w:rsidR="48840D62" w:rsidRDefault="48840D62" w:rsidP="7CEA32DB">
      <w:pPr>
        <w:rPr>
          <w:sz w:val="22"/>
          <w:szCs w:val="22"/>
        </w:rPr>
      </w:pPr>
      <w:r w:rsidRPr="7CEA32DB">
        <w:rPr>
          <w:sz w:val="22"/>
          <w:szCs w:val="22"/>
        </w:rPr>
        <w:t>Once an independent semantic layer is applied across the data stack, much of the friction inside your data operations disappears.</w:t>
      </w:r>
    </w:p>
    <w:p w14:paraId="25077C5F" w14:textId="05CDA144" w:rsidR="48840D62" w:rsidRDefault="48840D62" w:rsidP="7CEA32DB">
      <w:pPr>
        <w:rPr>
          <w:sz w:val="22"/>
          <w:szCs w:val="22"/>
        </w:rPr>
      </w:pPr>
      <w:r w:rsidRPr="7CEA32DB">
        <w:rPr>
          <w:b/>
          <w:bCs/>
          <w:sz w:val="22"/>
          <w:szCs w:val="22"/>
        </w:rPr>
        <w:t>Instead of forcing engineers to rebuild metrics inside every individual dashboard or report, definitions are locked in at the core and distributed consistently across workflows.</w:t>
      </w:r>
    </w:p>
    <w:p w14:paraId="358B4108" w14:textId="58A8B09E" w:rsidR="3CE7CFCF" w:rsidRDefault="3CE7CFCF" w:rsidP="7CEA32DB">
      <w:pPr>
        <w:rPr>
          <w:sz w:val="22"/>
          <w:szCs w:val="22"/>
        </w:rPr>
      </w:pPr>
      <w:r w:rsidRPr="7CEA32DB">
        <w:rPr>
          <w:sz w:val="22"/>
          <w:szCs w:val="22"/>
        </w:rPr>
        <w:t xml:space="preserve">This semantic layer fundamentally changes how AI systems operate </w:t>
      </w:r>
      <w:r w:rsidR="13C13922" w:rsidRPr="7CEA32DB">
        <w:rPr>
          <w:sz w:val="22"/>
          <w:szCs w:val="22"/>
        </w:rPr>
        <w:t>within the organization</w:t>
      </w:r>
      <w:r w:rsidRPr="7CEA32DB">
        <w:rPr>
          <w:sz w:val="22"/>
          <w:szCs w:val="22"/>
        </w:rPr>
        <w:t>. Instead of forcing LLMs and AI agents to generate outputs from fragmented, messy tables, your models operate strictly within a governed layer of definitions.</w:t>
      </w:r>
    </w:p>
    <w:tbl>
      <w:tblPr>
        <w:tblW w:w="0" w:type="auto"/>
        <w:jc w:val="center"/>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4061"/>
        <w:gridCol w:w="4915"/>
      </w:tblGrid>
      <w:tr w:rsidR="7CEA32DB" w14:paraId="01806E60" w14:textId="77777777" w:rsidTr="7CEA32DB">
        <w:trPr>
          <w:trHeight w:val="552"/>
          <w:jc w:val="center"/>
        </w:trPr>
        <w:tc>
          <w:tcPr>
            <w:tcW w:w="4061" w:type="dxa"/>
            <w:vAlign w:val="center"/>
          </w:tcPr>
          <w:p w14:paraId="7F43F4EE" w14:textId="4232D5F1" w:rsidR="7CEA32DB" w:rsidRDefault="7CEA32DB" w:rsidP="7CEA32DB">
            <w:pPr>
              <w:spacing w:after="0"/>
              <w:jc w:val="center"/>
              <w:rPr>
                <w:b/>
                <w:bCs/>
                <w:sz w:val="20"/>
                <w:szCs w:val="20"/>
              </w:rPr>
            </w:pPr>
            <w:r w:rsidRPr="7CEA32DB">
              <w:rPr>
                <w:b/>
                <w:bCs/>
                <w:sz w:val="22"/>
                <w:szCs w:val="22"/>
              </w:rPr>
              <w:lastRenderedPageBreak/>
              <w:t>Before a modern semantic layer</w:t>
            </w:r>
          </w:p>
        </w:tc>
        <w:tc>
          <w:tcPr>
            <w:tcW w:w="4915" w:type="dxa"/>
            <w:vAlign w:val="center"/>
          </w:tcPr>
          <w:p w14:paraId="02611752" w14:textId="718DFBE2" w:rsidR="7CEA32DB" w:rsidRDefault="7CEA32DB" w:rsidP="7CEA32DB">
            <w:pPr>
              <w:spacing w:after="0"/>
              <w:jc w:val="center"/>
              <w:rPr>
                <w:b/>
                <w:bCs/>
                <w:sz w:val="20"/>
                <w:szCs w:val="20"/>
              </w:rPr>
            </w:pPr>
            <w:r w:rsidRPr="7CEA32DB">
              <w:rPr>
                <w:b/>
                <w:bCs/>
                <w:sz w:val="22"/>
                <w:szCs w:val="22"/>
              </w:rPr>
              <w:t>After a modern semantic layer</w:t>
            </w:r>
          </w:p>
        </w:tc>
      </w:tr>
      <w:tr w:rsidR="7CEA32DB" w14:paraId="6382E3E5" w14:textId="77777777" w:rsidTr="7CEA32DB">
        <w:trPr>
          <w:trHeight w:val="300"/>
          <w:jc w:val="center"/>
        </w:trPr>
        <w:tc>
          <w:tcPr>
            <w:tcW w:w="4061" w:type="dxa"/>
            <w:vAlign w:val="center"/>
          </w:tcPr>
          <w:p w14:paraId="1F69D3EC" w14:textId="615D03D4" w:rsidR="7CEA32DB" w:rsidRDefault="7CEA32DB" w:rsidP="7CEA32DB">
            <w:pPr>
              <w:spacing w:after="0"/>
              <w:rPr>
                <w:sz w:val="20"/>
                <w:szCs w:val="20"/>
              </w:rPr>
            </w:pPr>
            <w:r w:rsidRPr="7CEA32DB">
              <w:rPr>
                <w:sz w:val="22"/>
                <w:szCs w:val="22"/>
              </w:rPr>
              <w:t>Metrics defined separately across tools</w:t>
            </w:r>
          </w:p>
        </w:tc>
        <w:tc>
          <w:tcPr>
            <w:tcW w:w="4915" w:type="dxa"/>
            <w:vAlign w:val="center"/>
          </w:tcPr>
          <w:p w14:paraId="79820FEA" w14:textId="43C6B28C" w:rsidR="7CEA32DB" w:rsidRDefault="7CEA32DB" w:rsidP="7CEA32DB">
            <w:pPr>
              <w:spacing w:after="0"/>
              <w:rPr>
                <w:sz w:val="20"/>
                <w:szCs w:val="20"/>
              </w:rPr>
            </w:pPr>
            <w:r w:rsidRPr="7CEA32DB">
              <w:rPr>
                <w:sz w:val="22"/>
                <w:szCs w:val="22"/>
              </w:rPr>
              <w:t>Metrics defined once and reused everywhere</w:t>
            </w:r>
          </w:p>
        </w:tc>
      </w:tr>
      <w:tr w:rsidR="7CEA32DB" w14:paraId="22CACA84" w14:textId="77777777" w:rsidTr="7CEA32DB">
        <w:trPr>
          <w:trHeight w:val="300"/>
          <w:jc w:val="center"/>
        </w:trPr>
        <w:tc>
          <w:tcPr>
            <w:tcW w:w="4061" w:type="dxa"/>
            <w:vAlign w:val="center"/>
          </w:tcPr>
          <w:p w14:paraId="08413481" w14:textId="7BEAA168" w:rsidR="7CEA32DB" w:rsidRDefault="7CEA32DB" w:rsidP="7CEA32DB">
            <w:pPr>
              <w:spacing w:after="0"/>
              <w:rPr>
                <w:sz w:val="20"/>
                <w:szCs w:val="20"/>
              </w:rPr>
            </w:pPr>
            <w:r w:rsidRPr="7CEA32DB">
              <w:rPr>
                <w:sz w:val="22"/>
                <w:szCs w:val="22"/>
              </w:rPr>
              <w:t>AI outputs vary across teams</w:t>
            </w:r>
          </w:p>
        </w:tc>
        <w:tc>
          <w:tcPr>
            <w:tcW w:w="4915" w:type="dxa"/>
            <w:vAlign w:val="center"/>
          </w:tcPr>
          <w:p w14:paraId="64F486D2" w14:textId="410E6A8A" w:rsidR="1FF992E4" w:rsidRDefault="1FF992E4" w:rsidP="7CEA32DB">
            <w:pPr>
              <w:spacing w:after="0"/>
              <w:rPr>
                <w:sz w:val="20"/>
                <w:szCs w:val="20"/>
              </w:rPr>
            </w:pPr>
            <w:r w:rsidRPr="7CEA32DB">
              <w:rPr>
                <w:sz w:val="22"/>
                <w:szCs w:val="22"/>
              </w:rPr>
              <w:t>AI outputs grounded in consistent, governed logic</w:t>
            </w:r>
          </w:p>
        </w:tc>
      </w:tr>
      <w:tr w:rsidR="7CEA32DB" w14:paraId="4B854A82" w14:textId="77777777" w:rsidTr="7CEA32DB">
        <w:trPr>
          <w:trHeight w:val="300"/>
          <w:jc w:val="center"/>
        </w:trPr>
        <w:tc>
          <w:tcPr>
            <w:tcW w:w="4061" w:type="dxa"/>
            <w:vAlign w:val="center"/>
          </w:tcPr>
          <w:p w14:paraId="3F2AE81F" w14:textId="3967F46A" w:rsidR="7CEA32DB" w:rsidRDefault="7CEA32DB" w:rsidP="7CEA32DB">
            <w:pPr>
              <w:spacing w:after="0"/>
              <w:rPr>
                <w:sz w:val="20"/>
                <w:szCs w:val="20"/>
              </w:rPr>
            </w:pPr>
            <w:r w:rsidRPr="7CEA32DB">
              <w:rPr>
                <w:sz w:val="22"/>
                <w:szCs w:val="22"/>
              </w:rPr>
              <w:t>Logic tied to specific BI tools</w:t>
            </w:r>
          </w:p>
        </w:tc>
        <w:tc>
          <w:tcPr>
            <w:tcW w:w="4915" w:type="dxa"/>
            <w:vAlign w:val="center"/>
          </w:tcPr>
          <w:p w14:paraId="16390993" w14:textId="69A50975" w:rsidR="7CEA32DB" w:rsidRDefault="7CEA32DB" w:rsidP="7CEA32DB">
            <w:pPr>
              <w:spacing w:after="0"/>
              <w:rPr>
                <w:sz w:val="20"/>
                <w:szCs w:val="20"/>
              </w:rPr>
            </w:pPr>
            <w:r w:rsidRPr="7CEA32DB">
              <w:rPr>
                <w:sz w:val="22"/>
                <w:szCs w:val="22"/>
              </w:rPr>
              <w:t>Logic shared across the entire data stack</w:t>
            </w:r>
          </w:p>
        </w:tc>
      </w:tr>
      <w:tr w:rsidR="7CEA32DB" w14:paraId="45A2FC86" w14:textId="77777777" w:rsidTr="7CEA32DB">
        <w:trPr>
          <w:trHeight w:val="300"/>
          <w:jc w:val="center"/>
        </w:trPr>
        <w:tc>
          <w:tcPr>
            <w:tcW w:w="4061" w:type="dxa"/>
            <w:vAlign w:val="center"/>
          </w:tcPr>
          <w:p w14:paraId="2531DA28" w14:textId="116B7C4E" w:rsidR="7CEA32DB" w:rsidRDefault="7CEA32DB" w:rsidP="7CEA32DB">
            <w:pPr>
              <w:spacing w:after="0"/>
              <w:rPr>
                <w:sz w:val="20"/>
                <w:szCs w:val="20"/>
              </w:rPr>
            </w:pPr>
            <w:r w:rsidRPr="7CEA32DB">
              <w:rPr>
                <w:sz w:val="22"/>
                <w:szCs w:val="22"/>
              </w:rPr>
              <w:t>Conflicting dashboards</w:t>
            </w:r>
          </w:p>
        </w:tc>
        <w:tc>
          <w:tcPr>
            <w:tcW w:w="4915" w:type="dxa"/>
            <w:vAlign w:val="center"/>
          </w:tcPr>
          <w:p w14:paraId="5FC3A3C0" w14:textId="5A11EA64" w:rsidR="7CEA32DB" w:rsidRDefault="7CEA32DB" w:rsidP="7CEA32DB">
            <w:pPr>
              <w:spacing w:after="0"/>
              <w:rPr>
                <w:sz w:val="20"/>
                <w:szCs w:val="20"/>
              </w:rPr>
            </w:pPr>
            <w:r w:rsidRPr="7CEA32DB">
              <w:rPr>
                <w:sz w:val="22"/>
                <w:szCs w:val="22"/>
              </w:rPr>
              <w:t>Consistent outputs across all tools</w:t>
            </w:r>
          </w:p>
        </w:tc>
      </w:tr>
      <w:tr w:rsidR="7CEA32DB" w14:paraId="420152DE" w14:textId="77777777" w:rsidTr="7CEA32DB">
        <w:trPr>
          <w:trHeight w:val="300"/>
          <w:jc w:val="center"/>
        </w:trPr>
        <w:tc>
          <w:tcPr>
            <w:tcW w:w="4061" w:type="dxa"/>
            <w:vAlign w:val="center"/>
          </w:tcPr>
          <w:p w14:paraId="21C2BDBF" w14:textId="3EB2E076" w:rsidR="7CEA32DB" w:rsidRDefault="7CEA32DB" w:rsidP="7CEA32DB">
            <w:pPr>
              <w:spacing w:after="0"/>
              <w:rPr>
                <w:sz w:val="20"/>
                <w:szCs w:val="20"/>
              </w:rPr>
            </w:pPr>
            <w:r w:rsidRPr="7CEA32DB">
              <w:rPr>
                <w:sz w:val="22"/>
                <w:szCs w:val="22"/>
              </w:rPr>
              <w:t>Manual validation and reconciliation</w:t>
            </w:r>
          </w:p>
        </w:tc>
        <w:tc>
          <w:tcPr>
            <w:tcW w:w="4915" w:type="dxa"/>
            <w:vAlign w:val="center"/>
          </w:tcPr>
          <w:p w14:paraId="7DD88587" w14:textId="744D46A7" w:rsidR="7CEA32DB" w:rsidRDefault="7CEA32DB" w:rsidP="7CEA32DB">
            <w:pPr>
              <w:spacing w:after="0"/>
              <w:rPr>
                <w:sz w:val="20"/>
                <w:szCs w:val="20"/>
              </w:rPr>
            </w:pPr>
            <w:r w:rsidRPr="7CEA32DB">
              <w:rPr>
                <w:sz w:val="22"/>
                <w:szCs w:val="22"/>
              </w:rPr>
              <w:t>Aligned data by default</w:t>
            </w:r>
          </w:p>
        </w:tc>
      </w:tr>
    </w:tbl>
    <w:p w14:paraId="18C54162" w14:textId="6515F26F" w:rsidR="2645FBCC" w:rsidRDefault="2645FBCC" w:rsidP="7CEA32DB">
      <w:pPr>
        <w:rPr>
          <w:sz w:val="22"/>
          <w:szCs w:val="22"/>
        </w:rPr>
      </w:pPr>
      <w:r w:rsidRPr="7CEA32DB">
        <w:rPr>
          <w:sz w:val="22"/>
          <w:szCs w:val="22"/>
        </w:rPr>
        <w:t xml:space="preserve"> </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9344"/>
      </w:tblGrid>
      <w:tr w:rsidR="7CEA32DB" w14:paraId="189A0F46" w14:textId="77777777" w:rsidTr="7CEA32DB">
        <w:trPr>
          <w:trHeight w:val="285"/>
        </w:trPr>
        <w:tc>
          <w:tcPr>
            <w:tcW w:w="9465" w:type="dxa"/>
            <w:tcBorders>
              <w:top w:val="single" w:sz="6" w:space="0" w:color="000000" w:themeColor="text1"/>
              <w:left w:val="single" w:sz="6" w:space="0" w:color="000000" w:themeColor="text1"/>
              <w:bottom w:val="nil"/>
              <w:right w:val="single" w:sz="6" w:space="0" w:color="000000" w:themeColor="text1"/>
            </w:tcBorders>
            <w:shd w:val="clear" w:color="auto" w:fill="F2F2F2" w:themeFill="background1" w:themeFillShade="F2"/>
            <w:tcMar>
              <w:left w:w="90" w:type="dxa"/>
              <w:right w:w="90" w:type="dxa"/>
            </w:tcMar>
            <w:vAlign w:val="center"/>
          </w:tcPr>
          <w:p w14:paraId="631FDA3E" w14:textId="41DB38DB" w:rsidR="7CEA32DB" w:rsidRDefault="7CEA32DB" w:rsidP="7CEA32DB">
            <w:pPr>
              <w:rPr>
                <w:rFonts w:ascii="Aptos" w:eastAsia="Aptos" w:hAnsi="Aptos" w:cs="Aptos"/>
                <w:b/>
                <w:bCs/>
                <w:color w:val="000000" w:themeColor="text1"/>
                <w:sz w:val="22"/>
                <w:szCs w:val="22"/>
              </w:rPr>
            </w:pPr>
            <w:r>
              <w:br/>
            </w:r>
            <w:r w:rsidR="6E77B844" w:rsidRPr="7CEA32DB">
              <w:rPr>
                <w:rFonts w:ascii="Aptos" w:eastAsia="Aptos" w:hAnsi="Aptos" w:cs="Aptos"/>
                <w:b/>
                <w:bCs/>
                <w:color w:val="000000" w:themeColor="text1"/>
                <w:sz w:val="22"/>
                <w:szCs w:val="22"/>
              </w:rPr>
              <w:t>Why this matters</w:t>
            </w:r>
            <w:r w:rsidRPr="7CEA32DB">
              <w:rPr>
                <w:rFonts w:ascii="Aptos" w:eastAsia="Aptos" w:hAnsi="Aptos" w:cs="Aptos"/>
                <w:b/>
                <w:bCs/>
                <w:color w:val="000000" w:themeColor="text1"/>
                <w:sz w:val="22"/>
                <w:szCs w:val="22"/>
              </w:rPr>
              <w:t>:</w:t>
            </w:r>
          </w:p>
        </w:tc>
      </w:tr>
      <w:tr w:rsidR="7CEA32DB" w14:paraId="0796E2E3" w14:textId="77777777" w:rsidTr="7CEA32DB">
        <w:trPr>
          <w:trHeight w:val="1290"/>
        </w:trPr>
        <w:tc>
          <w:tcPr>
            <w:tcW w:w="9465" w:type="dxa"/>
            <w:tcBorders>
              <w:top w:val="nil"/>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left w:w="90" w:type="dxa"/>
              <w:right w:w="90" w:type="dxa"/>
            </w:tcMar>
            <w:vAlign w:val="center"/>
          </w:tcPr>
          <w:p w14:paraId="5CEFAC7A" w14:textId="767C0B26" w:rsidR="5FF673BC" w:rsidRDefault="5FF673BC" w:rsidP="7CEA32DB">
            <w:pPr>
              <w:rPr>
                <w:rFonts w:ascii="Aptos" w:eastAsia="Aptos" w:hAnsi="Aptos" w:cs="Aptos"/>
                <w:color w:val="000000" w:themeColor="text1"/>
                <w:sz w:val="18"/>
                <w:szCs w:val="18"/>
              </w:rPr>
            </w:pPr>
            <w:r w:rsidRPr="7CEA32DB">
              <w:rPr>
                <w:rFonts w:ascii="Aptos" w:eastAsia="Aptos" w:hAnsi="Aptos" w:cs="Aptos"/>
                <w:color w:val="000000" w:themeColor="text1"/>
                <w:sz w:val="18"/>
                <w:szCs w:val="18"/>
              </w:rPr>
              <w:t>Your analysts stop acting as data detectives spending hours validating numbers and finally get to spend their time using them to drive strategy. Executive dashboards stop conflicting because they are no longer pulling from different interpretations of the same database tables. Teams spend less time debating definitions and more time acting on trusted insights. Data reconciliation efforts are dramatically reduced because governed logic is applied consistently across the environment.</w:t>
            </w:r>
          </w:p>
        </w:tc>
      </w:tr>
    </w:tbl>
    <w:p w14:paraId="605F0698" w14:textId="0172F4AB" w:rsidR="21415ECF" w:rsidRDefault="21415ECF" w:rsidP="506E9A72"/>
    <w:p w14:paraId="76F4C5A5" w14:textId="48A9F25D" w:rsidR="2CB62326" w:rsidRDefault="2CE0D08C" w:rsidP="506E9A72">
      <w:pPr>
        <w:pStyle w:val="Heading2"/>
      </w:pPr>
      <w:r>
        <w:t>Next Steps: Building a Governed Foundation for BI and AI</w:t>
      </w:r>
    </w:p>
    <w:p w14:paraId="584CCC19" w14:textId="11E36B0F" w:rsidR="129904E6" w:rsidRDefault="129904E6" w:rsidP="7CEA32DB">
      <w:pPr>
        <w:rPr>
          <w:sz w:val="22"/>
          <w:szCs w:val="22"/>
        </w:rPr>
      </w:pPr>
      <w:r w:rsidRPr="7CEA32DB">
        <w:rPr>
          <w:sz w:val="22"/>
          <w:szCs w:val="22"/>
        </w:rPr>
        <w:t xml:space="preserve">If your tech stack can’t agree on what your data means, that inconsistency spreads </w:t>
      </w:r>
      <w:r w:rsidR="391C9C1C" w:rsidRPr="7CEA32DB">
        <w:rPr>
          <w:sz w:val="22"/>
          <w:szCs w:val="22"/>
        </w:rPr>
        <w:t xml:space="preserve">through </w:t>
      </w:r>
      <w:r w:rsidRPr="7CEA32DB">
        <w:rPr>
          <w:sz w:val="22"/>
          <w:szCs w:val="22"/>
        </w:rPr>
        <w:t>every connected tool and application. It fragments human workflows and weakens AI outputs, making it difficult to trust your insights or act on them with confidence.</w:t>
      </w:r>
    </w:p>
    <w:p w14:paraId="4100D831" w14:textId="3C7B7027" w:rsidR="129904E6" w:rsidRDefault="129904E6" w:rsidP="7CEA32DB">
      <w:pPr>
        <w:rPr>
          <w:sz w:val="22"/>
          <w:szCs w:val="22"/>
        </w:rPr>
      </w:pPr>
      <w:r w:rsidRPr="7CEA32DB">
        <w:rPr>
          <w:sz w:val="22"/>
          <w:szCs w:val="22"/>
        </w:rPr>
        <w:t>Fixing this requires a fundamental shift in how organizations approach data architecture.</w:t>
      </w:r>
    </w:p>
    <w:p w14:paraId="51A60ADD" w14:textId="4CD3100B" w:rsidR="129904E6" w:rsidRDefault="129904E6" w:rsidP="7CEA32DB">
      <w:pPr>
        <w:rPr>
          <w:sz w:val="22"/>
          <w:szCs w:val="22"/>
        </w:rPr>
      </w:pPr>
      <w:r w:rsidRPr="7CEA32DB">
        <w:rPr>
          <w:b/>
          <w:bCs/>
          <w:sz w:val="22"/>
          <w:szCs w:val="22"/>
        </w:rPr>
        <w:t>Instead of treating business logic as something managed inside individual tools, it must be defined once at the core and applied consistently across the entire environment.</w:t>
      </w:r>
    </w:p>
    <w:p w14:paraId="1618826A" w14:textId="15C21EF2" w:rsidR="59303AF1" w:rsidRDefault="59303AF1" w:rsidP="7CEA32DB">
      <w:pPr>
        <w:rPr>
          <w:sz w:val="22"/>
          <w:szCs w:val="22"/>
        </w:rPr>
      </w:pPr>
      <w:r w:rsidRPr="7CEA32DB">
        <w:rPr>
          <w:sz w:val="22"/>
          <w:szCs w:val="22"/>
        </w:rPr>
        <w:t>An independent semantic layer enables this shift by completely separating your business logic from the tools that consume it, ensuring that the same definitions support a semantic layer for BI, analytics applications, and AI systems alike.</w:t>
      </w:r>
    </w:p>
    <w:p w14:paraId="6097966F" w14:textId="73A8242C" w:rsidR="129904E6" w:rsidRDefault="129904E6" w:rsidP="7CEA32DB">
      <w:pPr>
        <w:rPr>
          <w:sz w:val="22"/>
          <w:szCs w:val="22"/>
        </w:rPr>
      </w:pPr>
      <w:r w:rsidRPr="7CEA32DB">
        <w:rPr>
          <w:sz w:val="22"/>
          <w:szCs w:val="22"/>
        </w:rPr>
        <w:t>It moves the focus away from constantly validating numbers and fixing fragmented data, creating a sustainable environment where both human teams and automated AI systems operate within clearly defined, trusted, and governed boundaries.</w:t>
      </w:r>
    </w:p>
    <w:tbl>
      <w:tblPr>
        <w:tblStyle w:val="TableGrid"/>
        <w:tblW w:w="0" w:type="auto"/>
        <w:jc w:val="center"/>
        <w:tblLook w:val="06A0" w:firstRow="1" w:lastRow="0" w:firstColumn="1" w:lastColumn="0" w:noHBand="1" w:noVBand="1"/>
      </w:tblPr>
      <w:tblGrid>
        <w:gridCol w:w="5723"/>
        <w:gridCol w:w="3627"/>
      </w:tblGrid>
      <w:tr w:rsidR="506E9A72" w14:paraId="79C22559" w14:textId="77777777" w:rsidTr="3F96F731">
        <w:trPr>
          <w:trHeight w:val="300"/>
          <w:jc w:val="center"/>
        </w:trPr>
        <w:tc>
          <w:tcPr>
            <w:tcW w:w="5730" w:type="dxa"/>
            <w:vAlign w:val="center"/>
          </w:tcPr>
          <w:p w14:paraId="09C145E3" w14:textId="0C19219B" w:rsidR="315BDDEA" w:rsidRDefault="0801E888" w:rsidP="506E9A72">
            <w:pPr>
              <w:pStyle w:val="Heading4"/>
            </w:pPr>
            <w:r>
              <w:t>If your data logic is tied to a specific BI tool or vendor, your analytics and AI capabilities inherit those limitations as well.</w:t>
            </w:r>
          </w:p>
          <w:p w14:paraId="4302CEDC" w14:textId="3BAD7DCF" w:rsidR="315BDDEA" w:rsidRDefault="2319B903" w:rsidP="506E9A72">
            <w:pPr>
              <w:pStyle w:val="Heading4"/>
            </w:pPr>
            <w:r>
              <w:t>When evaluating a</w:t>
            </w:r>
            <w:r w:rsidR="6E70B2D9">
              <w:t>n independent</w:t>
            </w:r>
            <w:r>
              <w:t xml:space="preserve"> semantic layer, the key is choosing one that keeps your logic consistent across every tool, system, and use case.</w:t>
            </w:r>
          </w:p>
        </w:tc>
        <w:tc>
          <w:tcPr>
            <w:tcW w:w="3630" w:type="dxa"/>
            <w:vAlign w:val="center"/>
          </w:tcPr>
          <w:p w14:paraId="22180292" w14:textId="393B6FB5" w:rsidR="3B026951" w:rsidRDefault="36619593" w:rsidP="506E9A72">
            <w:pPr>
              <w:pStyle w:val="Heading4"/>
              <w:jc w:val="center"/>
            </w:pPr>
            <w:r>
              <w:t>How to Choose a</w:t>
            </w:r>
            <w:r w:rsidR="387B365A">
              <w:t xml:space="preserve">n Independent </w:t>
            </w:r>
            <w:r>
              <w:t>Semantic Layer →</w:t>
            </w:r>
          </w:p>
        </w:tc>
      </w:tr>
    </w:tbl>
    <w:p w14:paraId="68DA2474" w14:textId="5808FB3E" w:rsidR="21415ECF" w:rsidRDefault="21415ECF" w:rsidP="7CEA32DB"/>
    <w:sectPr w:rsidR="21415E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bookmark int2:bookmarkName="_Int_IaXzrAgJ" int2:invalidationBookmarkName="" int2:hashCode="7i6/UTMFG/Oc1J" int2:id="LacrYL4B">
      <int2:state int2:value="Rejected" int2:type="gram"/>
    </int2:bookmark>
    <int2:bookmark int2:bookmarkName="_Int_RU2rd4pS" int2:invalidationBookmarkName="" int2:hashCode="5s/AM0YGe/I0Mr" int2:id="VawM5yKG">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0959"/>
    <w:multiLevelType w:val="hybridMultilevel"/>
    <w:tmpl w:val="FFFFFFFF"/>
    <w:lvl w:ilvl="0" w:tplc="33DCDDE8">
      <w:start w:val="1"/>
      <w:numFmt w:val="bullet"/>
      <w:lvlText w:val="-"/>
      <w:lvlJc w:val="left"/>
      <w:pPr>
        <w:ind w:left="720" w:hanging="360"/>
      </w:pPr>
      <w:rPr>
        <w:rFonts w:ascii="Aptos" w:hAnsi="Aptos" w:hint="default"/>
      </w:rPr>
    </w:lvl>
    <w:lvl w:ilvl="1" w:tplc="B3E280BC">
      <w:start w:val="1"/>
      <w:numFmt w:val="bullet"/>
      <w:lvlText w:val="o"/>
      <w:lvlJc w:val="left"/>
      <w:pPr>
        <w:ind w:left="1440" w:hanging="360"/>
      </w:pPr>
      <w:rPr>
        <w:rFonts w:ascii="Courier New" w:hAnsi="Courier New" w:hint="default"/>
      </w:rPr>
    </w:lvl>
    <w:lvl w:ilvl="2" w:tplc="55342E54">
      <w:start w:val="1"/>
      <w:numFmt w:val="bullet"/>
      <w:lvlText w:val=""/>
      <w:lvlJc w:val="left"/>
      <w:pPr>
        <w:ind w:left="2160" w:hanging="360"/>
      </w:pPr>
      <w:rPr>
        <w:rFonts w:ascii="Wingdings" w:hAnsi="Wingdings" w:hint="default"/>
      </w:rPr>
    </w:lvl>
    <w:lvl w:ilvl="3" w:tplc="D0D283B0">
      <w:start w:val="1"/>
      <w:numFmt w:val="bullet"/>
      <w:lvlText w:val=""/>
      <w:lvlJc w:val="left"/>
      <w:pPr>
        <w:ind w:left="2880" w:hanging="360"/>
      </w:pPr>
      <w:rPr>
        <w:rFonts w:ascii="Symbol" w:hAnsi="Symbol" w:hint="default"/>
      </w:rPr>
    </w:lvl>
    <w:lvl w:ilvl="4" w:tplc="8A4E769E">
      <w:start w:val="1"/>
      <w:numFmt w:val="bullet"/>
      <w:lvlText w:val="o"/>
      <w:lvlJc w:val="left"/>
      <w:pPr>
        <w:ind w:left="3600" w:hanging="360"/>
      </w:pPr>
      <w:rPr>
        <w:rFonts w:ascii="Courier New" w:hAnsi="Courier New" w:hint="default"/>
      </w:rPr>
    </w:lvl>
    <w:lvl w:ilvl="5" w:tplc="2750A02E">
      <w:start w:val="1"/>
      <w:numFmt w:val="bullet"/>
      <w:lvlText w:val=""/>
      <w:lvlJc w:val="left"/>
      <w:pPr>
        <w:ind w:left="4320" w:hanging="360"/>
      </w:pPr>
      <w:rPr>
        <w:rFonts w:ascii="Wingdings" w:hAnsi="Wingdings" w:hint="default"/>
      </w:rPr>
    </w:lvl>
    <w:lvl w:ilvl="6" w:tplc="7AA0A9E0">
      <w:start w:val="1"/>
      <w:numFmt w:val="bullet"/>
      <w:lvlText w:val=""/>
      <w:lvlJc w:val="left"/>
      <w:pPr>
        <w:ind w:left="5040" w:hanging="360"/>
      </w:pPr>
      <w:rPr>
        <w:rFonts w:ascii="Symbol" w:hAnsi="Symbol" w:hint="default"/>
      </w:rPr>
    </w:lvl>
    <w:lvl w:ilvl="7" w:tplc="991C6FCC">
      <w:start w:val="1"/>
      <w:numFmt w:val="bullet"/>
      <w:lvlText w:val="o"/>
      <w:lvlJc w:val="left"/>
      <w:pPr>
        <w:ind w:left="5760" w:hanging="360"/>
      </w:pPr>
      <w:rPr>
        <w:rFonts w:ascii="Courier New" w:hAnsi="Courier New" w:hint="default"/>
      </w:rPr>
    </w:lvl>
    <w:lvl w:ilvl="8" w:tplc="3D7AF256">
      <w:start w:val="1"/>
      <w:numFmt w:val="bullet"/>
      <w:lvlText w:val=""/>
      <w:lvlJc w:val="left"/>
      <w:pPr>
        <w:ind w:left="6480" w:hanging="360"/>
      </w:pPr>
      <w:rPr>
        <w:rFonts w:ascii="Wingdings" w:hAnsi="Wingdings" w:hint="default"/>
      </w:rPr>
    </w:lvl>
  </w:abstractNum>
  <w:abstractNum w:abstractNumId="1" w15:restartNumberingAfterBreak="0">
    <w:nsid w:val="4069A196"/>
    <w:multiLevelType w:val="hybridMultilevel"/>
    <w:tmpl w:val="8A6CC6A2"/>
    <w:lvl w:ilvl="0" w:tplc="CCB60D2E">
      <w:start w:val="1"/>
      <w:numFmt w:val="bullet"/>
      <w:lvlText w:val=""/>
      <w:lvlJc w:val="left"/>
      <w:pPr>
        <w:ind w:left="720" w:hanging="360"/>
      </w:pPr>
      <w:rPr>
        <w:rFonts w:ascii="Symbol" w:hAnsi="Symbol" w:hint="default"/>
      </w:rPr>
    </w:lvl>
    <w:lvl w:ilvl="1" w:tplc="1534ACCE">
      <w:start w:val="1"/>
      <w:numFmt w:val="bullet"/>
      <w:lvlText w:val="o"/>
      <w:lvlJc w:val="left"/>
      <w:pPr>
        <w:ind w:left="1440" w:hanging="360"/>
      </w:pPr>
      <w:rPr>
        <w:rFonts w:ascii="Courier New" w:hAnsi="Courier New" w:hint="default"/>
      </w:rPr>
    </w:lvl>
    <w:lvl w:ilvl="2" w:tplc="CD7218D6">
      <w:start w:val="1"/>
      <w:numFmt w:val="bullet"/>
      <w:lvlText w:val=""/>
      <w:lvlJc w:val="left"/>
      <w:pPr>
        <w:ind w:left="2160" w:hanging="360"/>
      </w:pPr>
      <w:rPr>
        <w:rFonts w:ascii="Wingdings" w:hAnsi="Wingdings" w:hint="default"/>
      </w:rPr>
    </w:lvl>
    <w:lvl w:ilvl="3" w:tplc="305A3460">
      <w:start w:val="1"/>
      <w:numFmt w:val="bullet"/>
      <w:lvlText w:val=""/>
      <w:lvlJc w:val="left"/>
      <w:pPr>
        <w:ind w:left="2880" w:hanging="360"/>
      </w:pPr>
      <w:rPr>
        <w:rFonts w:ascii="Symbol" w:hAnsi="Symbol" w:hint="default"/>
      </w:rPr>
    </w:lvl>
    <w:lvl w:ilvl="4" w:tplc="CAA49ED8">
      <w:start w:val="1"/>
      <w:numFmt w:val="bullet"/>
      <w:lvlText w:val="o"/>
      <w:lvlJc w:val="left"/>
      <w:pPr>
        <w:ind w:left="3600" w:hanging="360"/>
      </w:pPr>
      <w:rPr>
        <w:rFonts w:ascii="Courier New" w:hAnsi="Courier New" w:hint="default"/>
      </w:rPr>
    </w:lvl>
    <w:lvl w:ilvl="5" w:tplc="53008B40">
      <w:start w:val="1"/>
      <w:numFmt w:val="bullet"/>
      <w:lvlText w:val=""/>
      <w:lvlJc w:val="left"/>
      <w:pPr>
        <w:ind w:left="4320" w:hanging="360"/>
      </w:pPr>
      <w:rPr>
        <w:rFonts w:ascii="Wingdings" w:hAnsi="Wingdings" w:hint="default"/>
      </w:rPr>
    </w:lvl>
    <w:lvl w:ilvl="6" w:tplc="9BA6B218">
      <w:start w:val="1"/>
      <w:numFmt w:val="bullet"/>
      <w:lvlText w:val=""/>
      <w:lvlJc w:val="left"/>
      <w:pPr>
        <w:ind w:left="5040" w:hanging="360"/>
      </w:pPr>
      <w:rPr>
        <w:rFonts w:ascii="Symbol" w:hAnsi="Symbol" w:hint="default"/>
      </w:rPr>
    </w:lvl>
    <w:lvl w:ilvl="7" w:tplc="B50E7110">
      <w:start w:val="1"/>
      <w:numFmt w:val="bullet"/>
      <w:lvlText w:val="o"/>
      <w:lvlJc w:val="left"/>
      <w:pPr>
        <w:ind w:left="5760" w:hanging="360"/>
      </w:pPr>
      <w:rPr>
        <w:rFonts w:ascii="Courier New" w:hAnsi="Courier New" w:hint="default"/>
      </w:rPr>
    </w:lvl>
    <w:lvl w:ilvl="8" w:tplc="D0028728">
      <w:start w:val="1"/>
      <w:numFmt w:val="bullet"/>
      <w:lvlText w:val=""/>
      <w:lvlJc w:val="left"/>
      <w:pPr>
        <w:ind w:left="6480" w:hanging="360"/>
      </w:pPr>
      <w:rPr>
        <w:rFonts w:ascii="Wingdings" w:hAnsi="Wingdings" w:hint="default"/>
      </w:rPr>
    </w:lvl>
  </w:abstractNum>
  <w:abstractNum w:abstractNumId="2" w15:restartNumberingAfterBreak="0">
    <w:nsid w:val="56675497"/>
    <w:multiLevelType w:val="hybridMultilevel"/>
    <w:tmpl w:val="84ECEACC"/>
    <w:lvl w:ilvl="0" w:tplc="130E8614">
      <w:start w:val="1"/>
      <w:numFmt w:val="bullet"/>
      <w:lvlText w:val=""/>
      <w:lvlJc w:val="left"/>
      <w:pPr>
        <w:ind w:left="720" w:hanging="360"/>
      </w:pPr>
      <w:rPr>
        <w:rFonts w:ascii="Symbol" w:hAnsi="Symbol" w:hint="default"/>
      </w:rPr>
    </w:lvl>
    <w:lvl w:ilvl="1" w:tplc="573ACD3A">
      <w:start w:val="1"/>
      <w:numFmt w:val="bullet"/>
      <w:lvlText w:val="o"/>
      <w:lvlJc w:val="left"/>
      <w:pPr>
        <w:ind w:left="1440" w:hanging="360"/>
      </w:pPr>
      <w:rPr>
        <w:rFonts w:ascii="Courier New" w:hAnsi="Courier New" w:hint="default"/>
      </w:rPr>
    </w:lvl>
    <w:lvl w:ilvl="2" w:tplc="AFDE5554">
      <w:start w:val="1"/>
      <w:numFmt w:val="bullet"/>
      <w:lvlText w:val=""/>
      <w:lvlJc w:val="left"/>
      <w:pPr>
        <w:ind w:left="2160" w:hanging="360"/>
      </w:pPr>
      <w:rPr>
        <w:rFonts w:ascii="Wingdings" w:hAnsi="Wingdings" w:hint="default"/>
      </w:rPr>
    </w:lvl>
    <w:lvl w:ilvl="3" w:tplc="D3ECBBDE">
      <w:start w:val="1"/>
      <w:numFmt w:val="bullet"/>
      <w:lvlText w:val=""/>
      <w:lvlJc w:val="left"/>
      <w:pPr>
        <w:ind w:left="2880" w:hanging="360"/>
      </w:pPr>
      <w:rPr>
        <w:rFonts w:ascii="Symbol" w:hAnsi="Symbol" w:hint="default"/>
      </w:rPr>
    </w:lvl>
    <w:lvl w:ilvl="4" w:tplc="CBF4DB46">
      <w:start w:val="1"/>
      <w:numFmt w:val="bullet"/>
      <w:lvlText w:val="o"/>
      <w:lvlJc w:val="left"/>
      <w:pPr>
        <w:ind w:left="3600" w:hanging="360"/>
      </w:pPr>
      <w:rPr>
        <w:rFonts w:ascii="Courier New" w:hAnsi="Courier New" w:hint="default"/>
      </w:rPr>
    </w:lvl>
    <w:lvl w:ilvl="5" w:tplc="CCD0E1CC">
      <w:start w:val="1"/>
      <w:numFmt w:val="bullet"/>
      <w:lvlText w:val=""/>
      <w:lvlJc w:val="left"/>
      <w:pPr>
        <w:ind w:left="4320" w:hanging="360"/>
      </w:pPr>
      <w:rPr>
        <w:rFonts w:ascii="Wingdings" w:hAnsi="Wingdings" w:hint="default"/>
      </w:rPr>
    </w:lvl>
    <w:lvl w:ilvl="6" w:tplc="1486DFDC">
      <w:start w:val="1"/>
      <w:numFmt w:val="bullet"/>
      <w:lvlText w:val=""/>
      <w:lvlJc w:val="left"/>
      <w:pPr>
        <w:ind w:left="5040" w:hanging="360"/>
      </w:pPr>
      <w:rPr>
        <w:rFonts w:ascii="Symbol" w:hAnsi="Symbol" w:hint="default"/>
      </w:rPr>
    </w:lvl>
    <w:lvl w:ilvl="7" w:tplc="A48ACF4A">
      <w:start w:val="1"/>
      <w:numFmt w:val="bullet"/>
      <w:lvlText w:val="o"/>
      <w:lvlJc w:val="left"/>
      <w:pPr>
        <w:ind w:left="5760" w:hanging="360"/>
      </w:pPr>
      <w:rPr>
        <w:rFonts w:ascii="Courier New" w:hAnsi="Courier New" w:hint="default"/>
      </w:rPr>
    </w:lvl>
    <w:lvl w:ilvl="8" w:tplc="DD046598">
      <w:start w:val="1"/>
      <w:numFmt w:val="bullet"/>
      <w:lvlText w:val=""/>
      <w:lvlJc w:val="left"/>
      <w:pPr>
        <w:ind w:left="6480" w:hanging="360"/>
      </w:pPr>
      <w:rPr>
        <w:rFonts w:ascii="Wingdings" w:hAnsi="Wingdings" w:hint="default"/>
      </w:rPr>
    </w:lvl>
  </w:abstractNum>
  <w:abstractNum w:abstractNumId="3" w15:restartNumberingAfterBreak="0">
    <w:nsid w:val="6240986D"/>
    <w:multiLevelType w:val="hybridMultilevel"/>
    <w:tmpl w:val="FFFFFFFF"/>
    <w:lvl w:ilvl="0" w:tplc="BBA4FDE6">
      <w:start w:val="1"/>
      <w:numFmt w:val="bullet"/>
      <w:lvlText w:val="-"/>
      <w:lvlJc w:val="left"/>
      <w:pPr>
        <w:ind w:left="720" w:hanging="360"/>
      </w:pPr>
      <w:rPr>
        <w:rFonts w:ascii="Aptos" w:hAnsi="Aptos" w:hint="default"/>
      </w:rPr>
    </w:lvl>
    <w:lvl w:ilvl="1" w:tplc="0F1262D0">
      <w:start w:val="1"/>
      <w:numFmt w:val="bullet"/>
      <w:lvlText w:val="o"/>
      <w:lvlJc w:val="left"/>
      <w:pPr>
        <w:ind w:left="1440" w:hanging="360"/>
      </w:pPr>
      <w:rPr>
        <w:rFonts w:ascii="Courier New" w:hAnsi="Courier New" w:hint="default"/>
      </w:rPr>
    </w:lvl>
    <w:lvl w:ilvl="2" w:tplc="1D1C22E4">
      <w:start w:val="1"/>
      <w:numFmt w:val="bullet"/>
      <w:lvlText w:val=""/>
      <w:lvlJc w:val="left"/>
      <w:pPr>
        <w:ind w:left="2160" w:hanging="360"/>
      </w:pPr>
      <w:rPr>
        <w:rFonts w:ascii="Wingdings" w:hAnsi="Wingdings" w:hint="default"/>
      </w:rPr>
    </w:lvl>
    <w:lvl w:ilvl="3" w:tplc="D884CE5A">
      <w:start w:val="1"/>
      <w:numFmt w:val="bullet"/>
      <w:lvlText w:val=""/>
      <w:lvlJc w:val="left"/>
      <w:pPr>
        <w:ind w:left="2880" w:hanging="360"/>
      </w:pPr>
      <w:rPr>
        <w:rFonts w:ascii="Symbol" w:hAnsi="Symbol" w:hint="default"/>
      </w:rPr>
    </w:lvl>
    <w:lvl w:ilvl="4" w:tplc="CE64830E">
      <w:start w:val="1"/>
      <w:numFmt w:val="bullet"/>
      <w:lvlText w:val="o"/>
      <w:lvlJc w:val="left"/>
      <w:pPr>
        <w:ind w:left="3600" w:hanging="360"/>
      </w:pPr>
      <w:rPr>
        <w:rFonts w:ascii="Courier New" w:hAnsi="Courier New" w:hint="default"/>
      </w:rPr>
    </w:lvl>
    <w:lvl w:ilvl="5" w:tplc="2E26CF80">
      <w:start w:val="1"/>
      <w:numFmt w:val="bullet"/>
      <w:lvlText w:val=""/>
      <w:lvlJc w:val="left"/>
      <w:pPr>
        <w:ind w:left="4320" w:hanging="360"/>
      </w:pPr>
      <w:rPr>
        <w:rFonts w:ascii="Wingdings" w:hAnsi="Wingdings" w:hint="default"/>
      </w:rPr>
    </w:lvl>
    <w:lvl w:ilvl="6" w:tplc="FF7E1D42">
      <w:start w:val="1"/>
      <w:numFmt w:val="bullet"/>
      <w:lvlText w:val=""/>
      <w:lvlJc w:val="left"/>
      <w:pPr>
        <w:ind w:left="5040" w:hanging="360"/>
      </w:pPr>
      <w:rPr>
        <w:rFonts w:ascii="Symbol" w:hAnsi="Symbol" w:hint="default"/>
      </w:rPr>
    </w:lvl>
    <w:lvl w:ilvl="7" w:tplc="E55A336C">
      <w:start w:val="1"/>
      <w:numFmt w:val="bullet"/>
      <w:lvlText w:val="o"/>
      <w:lvlJc w:val="left"/>
      <w:pPr>
        <w:ind w:left="5760" w:hanging="360"/>
      </w:pPr>
      <w:rPr>
        <w:rFonts w:ascii="Courier New" w:hAnsi="Courier New" w:hint="default"/>
      </w:rPr>
    </w:lvl>
    <w:lvl w:ilvl="8" w:tplc="224C018A">
      <w:start w:val="1"/>
      <w:numFmt w:val="bullet"/>
      <w:lvlText w:val=""/>
      <w:lvlJc w:val="left"/>
      <w:pPr>
        <w:ind w:left="6480" w:hanging="360"/>
      </w:pPr>
      <w:rPr>
        <w:rFonts w:ascii="Wingdings" w:hAnsi="Wingdings" w:hint="default"/>
      </w:rPr>
    </w:lvl>
  </w:abstractNum>
  <w:abstractNum w:abstractNumId="4" w15:restartNumberingAfterBreak="0">
    <w:nsid w:val="76202955"/>
    <w:multiLevelType w:val="hybridMultilevel"/>
    <w:tmpl w:val="49DE57F0"/>
    <w:lvl w:ilvl="0" w:tplc="045C7B4C">
      <w:start w:val="1"/>
      <w:numFmt w:val="bullet"/>
      <w:lvlText w:val="-"/>
      <w:lvlJc w:val="left"/>
      <w:pPr>
        <w:ind w:left="720" w:hanging="360"/>
      </w:pPr>
      <w:rPr>
        <w:rFonts w:ascii="Aptos" w:hAnsi="Aptos" w:hint="default"/>
      </w:rPr>
    </w:lvl>
    <w:lvl w:ilvl="1" w:tplc="A95EE6CE">
      <w:start w:val="1"/>
      <w:numFmt w:val="bullet"/>
      <w:lvlText w:val="o"/>
      <w:lvlJc w:val="left"/>
      <w:pPr>
        <w:ind w:left="1440" w:hanging="360"/>
      </w:pPr>
      <w:rPr>
        <w:rFonts w:ascii="Courier New" w:hAnsi="Courier New" w:hint="default"/>
      </w:rPr>
    </w:lvl>
    <w:lvl w:ilvl="2" w:tplc="01989696">
      <w:start w:val="1"/>
      <w:numFmt w:val="bullet"/>
      <w:lvlText w:val=""/>
      <w:lvlJc w:val="left"/>
      <w:pPr>
        <w:ind w:left="2160" w:hanging="360"/>
      </w:pPr>
      <w:rPr>
        <w:rFonts w:ascii="Wingdings" w:hAnsi="Wingdings" w:hint="default"/>
      </w:rPr>
    </w:lvl>
    <w:lvl w:ilvl="3" w:tplc="660C4CE0">
      <w:start w:val="1"/>
      <w:numFmt w:val="bullet"/>
      <w:lvlText w:val=""/>
      <w:lvlJc w:val="left"/>
      <w:pPr>
        <w:ind w:left="2880" w:hanging="360"/>
      </w:pPr>
      <w:rPr>
        <w:rFonts w:ascii="Symbol" w:hAnsi="Symbol" w:hint="default"/>
      </w:rPr>
    </w:lvl>
    <w:lvl w:ilvl="4" w:tplc="8E58413E">
      <w:start w:val="1"/>
      <w:numFmt w:val="bullet"/>
      <w:lvlText w:val="o"/>
      <w:lvlJc w:val="left"/>
      <w:pPr>
        <w:ind w:left="3600" w:hanging="360"/>
      </w:pPr>
      <w:rPr>
        <w:rFonts w:ascii="Courier New" w:hAnsi="Courier New" w:hint="default"/>
      </w:rPr>
    </w:lvl>
    <w:lvl w:ilvl="5" w:tplc="6BE82732">
      <w:start w:val="1"/>
      <w:numFmt w:val="bullet"/>
      <w:lvlText w:val=""/>
      <w:lvlJc w:val="left"/>
      <w:pPr>
        <w:ind w:left="4320" w:hanging="360"/>
      </w:pPr>
      <w:rPr>
        <w:rFonts w:ascii="Wingdings" w:hAnsi="Wingdings" w:hint="default"/>
      </w:rPr>
    </w:lvl>
    <w:lvl w:ilvl="6" w:tplc="1050274E">
      <w:start w:val="1"/>
      <w:numFmt w:val="bullet"/>
      <w:lvlText w:val=""/>
      <w:lvlJc w:val="left"/>
      <w:pPr>
        <w:ind w:left="5040" w:hanging="360"/>
      </w:pPr>
      <w:rPr>
        <w:rFonts w:ascii="Symbol" w:hAnsi="Symbol" w:hint="default"/>
      </w:rPr>
    </w:lvl>
    <w:lvl w:ilvl="7" w:tplc="5E3EF79C">
      <w:start w:val="1"/>
      <w:numFmt w:val="bullet"/>
      <w:lvlText w:val="o"/>
      <w:lvlJc w:val="left"/>
      <w:pPr>
        <w:ind w:left="5760" w:hanging="360"/>
      </w:pPr>
      <w:rPr>
        <w:rFonts w:ascii="Courier New" w:hAnsi="Courier New" w:hint="default"/>
      </w:rPr>
    </w:lvl>
    <w:lvl w:ilvl="8" w:tplc="B40CBB96">
      <w:start w:val="1"/>
      <w:numFmt w:val="bullet"/>
      <w:lvlText w:val=""/>
      <w:lvlJc w:val="left"/>
      <w:pPr>
        <w:ind w:left="6480" w:hanging="360"/>
      </w:pPr>
      <w:rPr>
        <w:rFonts w:ascii="Wingdings" w:hAnsi="Wingdings" w:hint="default"/>
      </w:rPr>
    </w:lvl>
  </w:abstractNum>
  <w:abstractNum w:abstractNumId="5" w15:restartNumberingAfterBreak="0">
    <w:nsid w:val="7E9EB2D6"/>
    <w:multiLevelType w:val="hybridMultilevel"/>
    <w:tmpl w:val="FFFFFFFF"/>
    <w:lvl w:ilvl="0" w:tplc="367479D6">
      <w:start w:val="1"/>
      <w:numFmt w:val="bullet"/>
      <w:lvlText w:val="-"/>
      <w:lvlJc w:val="left"/>
      <w:pPr>
        <w:ind w:left="720" w:hanging="360"/>
      </w:pPr>
      <w:rPr>
        <w:rFonts w:ascii="Aptos" w:hAnsi="Aptos" w:hint="default"/>
      </w:rPr>
    </w:lvl>
    <w:lvl w:ilvl="1" w:tplc="9E440EC4">
      <w:start w:val="1"/>
      <w:numFmt w:val="bullet"/>
      <w:lvlText w:val="o"/>
      <w:lvlJc w:val="left"/>
      <w:pPr>
        <w:ind w:left="1440" w:hanging="360"/>
      </w:pPr>
      <w:rPr>
        <w:rFonts w:ascii="Courier New" w:hAnsi="Courier New" w:hint="default"/>
      </w:rPr>
    </w:lvl>
    <w:lvl w:ilvl="2" w:tplc="C592F084">
      <w:start w:val="1"/>
      <w:numFmt w:val="bullet"/>
      <w:lvlText w:val=""/>
      <w:lvlJc w:val="left"/>
      <w:pPr>
        <w:ind w:left="2160" w:hanging="360"/>
      </w:pPr>
      <w:rPr>
        <w:rFonts w:ascii="Wingdings" w:hAnsi="Wingdings" w:hint="default"/>
      </w:rPr>
    </w:lvl>
    <w:lvl w:ilvl="3" w:tplc="92D0B680">
      <w:start w:val="1"/>
      <w:numFmt w:val="bullet"/>
      <w:lvlText w:val=""/>
      <w:lvlJc w:val="left"/>
      <w:pPr>
        <w:ind w:left="2880" w:hanging="360"/>
      </w:pPr>
      <w:rPr>
        <w:rFonts w:ascii="Symbol" w:hAnsi="Symbol" w:hint="default"/>
      </w:rPr>
    </w:lvl>
    <w:lvl w:ilvl="4" w:tplc="00A05430">
      <w:start w:val="1"/>
      <w:numFmt w:val="bullet"/>
      <w:lvlText w:val="o"/>
      <w:lvlJc w:val="left"/>
      <w:pPr>
        <w:ind w:left="3600" w:hanging="360"/>
      </w:pPr>
      <w:rPr>
        <w:rFonts w:ascii="Courier New" w:hAnsi="Courier New" w:hint="default"/>
      </w:rPr>
    </w:lvl>
    <w:lvl w:ilvl="5" w:tplc="0A1A040A">
      <w:start w:val="1"/>
      <w:numFmt w:val="bullet"/>
      <w:lvlText w:val=""/>
      <w:lvlJc w:val="left"/>
      <w:pPr>
        <w:ind w:left="4320" w:hanging="360"/>
      </w:pPr>
      <w:rPr>
        <w:rFonts w:ascii="Wingdings" w:hAnsi="Wingdings" w:hint="default"/>
      </w:rPr>
    </w:lvl>
    <w:lvl w:ilvl="6" w:tplc="45B48000">
      <w:start w:val="1"/>
      <w:numFmt w:val="bullet"/>
      <w:lvlText w:val=""/>
      <w:lvlJc w:val="left"/>
      <w:pPr>
        <w:ind w:left="5040" w:hanging="360"/>
      </w:pPr>
      <w:rPr>
        <w:rFonts w:ascii="Symbol" w:hAnsi="Symbol" w:hint="default"/>
      </w:rPr>
    </w:lvl>
    <w:lvl w:ilvl="7" w:tplc="15B04558">
      <w:start w:val="1"/>
      <w:numFmt w:val="bullet"/>
      <w:lvlText w:val="o"/>
      <w:lvlJc w:val="left"/>
      <w:pPr>
        <w:ind w:left="5760" w:hanging="360"/>
      </w:pPr>
      <w:rPr>
        <w:rFonts w:ascii="Courier New" w:hAnsi="Courier New" w:hint="default"/>
      </w:rPr>
    </w:lvl>
    <w:lvl w:ilvl="8" w:tplc="D610BDE8">
      <w:start w:val="1"/>
      <w:numFmt w:val="bullet"/>
      <w:lvlText w:val=""/>
      <w:lvlJc w:val="left"/>
      <w:pPr>
        <w:ind w:left="6480" w:hanging="360"/>
      </w:pPr>
      <w:rPr>
        <w:rFonts w:ascii="Wingdings" w:hAnsi="Wingdings" w:hint="default"/>
      </w:rPr>
    </w:lvl>
  </w:abstractNum>
  <w:abstractNum w:abstractNumId="6" w15:restartNumberingAfterBreak="0">
    <w:nsid w:val="7FD4697C"/>
    <w:multiLevelType w:val="hybridMultilevel"/>
    <w:tmpl w:val="FFFFFFFF"/>
    <w:lvl w:ilvl="0" w:tplc="20247EBC">
      <w:start w:val="1"/>
      <w:numFmt w:val="bullet"/>
      <w:lvlText w:val=""/>
      <w:lvlJc w:val="left"/>
      <w:pPr>
        <w:ind w:left="720" w:hanging="360"/>
      </w:pPr>
      <w:rPr>
        <w:rFonts w:ascii="Symbol" w:hAnsi="Symbol" w:hint="default"/>
      </w:rPr>
    </w:lvl>
    <w:lvl w:ilvl="1" w:tplc="4F46B79A">
      <w:start w:val="1"/>
      <w:numFmt w:val="bullet"/>
      <w:lvlText w:val="o"/>
      <w:lvlJc w:val="left"/>
      <w:pPr>
        <w:ind w:left="1440" w:hanging="360"/>
      </w:pPr>
      <w:rPr>
        <w:rFonts w:ascii="Courier New" w:hAnsi="Courier New" w:hint="default"/>
      </w:rPr>
    </w:lvl>
    <w:lvl w:ilvl="2" w:tplc="0722EA8A">
      <w:start w:val="1"/>
      <w:numFmt w:val="bullet"/>
      <w:lvlText w:val=""/>
      <w:lvlJc w:val="left"/>
      <w:pPr>
        <w:ind w:left="2160" w:hanging="360"/>
      </w:pPr>
      <w:rPr>
        <w:rFonts w:ascii="Wingdings" w:hAnsi="Wingdings" w:hint="default"/>
      </w:rPr>
    </w:lvl>
    <w:lvl w:ilvl="3" w:tplc="5254DDEA">
      <w:start w:val="1"/>
      <w:numFmt w:val="bullet"/>
      <w:lvlText w:val=""/>
      <w:lvlJc w:val="left"/>
      <w:pPr>
        <w:ind w:left="2880" w:hanging="360"/>
      </w:pPr>
      <w:rPr>
        <w:rFonts w:ascii="Symbol" w:hAnsi="Symbol" w:hint="default"/>
      </w:rPr>
    </w:lvl>
    <w:lvl w:ilvl="4" w:tplc="F106F5F2">
      <w:start w:val="1"/>
      <w:numFmt w:val="bullet"/>
      <w:lvlText w:val="o"/>
      <w:lvlJc w:val="left"/>
      <w:pPr>
        <w:ind w:left="3600" w:hanging="360"/>
      </w:pPr>
      <w:rPr>
        <w:rFonts w:ascii="Courier New" w:hAnsi="Courier New" w:hint="default"/>
      </w:rPr>
    </w:lvl>
    <w:lvl w:ilvl="5" w:tplc="F14C8764">
      <w:start w:val="1"/>
      <w:numFmt w:val="bullet"/>
      <w:lvlText w:val=""/>
      <w:lvlJc w:val="left"/>
      <w:pPr>
        <w:ind w:left="4320" w:hanging="360"/>
      </w:pPr>
      <w:rPr>
        <w:rFonts w:ascii="Wingdings" w:hAnsi="Wingdings" w:hint="default"/>
      </w:rPr>
    </w:lvl>
    <w:lvl w:ilvl="6" w:tplc="801A0894">
      <w:start w:val="1"/>
      <w:numFmt w:val="bullet"/>
      <w:lvlText w:val=""/>
      <w:lvlJc w:val="left"/>
      <w:pPr>
        <w:ind w:left="5040" w:hanging="360"/>
      </w:pPr>
      <w:rPr>
        <w:rFonts w:ascii="Symbol" w:hAnsi="Symbol" w:hint="default"/>
      </w:rPr>
    </w:lvl>
    <w:lvl w:ilvl="7" w:tplc="7374C750">
      <w:start w:val="1"/>
      <w:numFmt w:val="bullet"/>
      <w:lvlText w:val="o"/>
      <w:lvlJc w:val="left"/>
      <w:pPr>
        <w:ind w:left="5760" w:hanging="360"/>
      </w:pPr>
      <w:rPr>
        <w:rFonts w:ascii="Courier New" w:hAnsi="Courier New" w:hint="default"/>
      </w:rPr>
    </w:lvl>
    <w:lvl w:ilvl="8" w:tplc="E9D2CCC8">
      <w:start w:val="1"/>
      <w:numFmt w:val="bullet"/>
      <w:lvlText w:val=""/>
      <w:lvlJc w:val="left"/>
      <w:pPr>
        <w:ind w:left="6480" w:hanging="360"/>
      </w:pPr>
      <w:rPr>
        <w:rFonts w:ascii="Wingdings" w:hAnsi="Wingdings" w:hint="default"/>
      </w:rPr>
    </w:lvl>
  </w:abstractNum>
  <w:num w:numId="1" w16cid:durableId="817960824">
    <w:abstractNumId w:val="1"/>
  </w:num>
  <w:num w:numId="2" w16cid:durableId="991567368">
    <w:abstractNumId w:val="2"/>
  </w:num>
  <w:num w:numId="3" w16cid:durableId="2056151338">
    <w:abstractNumId w:val="4"/>
  </w:num>
  <w:num w:numId="4" w16cid:durableId="114377160">
    <w:abstractNumId w:val="3"/>
  </w:num>
  <w:num w:numId="5" w16cid:durableId="323705830">
    <w:abstractNumId w:val="5"/>
  </w:num>
  <w:num w:numId="6" w16cid:durableId="66080815">
    <w:abstractNumId w:val="6"/>
  </w:num>
  <w:num w:numId="7" w16cid:durableId="748426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08E358"/>
    <w:rsid w:val="001C1345"/>
    <w:rsid w:val="00343687"/>
    <w:rsid w:val="00409746"/>
    <w:rsid w:val="00627878"/>
    <w:rsid w:val="009227B7"/>
    <w:rsid w:val="00993D5C"/>
    <w:rsid w:val="00B275C1"/>
    <w:rsid w:val="00E81A9F"/>
    <w:rsid w:val="01289236"/>
    <w:rsid w:val="0142A82D"/>
    <w:rsid w:val="01AF3E2E"/>
    <w:rsid w:val="020E021E"/>
    <w:rsid w:val="02280C2C"/>
    <w:rsid w:val="028BC0F6"/>
    <w:rsid w:val="029C6384"/>
    <w:rsid w:val="02D6CD70"/>
    <w:rsid w:val="035F61A3"/>
    <w:rsid w:val="03642B30"/>
    <w:rsid w:val="03700D12"/>
    <w:rsid w:val="037ACBB9"/>
    <w:rsid w:val="039B3E60"/>
    <w:rsid w:val="03D68B42"/>
    <w:rsid w:val="03DE70C8"/>
    <w:rsid w:val="03FAC7C7"/>
    <w:rsid w:val="0438C4EA"/>
    <w:rsid w:val="048B62EE"/>
    <w:rsid w:val="0499E41D"/>
    <w:rsid w:val="04ABC1BD"/>
    <w:rsid w:val="04BCB663"/>
    <w:rsid w:val="04F03D2E"/>
    <w:rsid w:val="054232A1"/>
    <w:rsid w:val="054D4944"/>
    <w:rsid w:val="06B60FA1"/>
    <w:rsid w:val="06D992A3"/>
    <w:rsid w:val="06FDA48D"/>
    <w:rsid w:val="070AC20F"/>
    <w:rsid w:val="071DBD2E"/>
    <w:rsid w:val="0730575F"/>
    <w:rsid w:val="07A3DBD9"/>
    <w:rsid w:val="07C57383"/>
    <w:rsid w:val="0801E888"/>
    <w:rsid w:val="080CFF2F"/>
    <w:rsid w:val="081ADF0C"/>
    <w:rsid w:val="086A3AF4"/>
    <w:rsid w:val="088A2E95"/>
    <w:rsid w:val="08A86046"/>
    <w:rsid w:val="097A3A3A"/>
    <w:rsid w:val="0992222C"/>
    <w:rsid w:val="09B3D88E"/>
    <w:rsid w:val="09C2C70F"/>
    <w:rsid w:val="09ECE5F0"/>
    <w:rsid w:val="0A2D97AE"/>
    <w:rsid w:val="0A352F00"/>
    <w:rsid w:val="0A3CD095"/>
    <w:rsid w:val="0A55F8F6"/>
    <w:rsid w:val="0A60A58A"/>
    <w:rsid w:val="0ACBD7FA"/>
    <w:rsid w:val="0AE76DE1"/>
    <w:rsid w:val="0B5B87B5"/>
    <w:rsid w:val="0B7B2B07"/>
    <w:rsid w:val="0B8C74EE"/>
    <w:rsid w:val="0B920FF2"/>
    <w:rsid w:val="0BB77AA3"/>
    <w:rsid w:val="0BBC4C3B"/>
    <w:rsid w:val="0BC17851"/>
    <w:rsid w:val="0BDA533F"/>
    <w:rsid w:val="0BF017E6"/>
    <w:rsid w:val="0C0C4200"/>
    <w:rsid w:val="0C3083CB"/>
    <w:rsid w:val="0C53E7EF"/>
    <w:rsid w:val="0C6B673B"/>
    <w:rsid w:val="0C8AFD3B"/>
    <w:rsid w:val="0CD44151"/>
    <w:rsid w:val="0CF311BA"/>
    <w:rsid w:val="0CF707F9"/>
    <w:rsid w:val="0D23ECC4"/>
    <w:rsid w:val="0D40896D"/>
    <w:rsid w:val="0D430DCF"/>
    <w:rsid w:val="0D81A3A3"/>
    <w:rsid w:val="0DC6737F"/>
    <w:rsid w:val="0E6F08B9"/>
    <w:rsid w:val="0EA468F4"/>
    <w:rsid w:val="0ED2FEE5"/>
    <w:rsid w:val="0F15CBBD"/>
    <w:rsid w:val="0F455857"/>
    <w:rsid w:val="0F99DE45"/>
    <w:rsid w:val="0FA7D62F"/>
    <w:rsid w:val="105FD088"/>
    <w:rsid w:val="1061B1E9"/>
    <w:rsid w:val="1061D837"/>
    <w:rsid w:val="10636136"/>
    <w:rsid w:val="10C7A065"/>
    <w:rsid w:val="10E86FA0"/>
    <w:rsid w:val="1131735E"/>
    <w:rsid w:val="11B6C106"/>
    <w:rsid w:val="11D1C580"/>
    <w:rsid w:val="12548EE3"/>
    <w:rsid w:val="127F765A"/>
    <w:rsid w:val="129904E6"/>
    <w:rsid w:val="12D20207"/>
    <w:rsid w:val="13609F08"/>
    <w:rsid w:val="1399BB4E"/>
    <w:rsid w:val="13C13922"/>
    <w:rsid w:val="13CC414C"/>
    <w:rsid w:val="13E7573B"/>
    <w:rsid w:val="13EAF19F"/>
    <w:rsid w:val="13FF17A4"/>
    <w:rsid w:val="1441F55E"/>
    <w:rsid w:val="14C36478"/>
    <w:rsid w:val="154F5442"/>
    <w:rsid w:val="1577B919"/>
    <w:rsid w:val="158CE1B5"/>
    <w:rsid w:val="15A6BF0D"/>
    <w:rsid w:val="15CDE3B0"/>
    <w:rsid w:val="15D15FED"/>
    <w:rsid w:val="15D2AC05"/>
    <w:rsid w:val="162B46F7"/>
    <w:rsid w:val="16338014"/>
    <w:rsid w:val="163FC783"/>
    <w:rsid w:val="16401E89"/>
    <w:rsid w:val="16454C62"/>
    <w:rsid w:val="166CDBF0"/>
    <w:rsid w:val="1693040B"/>
    <w:rsid w:val="17750E06"/>
    <w:rsid w:val="17C1AD8F"/>
    <w:rsid w:val="17FC9271"/>
    <w:rsid w:val="181542BD"/>
    <w:rsid w:val="182851CF"/>
    <w:rsid w:val="187E9D6E"/>
    <w:rsid w:val="1881558C"/>
    <w:rsid w:val="18A4C295"/>
    <w:rsid w:val="18B63A3A"/>
    <w:rsid w:val="18DABF49"/>
    <w:rsid w:val="1953973C"/>
    <w:rsid w:val="19561AC4"/>
    <w:rsid w:val="19B8447A"/>
    <w:rsid w:val="19BA19AD"/>
    <w:rsid w:val="19C7C784"/>
    <w:rsid w:val="19FEFA98"/>
    <w:rsid w:val="19FF9990"/>
    <w:rsid w:val="1A149F98"/>
    <w:rsid w:val="1A454CF1"/>
    <w:rsid w:val="1A746E4A"/>
    <w:rsid w:val="1AC88F23"/>
    <w:rsid w:val="1ACB4E7C"/>
    <w:rsid w:val="1AEBA20F"/>
    <w:rsid w:val="1AFCC6EC"/>
    <w:rsid w:val="1B62397F"/>
    <w:rsid w:val="1BA6D288"/>
    <w:rsid w:val="1BBB5827"/>
    <w:rsid w:val="1BC209AE"/>
    <w:rsid w:val="1C3603E9"/>
    <w:rsid w:val="1C5055A2"/>
    <w:rsid w:val="1CE05D0C"/>
    <w:rsid w:val="1CF39866"/>
    <w:rsid w:val="1D5DF0EC"/>
    <w:rsid w:val="1D95D0A6"/>
    <w:rsid w:val="1DABAD12"/>
    <w:rsid w:val="1DCFE8E8"/>
    <w:rsid w:val="1DF13774"/>
    <w:rsid w:val="1E240DAB"/>
    <w:rsid w:val="1E2DBDEA"/>
    <w:rsid w:val="1E787AAF"/>
    <w:rsid w:val="1EC43C8A"/>
    <w:rsid w:val="1ECE2BC6"/>
    <w:rsid w:val="1ED15286"/>
    <w:rsid w:val="1ED5E739"/>
    <w:rsid w:val="1F60C27F"/>
    <w:rsid w:val="1F870332"/>
    <w:rsid w:val="1FB61EF3"/>
    <w:rsid w:val="1FD47FE4"/>
    <w:rsid w:val="1FE4E4DC"/>
    <w:rsid w:val="1FF06BBF"/>
    <w:rsid w:val="1FF992E4"/>
    <w:rsid w:val="200DD229"/>
    <w:rsid w:val="208D6795"/>
    <w:rsid w:val="209C8DF0"/>
    <w:rsid w:val="20C21017"/>
    <w:rsid w:val="21415ECF"/>
    <w:rsid w:val="215BE0E4"/>
    <w:rsid w:val="219D4C65"/>
    <w:rsid w:val="219DB49D"/>
    <w:rsid w:val="21E67D47"/>
    <w:rsid w:val="221F6820"/>
    <w:rsid w:val="222846C6"/>
    <w:rsid w:val="2233DA5C"/>
    <w:rsid w:val="2236C6BD"/>
    <w:rsid w:val="224149E7"/>
    <w:rsid w:val="226CAF08"/>
    <w:rsid w:val="22AC1113"/>
    <w:rsid w:val="22E8BF3C"/>
    <w:rsid w:val="2319B903"/>
    <w:rsid w:val="237DA964"/>
    <w:rsid w:val="239627E0"/>
    <w:rsid w:val="23C85E50"/>
    <w:rsid w:val="23D4E3BE"/>
    <w:rsid w:val="24287181"/>
    <w:rsid w:val="24B7AAF7"/>
    <w:rsid w:val="24BEE764"/>
    <w:rsid w:val="2502059D"/>
    <w:rsid w:val="25164A5F"/>
    <w:rsid w:val="252C40C2"/>
    <w:rsid w:val="254D2E68"/>
    <w:rsid w:val="25AEBBD2"/>
    <w:rsid w:val="25D32F40"/>
    <w:rsid w:val="25E00270"/>
    <w:rsid w:val="2645FBCC"/>
    <w:rsid w:val="2648943E"/>
    <w:rsid w:val="26521774"/>
    <w:rsid w:val="266407A9"/>
    <w:rsid w:val="26661B77"/>
    <w:rsid w:val="266DB138"/>
    <w:rsid w:val="2697B379"/>
    <w:rsid w:val="26AC2A6C"/>
    <w:rsid w:val="26C576CE"/>
    <w:rsid w:val="26C5D53C"/>
    <w:rsid w:val="2711CAF5"/>
    <w:rsid w:val="275D5119"/>
    <w:rsid w:val="278AC8A1"/>
    <w:rsid w:val="278B4D9F"/>
    <w:rsid w:val="279E5A9A"/>
    <w:rsid w:val="27D4677B"/>
    <w:rsid w:val="27F730FF"/>
    <w:rsid w:val="28050A86"/>
    <w:rsid w:val="284BF88C"/>
    <w:rsid w:val="2888F3B1"/>
    <w:rsid w:val="289D9AB0"/>
    <w:rsid w:val="28B6D16E"/>
    <w:rsid w:val="28D240E4"/>
    <w:rsid w:val="28D99FAD"/>
    <w:rsid w:val="28F72844"/>
    <w:rsid w:val="291CB77E"/>
    <w:rsid w:val="29396988"/>
    <w:rsid w:val="294261E0"/>
    <w:rsid w:val="29442788"/>
    <w:rsid w:val="2991A881"/>
    <w:rsid w:val="299624F9"/>
    <w:rsid w:val="29B719EA"/>
    <w:rsid w:val="29C71589"/>
    <w:rsid w:val="29E381C0"/>
    <w:rsid w:val="29ECA9DE"/>
    <w:rsid w:val="2A06A461"/>
    <w:rsid w:val="2A4AFFD5"/>
    <w:rsid w:val="2AA94F38"/>
    <w:rsid w:val="2ABB680A"/>
    <w:rsid w:val="2AF4EA99"/>
    <w:rsid w:val="2B834494"/>
    <w:rsid w:val="2BC6F3B9"/>
    <w:rsid w:val="2BD93072"/>
    <w:rsid w:val="2C003966"/>
    <w:rsid w:val="2C021B76"/>
    <w:rsid w:val="2C15A344"/>
    <w:rsid w:val="2C4F7B89"/>
    <w:rsid w:val="2C7455E4"/>
    <w:rsid w:val="2CB62326"/>
    <w:rsid w:val="2CC9C045"/>
    <w:rsid w:val="2CE0D08C"/>
    <w:rsid w:val="2D6F75E4"/>
    <w:rsid w:val="2D785219"/>
    <w:rsid w:val="2D863A2F"/>
    <w:rsid w:val="2DD429DE"/>
    <w:rsid w:val="2DE22F8A"/>
    <w:rsid w:val="2DE37208"/>
    <w:rsid w:val="2E35538F"/>
    <w:rsid w:val="2EC388DB"/>
    <w:rsid w:val="2EE32814"/>
    <w:rsid w:val="2EF0C06B"/>
    <w:rsid w:val="2EF322A3"/>
    <w:rsid w:val="2F0D2A37"/>
    <w:rsid w:val="2F4A52B0"/>
    <w:rsid w:val="2F7551CF"/>
    <w:rsid w:val="30036ACA"/>
    <w:rsid w:val="303EE059"/>
    <w:rsid w:val="3046693A"/>
    <w:rsid w:val="3082FD85"/>
    <w:rsid w:val="311E5AAC"/>
    <w:rsid w:val="31281EE4"/>
    <w:rsid w:val="3134EC35"/>
    <w:rsid w:val="315BDDEA"/>
    <w:rsid w:val="3167953A"/>
    <w:rsid w:val="31BBBD9D"/>
    <w:rsid w:val="31D9EA81"/>
    <w:rsid w:val="32006E9C"/>
    <w:rsid w:val="3261E124"/>
    <w:rsid w:val="32704E29"/>
    <w:rsid w:val="32716EC2"/>
    <w:rsid w:val="32C2FC06"/>
    <w:rsid w:val="3314C731"/>
    <w:rsid w:val="332C794C"/>
    <w:rsid w:val="336434AD"/>
    <w:rsid w:val="33A329A2"/>
    <w:rsid w:val="33D8F843"/>
    <w:rsid w:val="3400999F"/>
    <w:rsid w:val="34497209"/>
    <w:rsid w:val="345E3A64"/>
    <w:rsid w:val="34737348"/>
    <w:rsid w:val="3485A82F"/>
    <w:rsid w:val="3497285B"/>
    <w:rsid w:val="35107397"/>
    <w:rsid w:val="35339F9A"/>
    <w:rsid w:val="353F00C1"/>
    <w:rsid w:val="3557501E"/>
    <w:rsid w:val="3563399F"/>
    <w:rsid w:val="356E07EE"/>
    <w:rsid w:val="357A6E3B"/>
    <w:rsid w:val="3595789C"/>
    <w:rsid w:val="35EA370F"/>
    <w:rsid w:val="35ECEDF0"/>
    <w:rsid w:val="35FB624D"/>
    <w:rsid w:val="3608E358"/>
    <w:rsid w:val="36619593"/>
    <w:rsid w:val="3672D65F"/>
    <w:rsid w:val="36B72BFB"/>
    <w:rsid w:val="36C163F8"/>
    <w:rsid w:val="36E487AF"/>
    <w:rsid w:val="378BCA5E"/>
    <w:rsid w:val="379F6A8D"/>
    <w:rsid w:val="37B6AC6B"/>
    <w:rsid w:val="37F4C0F2"/>
    <w:rsid w:val="3807F3DF"/>
    <w:rsid w:val="3856EF1A"/>
    <w:rsid w:val="3861BB34"/>
    <w:rsid w:val="387B35D4"/>
    <w:rsid w:val="387B365A"/>
    <w:rsid w:val="3904201E"/>
    <w:rsid w:val="391C9C1C"/>
    <w:rsid w:val="393274D3"/>
    <w:rsid w:val="394E997B"/>
    <w:rsid w:val="399CBC0C"/>
    <w:rsid w:val="39B44B28"/>
    <w:rsid w:val="39CCBD4D"/>
    <w:rsid w:val="39ED061D"/>
    <w:rsid w:val="3A39D007"/>
    <w:rsid w:val="3A3E5B02"/>
    <w:rsid w:val="3A75B231"/>
    <w:rsid w:val="3A8463D2"/>
    <w:rsid w:val="3AB8B228"/>
    <w:rsid w:val="3AC3E144"/>
    <w:rsid w:val="3ADE7442"/>
    <w:rsid w:val="3B026951"/>
    <w:rsid w:val="3B1CF2FB"/>
    <w:rsid w:val="3B537280"/>
    <w:rsid w:val="3BC47D5D"/>
    <w:rsid w:val="3C75C5BE"/>
    <w:rsid w:val="3C801785"/>
    <w:rsid w:val="3C914D37"/>
    <w:rsid w:val="3CE7CFCF"/>
    <w:rsid w:val="3D0F90D8"/>
    <w:rsid w:val="3D302116"/>
    <w:rsid w:val="3D59F8BE"/>
    <w:rsid w:val="3D680E89"/>
    <w:rsid w:val="3D9DDF35"/>
    <w:rsid w:val="3DD46988"/>
    <w:rsid w:val="3DE145D7"/>
    <w:rsid w:val="3E1087AA"/>
    <w:rsid w:val="3E1EDE15"/>
    <w:rsid w:val="3E535C7F"/>
    <w:rsid w:val="3E82B64E"/>
    <w:rsid w:val="3ED17104"/>
    <w:rsid w:val="3EE1E744"/>
    <w:rsid w:val="3EE24079"/>
    <w:rsid w:val="3F46BD3A"/>
    <w:rsid w:val="3F6288B1"/>
    <w:rsid w:val="3F64A4D1"/>
    <w:rsid w:val="3F7EF27A"/>
    <w:rsid w:val="3F96F731"/>
    <w:rsid w:val="3FA2A1CF"/>
    <w:rsid w:val="4031EF4E"/>
    <w:rsid w:val="40DC3AD0"/>
    <w:rsid w:val="40E7AB27"/>
    <w:rsid w:val="412357B7"/>
    <w:rsid w:val="4142475D"/>
    <w:rsid w:val="4186AFD5"/>
    <w:rsid w:val="42703A6E"/>
    <w:rsid w:val="4277907E"/>
    <w:rsid w:val="427AC4FA"/>
    <w:rsid w:val="42CF348B"/>
    <w:rsid w:val="43352B23"/>
    <w:rsid w:val="4338895C"/>
    <w:rsid w:val="43479646"/>
    <w:rsid w:val="4347A552"/>
    <w:rsid w:val="434AC81E"/>
    <w:rsid w:val="43506523"/>
    <w:rsid w:val="437235F3"/>
    <w:rsid w:val="44137A22"/>
    <w:rsid w:val="4433335E"/>
    <w:rsid w:val="44696F8C"/>
    <w:rsid w:val="44A8AFEE"/>
    <w:rsid w:val="44EB3BDF"/>
    <w:rsid w:val="450589B0"/>
    <w:rsid w:val="453DFCC4"/>
    <w:rsid w:val="457D9494"/>
    <w:rsid w:val="458EB34A"/>
    <w:rsid w:val="45A7B16D"/>
    <w:rsid w:val="45A83458"/>
    <w:rsid w:val="45E1BD99"/>
    <w:rsid w:val="460F1546"/>
    <w:rsid w:val="462A7115"/>
    <w:rsid w:val="463FE607"/>
    <w:rsid w:val="465031D4"/>
    <w:rsid w:val="46686617"/>
    <w:rsid w:val="46779982"/>
    <w:rsid w:val="467FDD61"/>
    <w:rsid w:val="46AE6E0E"/>
    <w:rsid w:val="46E602F1"/>
    <w:rsid w:val="471BB997"/>
    <w:rsid w:val="471EC22A"/>
    <w:rsid w:val="473774DE"/>
    <w:rsid w:val="47623A26"/>
    <w:rsid w:val="4777E37D"/>
    <w:rsid w:val="477E9331"/>
    <w:rsid w:val="479D19E8"/>
    <w:rsid w:val="47C748F1"/>
    <w:rsid w:val="47E17643"/>
    <w:rsid w:val="47EB6858"/>
    <w:rsid w:val="4802F37C"/>
    <w:rsid w:val="4846393A"/>
    <w:rsid w:val="484C370F"/>
    <w:rsid w:val="486698A3"/>
    <w:rsid w:val="48840D62"/>
    <w:rsid w:val="48E7E395"/>
    <w:rsid w:val="492FE03D"/>
    <w:rsid w:val="495E4EC4"/>
    <w:rsid w:val="49615A82"/>
    <w:rsid w:val="49661533"/>
    <w:rsid w:val="4968B25E"/>
    <w:rsid w:val="49A8F502"/>
    <w:rsid w:val="49B4864A"/>
    <w:rsid w:val="49CFCB08"/>
    <w:rsid w:val="4A0782FC"/>
    <w:rsid w:val="4A5BC52C"/>
    <w:rsid w:val="4A8B7587"/>
    <w:rsid w:val="4AC70ECD"/>
    <w:rsid w:val="4AC8D275"/>
    <w:rsid w:val="4B0BB59F"/>
    <w:rsid w:val="4B437526"/>
    <w:rsid w:val="4B502DD4"/>
    <w:rsid w:val="4C143AC5"/>
    <w:rsid w:val="4C2C47A5"/>
    <w:rsid w:val="4C3838B1"/>
    <w:rsid w:val="4CD9C9FA"/>
    <w:rsid w:val="4D0CF7C2"/>
    <w:rsid w:val="4D2581D8"/>
    <w:rsid w:val="4D268AC3"/>
    <w:rsid w:val="4D5415A9"/>
    <w:rsid w:val="4D6887A5"/>
    <w:rsid w:val="4DB520D9"/>
    <w:rsid w:val="4DFD2032"/>
    <w:rsid w:val="4E9B8A12"/>
    <w:rsid w:val="4ED02FAC"/>
    <w:rsid w:val="4ED636CE"/>
    <w:rsid w:val="4F1EC5C5"/>
    <w:rsid w:val="4F2322CE"/>
    <w:rsid w:val="4F26443D"/>
    <w:rsid w:val="4F2AC42B"/>
    <w:rsid w:val="4F5B9DD8"/>
    <w:rsid w:val="4F740FA1"/>
    <w:rsid w:val="4F79B8AF"/>
    <w:rsid w:val="4FB33D4F"/>
    <w:rsid w:val="4FBEB857"/>
    <w:rsid w:val="5018BA2E"/>
    <w:rsid w:val="505E166F"/>
    <w:rsid w:val="50696119"/>
    <w:rsid w:val="506E9A72"/>
    <w:rsid w:val="507D4E20"/>
    <w:rsid w:val="51162D19"/>
    <w:rsid w:val="51CB6776"/>
    <w:rsid w:val="52300808"/>
    <w:rsid w:val="525054FD"/>
    <w:rsid w:val="52678FEE"/>
    <w:rsid w:val="536C7479"/>
    <w:rsid w:val="53B54EE4"/>
    <w:rsid w:val="53DA8CC5"/>
    <w:rsid w:val="54653CB9"/>
    <w:rsid w:val="54DA696F"/>
    <w:rsid w:val="54F7761F"/>
    <w:rsid w:val="550F5737"/>
    <w:rsid w:val="5559712B"/>
    <w:rsid w:val="556C85B7"/>
    <w:rsid w:val="5574A83C"/>
    <w:rsid w:val="5586D5A0"/>
    <w:rsid w:val="55C8580D"/>
    <w:rsid w:val="55CA85F9"/>
    <w:rsid w:val="55D87B17"/>
    <w:rsid w:val="55E67A6D"/>
    <w:rsid w:val="56159108"/>
    <w:rsid w:val="562F0263"/>
    <w:rsid w:val="564DC8A0"/>
    <w:rsid w:val="566643C3"/>
    <w:rsid w:val="5689D758"/>
    <w:rsid w:val="56921042"/>
    <w:rsid w:val="56FF0A83"/>
    <w:rsid w:val="57167012"/>
    <w:rsid w:val="576BDFC2"/>
    <w:rsid w:val="5777F09D"/>
    <w:rsid w:val="57B20D6C"/>
    <w:rsid w:val="57BB25D8"/>
    <w:rsid w:val="58199665"/>
    <w:rsid w:val="58586B75"/>
    <w:rsid w:val="586C2F39"/>
    <w:rsid w:val="58A88AE7"/>
    <w:rsid w:val="58C024AE"/>
    <w:rsid w:val="59303AF1"/>
    <w:rsid w:val="59C0488D"/>
    <w:rsid w:val="5A000D04"/>
    <w:rsid w:val="5A2788CA"/>
    <w:rsid w:val="5A2E9675"/>
    <w:rsid w:val="5A62FAA9"/>
    <w:rsid w:val="5AA4BCE5"/>
    <w:rsid w:val="5AB7E19B"/>
    <w:rsid w:val="5B012B2B"/>
    <w:rsid w:val="5B0C424A"/>
    <w:rsid w:val="5B161B90"/>
    <w:rsid w:val="5B26D5ED"/>
    <w:rsid w:val="5B2DF488"/>
    <w:rsid w:val="5B5CAF2B"/>
    <w:rsid w:val="5B893633"/>
    <w:rsid w:val="5BA21D3C"/>
    <w:rsid w:val="5BF0B2FF"/>
    <w:rsid w:val="5C10F0F1"/>
    <w:rsid w:val="5CCF99B5"/>
    <w:rsid w:val="5CDAC299"/>
    <w:rsid w:val="5D0E7934"/>
    <w:rsid w:val="5D1E6E3A"/>
    <w:rsid w:val="5D2B0718"/>
    <w:rsid w:val="5D2B5614"/>
    <w:rsid w:val="5D2FD9FF"/>
    <w:rsid w:val="5D3CC4ED"/>
    <w:rsid w:val="5D4F4C6B"/>
    <w:rsid w:val="5D6D37DA"/>
    <w:rsid w:val="5DD0AD56"/>
    <w:rsid w:val="5E0AA461"/>
    <w:rsid w:val="5E11C6C1"/>
    <w:rsid w:val="5E375741"/>
    <w:rsid w:val="5E3F9ACA"/>
    <w:rsid w:val="5EE84D39"/>
    <w:rsid w:val="5F980D2C"/>
    <w:rsid w:val="5FC65A25"/>
    <w:rsid w:val="5FCAA47C"/>
    <w:rsid w:val="5FD941CF"/>
    <w:rsid w:val="5FF673BC"/>
    <w:rsid w:val="603F5068"/>
    <w:rsid w:val="606520BC"/>
    <w:rsid w:val="60C6322D"/>
    <w:rsid w:val="60E49133"/>
    <w:rsid w:val="61145AC9"/>
    <w:rsid w:val="613DF444"/>
    <w:rsid w:val="614257DA"/>
    <w:rsid w:val="614D75C3"/>
    <w:rsid w:val="616AAE3A"/>
    <w:rsid w:val="61C679B3"/>
    <w:rsid w:val="6217F465"/>
    <w:rsid w:val="625967A5"/>
    <w:rsid w:val="62837280"/>
    <w:rsid w:val="62A1E374"/>
    <w:rsid w:val="62F3A076"/>
    <w:rsid w:val="630CA227"/>
    <w:rsid w:val="630DC4AF"/>
    <w:rsid w:val="632739FA"/>
    <w:rsid w:val="636BE38E"/>
    <w:rsid w:val="63851CBD"/>
    <w:rsid w:val="63BBBF7F"/>
    <w:rsid w:val="63D6FC1E"/>
    <w:rsid w:val="64A197F6"/>
    <w:rsid w:val="64AA68A8"/>
    <w:rsid w:val="64BB9A79"/>
    <w:rsid w:val="64D00344"/>
    <w:rsid w:val="6524A2A3"/>
    <w:rsid w:val="65814674"/>
    <w:rsid w:val="65D6D2F7"/>
    <w:rsid w:val="65D83005"/>
    <w:rsid w:val="663F8A79"/>
    <w:rsid w:val="665622D6"/>
    <w:rsid w:val="66C7E20B"/>
    <w:rsid w:val="66CB2DB4"/>
    <w:rsid w:val="66ECDC79"/>
    <w:rsid w:val="6705D4E0"/>
    <w:rsid w:val="673000ED"/>
    <w:rsid w:val="6745FD01"/>
    <w:rsid w:val="6799B863"/>
    <w:rsid w:val="67C13F02"/>
    <w:rsid w:val="67D60F7A"/>
    <w:rsid w:val="67E8FC5C"/>
    <w:rsid w:val="68078442"/>
    <w:rsid w:val="685D5AB3"/>
    <w:rsid w:val="685DD542"/>
    <w:rsid w:val="687599C0"/>
    <w:rsid w:val="6890D5B6"/>
    <w:rsid w:val="6927364A"/>
    <w:rsid w:val="693AD200"/>
    <w:rsid w:val="69A85F27"/>
    <w:rsid w:val="6A3B8FA3"/>
    <w:rsid w:val="6AFAD491"/>
    <w:rsid w:val="6B05B040"/>
    <w:rsid w:val="6B2C7236"/>
    <w:rsid w:val="6BAF7978"/>
    <w:rsid w:val="6BFEF4F7"/>
    <w:rsid w:val="6C1BC635"/>
    <w:rsid w:val="6C20141B"/>
    <w:rsid w:val="6C216292"/>
    <w:rsid w:val="6C62DB05"/>
    <w:rsid w:val="6C6F9B73"/>
    <w:rsid w:val="6C76F236"/>
    <w:rsid w:val="6C97B741"/>
    <w:rsid w:val="6CC8070A"/>
    <w:rsid w:val="6D6E8338"/>
    <w:rsid w:val="6DAD8FBE"/>
    <w:rsid w:val="6DB6D004"/>
    <w:rsid w:val="6E0C5F42"/>
    <w:rsid w:val="6E0D2CD2"/>
    <w:rsid w:val="6E10653C"/>
    <w:rsid w:val="6E618644"/>
    <w:rsid w:val="6E687BFE"/>
    <w:rsid w:val="6E70B2D9"/>
    <w:rsid w:val="6E77B844"/>
    <w:rsid w:val="6E7E5FA7"/>
    <w:rsid w:val="6E90B14D"/>
    <w:rsid w:val="6F22D27D"/>
    <w:rsid w:val="6F684AF0"/>
    <w:rsid w:val="6FCEAC54"/>
    <w:rsid w:val="7002F930"/>
    <w:rsid w:val="7049D065"/>
    <w:rsid w:val="70674AB1"/>
    <w:rsid w:val="708D5C47"/>
    <w:rsid w:val="70C8A8F2"/>
    <w:rsid w:val="70D9A676"/>
    <w:rsid w:val="71147A42"/>
    <w:rsid w:val="711B763A"/>
    <w:rsid w:val="71583438"/>
    <w:rsid w:val="7172D166"/>
    <w:rsid w:val="71D4CF7C"/>
    <w:rsid w:val="723A5DBD"/>
    <w:rsid w:val="72595B3C"/>
    <w:rsid w:val="7268BBE2"/>
    <w:rsid w:val="7269EF3A"/>
    <w:rsid w:val="72B6C156"/>
    <w:rsid w:val="72B84B86"/>
    <w:rsid w:val="72B8F85D"/>
    <w:rsid w:val="72C424C5"/>
    <w:rsid w:val="72C70A2B"/>
    <w:rsid w:val="72D77E41"/>
    <w:rsid w:val="72F644F8"/>
    <w:rsid w:val="73398AE2"/>
    <w:rsid w:val="73454E62"/>
    <w:rsid w:val="735C49C3"/>
    <w:rsid w:val="7405ED83"/>
    <w:rsid w:val="74110713"/>
    <w:rsid w:val="743A03EE"/>
    <w:rsid w:val="745BAAD9"/>
    <w:rsid w:val="74AACA96"/>
    <w:rsid w:val="74D9D0C3"/>
    <w:rsid w:val="74FBC58D"/>
    <w:rsid w:val="756E8A21"/>
    <w:rsid w:val="75F7E45F"/>
    <w:rsid w:val="764161E4"/>
    <w:rsid w:val="76598017"/>
    <w:rsid w:val="76667CDD"/>
    <w:rsid w:val="76D00302"/>
    <w:rsid w:val="76D6E2DA"/>
    <w:rsid w:val="7704CE07"/>
    <w:rsid w:val="77144230"/>
    <w:rsid w:val="776C7324"/>
    <w:rsid w:val="77777A8A"/>
    <w:rsid w:val="77B31C94"/>
    <w:rsid w:val="77F36D5A"/>
    <w:rsid w:val="78265A05"/>
    <w:rsid w:val="789FD86B"/>
    <w:rsid w:val="78AA58E8"/>
    <w:rsid w:val="78EF56FF"/>
    <w:rsid w:val="790FAE22"/>
    <w:rsid w:val="793A0D21"/>
    <w:rsid w:val="793F6500"/>
    <w:rsid w:val="796C80D1"/>
    <w:rsid w:val="797E4066"/>
    <w:rsid w:val="798513DF"/>
    <w:rsid w:val="79D299D1"/>
    <w:rsid w:val="79FE6E1F"/>
    <w:rsid w:val="7A77B93B"/>
    <w:rsid w:val="7AB60E5E"/>
    <w:rsid w:val="7ABE8F06"/>
    <w:rsid w:val="7AD6D0B1"/>
    <w:rsid w:val="7B044C7E"/>
    <w:rsid w:val="7B40605A"/>
    <w:rsid w:val="7B5C2EF1"/>
    <w:rsid w:val="7B9CFF69"/>
    <w:rsid w:val="7BB200D0"/>
    <w:rsid w:val="7BC0DB05"/>
    <w:rsid w:val="7BC7712E"/>
    <w:rsid w:val="7C0C1B74"/>
    <w:rsid w:val="7C21B304"/>
    <w:rsid w:val="7C4A9AB1"/>
    <w:rsid w:val="7C6EC7ED"/>
    <w:rsid w:val="7C6ECC98"/>
    <w:rsid w:val="7CA5D556"/>
    <w:rsid w:val="7CC0C753"/>
    <w:rsid w:val="7CCAE105"/>
    <w:rsid w:val="7CE650CE"/>
    <w:rsid w:val="7CE6BE91"/>
    <w:rsid w:val="7CEA32DB"/>
    <w:rsid w:val="7CF1BA13"/>
    <w:rsid w:val="7D05C149"/>
    <w:rsid w:val="7D31D898"/>
    <w:rsid w:val="7D57917E"/>
    <w:rsid w:val="7E0035E9"/>
    <w:rsid w:val="7E186A0E"/>
    <w:rsid w:val="7E1C85CB"/>
    <w:rsid w:val="7E396331"/>
    <w:rsid w:val="7E3BA305"/>
    <w:rsid w:val="7E6D5228"/>
    <w:rsid w:val="7E9AF06A"/>
    <w:rsid w:val="7EE8A0A9"/>
    <w:rsid w:val="7EF00862"/>
    <w:rsid w:val="7F17D48E"/>
    <w:rsid w:val="7F81465F"/>
    <w:rsid w:val="7FF520A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C8A3DC1"/>
  <w15:chartTrackingRefBased/>
  <w15:docId w15:val="{4363B4B5-38B7-4D4D-81DD-96F85D687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1415E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21415E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21415E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506E9A72"/>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1415ECF"/>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506E9A7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1317</TotalTime>
  <Pages>5</Pages>
  <Words>1674</Words>
  <Characters>9545</Characters>
  <Application>Microsoft Office Word</Application>
  <DocSecurity>0</DocSecurity>
  <Lines>79</Lines>
  <Paragraphs>22</Paragraphs>
  <ScaleCrop>false</ScaleCrop>
  <Company/>
  <LinksUpToDate>false</LinksUpToDate>
  <CharactersWithSpaces>11197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Ratanpal, Tanmay</dc:creator>
  <cp:keywords/>
  <dc:description/>
  <cp:lastModifiedBy>Behrens, Ashley</cp:lastModifiedBy>
  <cp:revision>5</cp:revision>
  <dcterms:created xsi:type="dcterms:W3CDTF">2026-06-09T08:51:00Z</dcterms:created>
  <dcterms:modified xsi:type="dcterms:W3CDTF">2026-06-11T16:08:00Z</dcterms:modified>
</cp:coreProperties>
</file>