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06940" w:rsidRDefault="002648B6" w14:paraId="56A1A426" w14:textId="33E57D06">
      <w:pPr>
        <w:spacing w:after="80"/>
      </w:pPr>
      <w:r w:rsidRPr="002648B6">
        <w:rPr>
          <w:b/>
          <w:bCs/>
          <w:color w:val="1A1A1A"/>
          <w:sz w:val="36"/>
          <w:szCs w:val="36"/>
        </w:rPr>
        <w:t>Metrics Layer vs. Universal Semantic Layer: Core Differences in AI Data Architecture</w:t>
      </w:r>
    </w:p>
    <w:tbl>
      <w:tblPr>
        <w:tblW w:w="9360" w:type="dxa"/>
        <w:tblBorders>
          <w:top w:val="single" w:color="FA660F" w:sz="4" w:space="0"/>
          <w:left w:val="single" w:color="FA660F" w:sz="4" w:space="0"/>
          <w:bottom w:val="single" w:color="FA660F" w:sz="4" w:space="0"/>
          <w:right w:val="single" w:color="FA660F"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400"/>
        <w:gridCol w:w="8960"/>
      </w:tblGrid>
      <w:tr w:rsidR="00806940" w14:paraId="6C41E36B" w14:textId="77777777">
        <w:tblPrEx>
          <w:tblCellMar>
            <w:top w:w="0" w:type="dxa"/>
            <w:bottom w:w="0" w:type="dxa"/>
          </w:tblCellMar>
        </w:tblPrEx>
        <w:tc>
          <w:tcPr>
            <w:tcW w:w="9360" w:type="dxa"/>
            <w:gridSpan w:val="2"/>
            <w:tcBorders>
              <w:top w:val="none" w:color="FFFFFF" w:sz="0" w:space="0"/>
              <w:left w:val="none" w:color="FFFFFF" w:sz="0" w:space="0"/>
              <w:bottom w:val="none" w:color="FFFFFF" w:sz="0" w:space="0"/>
              <w:right w:val="none" w:color="FFFFFF" w:sz="0" w:space="0"/>
            </w:tcBorders>
            <w:shd w:val="clear" w:color="auto" w:fill="FFF3EC"/>
            <w:tcMar>
              <w:top w:w="100" w:type="dxa"/>
              <w:left w:w="120" w:type="dxa"/>
              <w:bottom w:w="60" w:type="dxa"/>
              <w:right w:w="120" w:type="dxa"/>
            </w:tcMar>
          </w:tcPr>
          <w:p w:rsidR="00806940" w:rsidRDefault="006759EA" w14:paraId="122338AC" w14:textId="77777777">
            <w:r>
              <w:rPr>
                <w:b/>
                <w:bCs/>
                <w:color w:val="FA660F"/>
                <w:sz w:val="20"/>
                <w:szCs w:val="20"/>
              </w:rPr>
              <w:t>Quick Answer</w:t>
            </w:r>
          </w:p>
        </w:tc>
      </w:tr>
      <w:tr w:rsidR="00806940" w14:paraId="75B86484" w14:textId="77777777">
        <w:tblPrEx>
          <w:tblCellMar>
            <w:top w:w="0" w:type="dxa"/>
            <w:bottom w:w="0" w:type="dxa"/>
          </w:tblCellMar>
        </w:tblPrEx>
        <w:tc>
          <w:tcPr>
            <w:tcW w:w="400" w:type="dxa"/>
            <w:tcBorders>
              <w:top w:val="none" w:color="FFFFFF" w:sz="0" w:space="0"/>
              <w:left w:val="none" w:color="FFFFFF" w:sz="0" w:space="0"/>
              <w:bottom w:val="none" w:color="FFFFFF" w:sz="0" w:space="0"/>
              <w:right w:val="none" w:color="FFFFFF" w:sz="0" w:space="0"/>
            </w:tcBorders>
            <w:shd w:val="clear" w:color="auto" w:fill="FFF3EC"/>
            <w:tcMar>
              <w:top w:w="60" w:type="dxa"/>
              <w:left w:w="120" w:type="dxa"/>
              <w:bottom w:w="60" w:type="dxa"/>
              <w:right w:w="0" w:type="dxa"/>
            </w:tcMar>
          </w:tcPr>
          <w:p w:rsidR="00806940" w:rsidRDefault="006759EA" w14:paraId="36BE5DE8" w14:textId="77777777">
            <w:r>
              <w:rPr>
                <w:b/>
                <w:bCs/>
                <w:color w:val="FA660F"/>
              </w:rPr>
              <w:t>•</w:t>
            </w:r>
          </w:p>
        </w:tc>
        <w:tc>
          <w:tcPr>
            <w:tcW w:w="8960" w:type="dxa"/>
            <w:tcBorders>
              <w:top w:val="none" w:color="FFFFFF" w:sz="0" w:space="0"/>
              <w:left w:val="none" w:color="FFFFFF" w:sz="0" w:space="0"/>
              <w:bottom w:val="none" w:color="FFFFFF" w:sz="0" w:space="0"/>
              <w:right w:val="none" w:color="FFFFFF" w:sz="0" w:space="0"/>
            </w:tcBorders>
            <w:shd w:val="clear" w:color="auto" w:fill="FFF3EC"/>
            <w:tcMar>
              <w:top w:w="60" w:type="dxa"/>
              <w:left w:w="80" w:type="dxa"/>
              <w:bottom w:w="60" w:type="dxa"/>
              <w:right w:w="120" w:type="dxa"/>
            </w:tcMar>
          </w:tcPr>
          <w:p w:rsidR="00806940" w:rsidRDefault="006759EA" w14:paraId="4025659F" w14:textId="77777777">
            <w:r>
              <w:rPr>
                <w:color w:val="1A1A1A"/>
              </w:rPr>
              <w:t xml:space="preserve">A </w:t>
            </w:r>
            <w:r>
              <w:rPr>
                <w:b/>
                <w:bCs/>
                <w:color w:val="1A1A1A"/>
              </w:rPr>
              <w:t>metrics layer</w:t>
            </w:r>
            <w:r>
              <w:rPr>
                <w:color w:val="1A1A1A"/>
              </w:rPr>
              <w:t xml:space="preserve"> defines how specific KPIs are calculated (revenue, churn rate, margin) from one centralized location. Every connected tool reads the same formula.</w:t>
            </w:r>
          </w:p>
        </w:tc>
      </w:tr>
      <w:tr w:rsidR="00806940" w14:paraId="622D047F" w14:textId="77777777">
        <w:tblPrEx>
          <w:tblCellMar>
            <w:top w:w="0" w:type="dxa"/>
            <w:bottom w:w="0" w:type="dxa"/>
          </w:tblCellMar>
        </w:tblPrEx>
        <w:tc>
          <w:tcPr>
            <w:tcW w:w="400" w:type="dxa"/>
            <w:tcBorders>
              <w:top w:val="none" w:color="FFFFFF" w:sz="0" w:space="0"/>
              <w:left w:val="none" w:color="FFFFFF" w:sz="0" w:space="0"/>
              <w:bottom w:val="none" w:color="FFFFFF" w:sz="0" w:space="0"/>
              <w:right w:val="none" w:color="FFFFFF" w:sz="0" w:space="0"/>
            </w:tcBorders>
            <w:shd w:val="clear" w:color="auto" w:fill="FFF3EC"/>
            <w:tcMar>
              <w:top w:w="60" w:type="dxa"/>
              <w:left w:w="120" w:type="dxa"/>
              <w:bottom w:w="60" w:type="dxa"/>
              <w:right w:w="0" w:type="dxa"/>
            </w:tcMar>
          </w:tcPr>
          <w:p w:rsidR="00806940" w:rsidRDefault="006759EA" w14:paraId="3DF52167" w14:textId="77777777">
            <w:r>
              <w:rPr>
                <w:b/>
                <w:bCs/>
                <w:color w:val="FA660F"/>
              </w:rPr>
              <w:t>•</w:t>
            </w:r>
          </w:p>
        </w:tc>
        <w:tc>
          <w:tcPr>
            <w:tcW w:w="8960" w:type="dxa"/>
            <w:tcBorders>
              <w:top w:val="none" w:color="FFFFFF" w:sz="0" w:space="0"/>
              <w:left w:val="none" w:color="FFFFFF" w:sz="0" w:space="0"/>
              <w:bottom w:val="none" w:color="FFFFFF" w:sz="0" w:space="0"/>
              <w:right w:val="none" w:color="FFFFFF" w:sz="0" w:space="0"/>
            </w:tcBorders>
            <w:shd w:val="clear" w:color="auto" w:fill="FFF3EC"/>
            <w:tcMar>
              <w:top w:w="60" w:type="dxa"/>
              <w:left w:w="80" w:type="dxa"/>
              <w:bottom w:w="60" w:type="dxa"/>
              <w:right w:w="120" w:type="dxa"/>
            </w:tcMar>
          </w:tcPr>
          <w:p w:rsidR="00806940" w:rsidRDefault="006759EA" w14:paraId="000F333B" w14:textId="77777777">
            <w:r>
              <w:rPr>
                <w:color w:val="1A1A1A"/>
              </w:rPr>
              <w:t xml:space="preserve">A </w:t>
            </w:r>
            <w:r>
              <w:rPr>
                <w:b/>
                <w:bCs/>
                <w:color w:val="1A1A1A"/>
              </w:rPr>
              <w:t>semantic layer</w:t>
            </w:r>
            <w:r>
              <w:rPr>
                <w:color w:val="1A1A1A"/>
              </w:rPr>
              <w:t xml:space="preserve"> governs everything above the raw data: metric definitions, table relationships, business terminology, access controls, and data lineage.</w:t>
            </w:r>
          </w:p>
        </w:tc>
      </w:tr>
      <w:tr w:rsidR="00806940" w14:paraId="59C6B151" w14:textId="77777777">
        <w:tblPrEx>
          <w:tblCellMar>
            <w:top w:w="0" w:type="dxa"/>
            <w:bottom w:w="0" w:type="dxa"/>
          </w:tblCellMar>
        </w:tblPrEx>
        <w:tc>
          <w:tcPr>
            <w:tcW w:w="400" w:type="dxa"/>
            <w:tcBorders>
              <w:top w:val="none" w:color="FFFFFF" w:sz="0" w:space="0"/>
              <w:left w:val="none" w:color="FFFFFF" w:sz="0" w:space="0"/>
              <w:bottom w:val="none" w:color="FFFFFF" w:sz="0" w:space="0"/>
              <w:right w:val="none" w:color="FFFFFF" w:sz="0" w:space="0"/>
            </w:tcBorders>
            <w:shd w:val="clear" w:color="auto" w:fill="FFF3EC"/>
            <w:tcMar>
              <w:top w:w="60" w:type="dxa"/>
              <w:left w:w="120" w:type="dxa"/>
              <w:bottom w:w="60" w:type="dxa"/>
              <w:right w:w="0" w:type="dxa"/>
            </w:tcMar>
          </w:tcPr>
          <w:p w:rsidR="00806940" w:rsidRDefault="006759EA" w14:paraId="74126077" w14:textId="77777777">
            <w:r>
              <w:rPr>
                <w:b/>
                <w:bCs/>
                <w:color w:val="FA660F"/>
              </w:rPr>
              <w:t>•</w:t>
            </w:r>
          </w:p>
        </w:tc>
        <w:tc>
          <w:tcPr>
            <w:tcW w:w="8960" w:type="dxa"/>
            <w:tcBorders>
              <w:top w:val="none" w:color="FFFFFF" w:sz="0" w:space="0"/>
              <w:left w:val="none" w:color="FFFFFF" w:sz="0" w:space="0"/>
              <w:bottom w:val="none" w:color="FFFFFF" w:sz="0" w:space="0"/>
              <w:right w:val="none" w:color="FFFFFF" w:sz="0" w:space="0"/>
            </w:tcBorders>
            <w:shd w:val="clear" w:color="auto" w:fill="FFF3EC"/>
            <w:tcMar>
              <w:top w:w="60" w:type="dxa"/>
              <w:left w:w="80" w:type="dxa"/>
              <w:bottom w:w="60" w:type="dxa"/>
              <w:right w:w="120" w:type="dxa"/>
            </w:tcMar>
          </w:tcPr>
          <w:p w:rsidR="00806940" w:rsidRDefault="006759EA" w14:paraId="000BA507" w14:textId="77777777">
            <w:r>
              <w:rPr>
                <w:color w:val="1A1A1A"/>
              </w:rPr>
              <w:t>The scope difference matters: a metrics layer tells you how a number is calculated. A semantic layer tells you what the data means, who can see it, and whether AI agents can trust it.</w:t>
            </w:r>
          </w:p>
        </w:tc>
      </w:tr>
      <w:tr w:rsidR="00806940" w14:paraId="03B601FA" w14:textId="77777777">
        <w:tblPrEx>
          <w:tblCellMar>
            <w:top w:w="0" w:type="dxa"/>
            <w:bottom w:w="0" w:type="dxa"/>
          </w:tblCellMar>
        </w:tblPrEx>
        <w:tc>
          <w:tcPr>
            <w:tcW w:w="400" w:type="dxa"/>
            <w:tcBorders>
              <w:top w:val="none" w:color="FFFFFF" w:sz="0" w:space="0"/>
              <w:left w:val="none" w:color="FFFFFF" w:sz="0" w:space="0"/>
              <w:bottom w:val="none" w:color="FFFFFF" w:sz="0" w:space="0"/>
              <w:right w:val="none" w:color="FFFFFF" w:sz="0" w:space="0"/>
            </w:tcBorders>
            <w:shd w:val="clear" w:color="auto" w:fill="FFF3EC"/>
            <w:tcMar>
              <w:top w:w="60" w:type="dxa"/>
              <w:left w:w="120" w:type="dxa"/>
              <w:bottom w:w="60" w:type="dxa"/>
              <w:right w:w="0" w:type="dxa"/>
            </w:tcMar>
          </w:tcPr>
          <w:p w:rsidR="00806940" w:rsidRDefault="006759EA" w14:paraId="368D5DF9" w14:textId="77777777">
            <w:r>
              <w:rPr>
                <w:b/>
                <w:bCs/>
                <w:color w:val="FA660F"/>
              </w:rPr>
              <w:t>•</w:t>
            </w:r>
          </w:p>
        </w:tc>
        <w:tc>
          <w:tcPr>
            <w:tcW w:w="8960" w:type="dxa"/>
            <w:tcBorders>
              <w:top w:val="none" w:color="FFFFFF" w:sz="0" w:space="0"/>
              <w:left w:val="none" w:color="FFFFFF" w:sz="0" w:space="0"/>
              <w:bottom w:val="none" w:color="FFFFFF" w:sz="0" w:space="0"/>
              <w:right w:val="none" w:color="FFFFFF" w:sz="0" w:space="0"/>
            </w:tcBorders>
            <w:shd w:val="clear" w:color="auto" w:fill="FFF3EC"/>
            <w:tcMar>
              <w:top w:w="60" w:type="dxa"/>
              <w:left w:w="80" w:type="dxa"/>
              <w:bottom w:w="60" w:type="dxa"/>
              <w:right w:w="120" w:type="dxa"/>
            </w:tcMar>
          </w:tcPr>
          <w:p w:rsidR="00806940" w:rsidRDefault="006759EA" w14:paraId="685AEFFF" w14:textId="2EFB26E4">
            <w:r>
              <w:rPr>
                <w:color w:val="1A1A1A"/>
              </w:rPr>
              <w:t>Strategy Mosaic is a universal semantic layer built for enterprises that need all of this, not just the metrics piece.</w:t>
            </w:r>
          </w:p>
        </w:tc>
      </w:tr>
    </w:tbl>
    <w:p w:rsidR="00806940" w:rsidRDefault="00806940" w14:paraId="78767C5A" w14:textId="77777777">
      <w:pPr>
        <w:spacing w:after="80"/>
      </w:pPr>
    </w:p>
    <w:p w:rsidR="00806940" w:rsidRDefault="006759EA" w14:paraId="748D9329" w14:textId="77777777">
      <w:pPr>
        <w:spacing w:after="160"/>
      </w:pPr>
      <w:r>
        <w:rPr>
          <w:color w:val="1A1A1A"/>
        </w:rPr>
        <w:t xml:space="preserve">The semantic layer has been around since the nineties. We called it the metadata layer back then. BusinessObjects, Cognos, Teradata, Informatica, Strategy Software. Everyone in the space embraced the concept, and the core idea was the same it's always </w:t>
      </w:r>
      <w:proofErr w:type="gramStart"/>
      <w:r>
        <w:rPr>
          <w:color w:val="1A1A1A"/>
        </w:rPr>
        <w:t>been:</w:t>
      </w:r>
      <w:proofErr w:type="gramEnd"/>
      <w:r>
        <w:rPr>
          <w:color w:val="1A1A1A"/>
        </w:rPr>
        <w:t xml:space="preserve"> change the definition of a metric in one place and have it ripple through every dashboard, every filter, every object that consumes it. A thousand objects, one change. That is genuinely powerful.</w:t>
      </w:r>
    </w:p>
    <w:p w:rsidR="00806940" w:rsidRDefault="006759EA" w14:paraId="76537F82" w14:textId="53B7F926">
      <w:pPr>
        <w:spacing w:after="160"/>
      </w:pPr>
      <w:r>
        <w:rPr>
          <w:color w:val="1A1A1A"/>
        </w:rPr>
        <w:t xml:space="preserve">Then the data lake era pulled everyone's attention. Hadoop, Spark, Snowflake, Redshift. The industry spent most of a decade building faster storage and cheaper compute. </w:t>
      </w:r>
      <w:proofErr w:type="spellStart"/>
      <w:r>
        <w:rPr>
          <w:color w:val="1A1A1A"/>
        </w:rPr>
        <w:t>dbt</w:t>
      </w:r>
      <w:proofErr w:type="spellEnd"/>
      <w:r>
        <w:rPr>
          <w:color w:val="1A1A1A"/>
        </w:rPr>
        <w:t xml:space="preserve"> showed up and gave engineers a SQL-native transformation layer directly in the warehouse. The semantic layer got deprioritized. Not because the governance problem was solved, but because faster pipelines felt like enough. Most vendors moved with the market. Strategy </w:t>
      </w:r>
      <w:r>
        <w:rPr>
          <w:color w:val="1A1A1A"/>
        </w:rPr>
        <w:t>kept building ours.</w:t>
      </w:r>
    </w:p>
    <w:p w:rsidR="00806940" w:rsidRDefault="006759EA" w14:paraId="7C4F828D" w14:textId="696D4C3C">
      <w:pPr>
        <w:spacing w:after="160"/>
      </w:pPr>
      <w:r>
        <w:rPr>
          <w:color w:val="1A1A1A"/>
        </w:rPr>
        <w:t xml:space="preserve">Generative AI brought it back. Semantic layers are cool again. </w:t>
      </w:r>
    </w:p>
    <w:p w:rsidR="00806940" w:rsidRDefault="006759EA" w14:paraId="115063D2" w14:textId="415A16D3">
      <w:pPr>
        <w:spacing w:after="160"/>
      </w:pPr>
      <w:r>
        <w:rPr>
          <w:color w:val="1A1A1A"/>
        </w:rPr>
        <w:t>The reason AI revived this conversation is real, though. And it has also surfaced a distinction that mattered less in the dashboard era: the difference between a metrics layer and a semantic layer. The terms sound similar</w:t>
      </w:r>
      <w:r w:rsidR="002648B6">
        <w:rPr>
          <w:color w:val="1A1A1A"/>
        </w:rPr>
        <w:t xml:space="preserve"> and they</w:t>
      </w:r>
      <w:r>
        <w:rPr>
          <w:color w:val="1A1A1A"/>
        </w:rPr>
        <w:t xml:space="preserve"> solve related problems. One is a component; the other is the foundation. After </w:t>
      </w:r>
      <w:r>
        <w:rPr>
          <w:color w:val="1A1A1A"/>
        </w:rPr>
        <w:t>years of watching both in production, here is how I explain the difference.</w:t>
      </w:r>
    </w:p>
    <w:p w:rsidR="00806940" w:rsidRDefault="00806940" w14:paraId="541227DC" w14:textId="77777777">
      <w:pPr>
        <w:pBdr>
          <w:bottom w:val="single" w:color="DDDDDD" w:sz="2" w:space="1"/>
        </w:pBdr>
        <w:spacing w:before="200" w:after="200"/>
      </w:pPr>
    </w:p>
    <w:p w:rsidR="00806940" w:rsidRDefault="006759EA" w14:paraId="57900214" w14:textId="4E7E238D">
      <w:pPr>
        <w:pStyle w:val="Heading2"/>
      </w:pPr>
      <w:r>
        <w:t>What a Metrics Layer Does</w:t>
      </w:r>
      <w:r>
        <w:t xml:space="preserve"> and Where Its Scope Ends</w:t>
      </w:r>
    </w:p>
    <w:p w:rsidR="00806940" w:rsidRDefault="006759EA" w14:paraId="4AACAD54" w14:textId="77777777">
      <w:pPr>
        <w:spacing w:after="160"/>
      </w:pPr>
      <w:r>
        <w:rPr>
          <w:color w:val="1A1A1A"/>
        </w:rPr>
        <w:t>A metrics layer centralizes the calculation logic for your key business measures. You define "Monthly Recurring Revenue," "30-Day Retention," or "Customer Acquisition Cost" once, in a governed location, and every BI tool that connects to that layer uses the same formula. The metric definition lives in one place; analysts don't reinvent it from scratch.</w:t>
      </w:r>
    </w:p>
    <w:p w:rsidR="00806940" w:rsidRDefault="006759EA" w14:paraId="5D825737" w14:textId="77777777">
      <w:pPr>
        <w:spacing w:after="160"/>
      </w:pPr>
      <w:r>
        <w:rPr>
          <w:color w:val="1A1A1A"/>
        </w:rPr>
        <w:t xml:space="preserve">Databricks Metric Views are a current, well-executed example of this approach. Within Unity Catalog, teams define dimensions and measures in a structured YAML-over-SQL format: explicit, versioned, governed objects that replace scattered metric logic spread across pipelines and dashboards. For teams already operating within the Databricks </w:t>
      </w:r>
      <w:proofErr w:type="spellStart"/>
      <w:r>
        <w:rPr>
          <w:color w:val="1A1A1A"/>
        </w:rPr>
        <w:t>lakehouse</w:t>
      </w:r>
      <w:proofErr w:type="spellEnd"/>
      <w:r>
        <w:rPr>
          <w:color w:val="1A1A1A"/>
        </w:rPr>
        <w:t>, this solves metric drift cleanly.</w:t>
      </w:r>
    </w:p>
    <w:p w:rsidR="00806940" w:rsidRDefault="006759EA" w14:paraId="6C58C1CE" w14:textId="77777777">
      <w:pPr>
        <w:spacing w:after="160"/>
      </w:pPr>
      <w:r>
        <w:rPr>
          <w:color w:val="1A1A1A"/>
        </w:rPr>
        <w:lastRenderedPageBreak/>
        <w:t xml:space="preserve">The scope is bounded by the platform. Databricks Metric Views work within the Databricks ecosystem. They do not govern definitions across Snowflake, </w:t>
      </w:r>
      <w:proofErr w:type="spellStart"/>
      <w:r>
        <w:rPr>
          <w:color w:val="1A1A1A"/>
        </w:rPr>
        <w:t>BigQuery</w:t>
      </w:r>
      <w:proofErr w:type="spellEnd"/>
      <w:r>
        <w:rPr>
          <w:color w:val="1A1A1A"/>
        </w:rPr>
        <w:t xml:space="preserve">, or any BI tool operating outside the </w:t>
      </w:r>
      <w:proofErr w:type="spellStart"/>
      <w:r>
        <w:rPr>
          <w:color w:val="1A1A1A"/>
        </w:rPr>
        <w:t>lakehouse</w:t>
      </w:r>
      <w:proofErr w:type="spellEnd"/>
      <w:r>
        <w:rPr>
          <w:color w:val="1A1A1A"/>
        </w:rPr>
        <w:t>. Multi-cloud or multi-warehouse environments either maintain parallel definitions per platform or accept that the centralization is partial.</w:t>
      </w:r>
    </w:p>
    <w:p w:rsidR="00806940" w:rsidRDefault="006759EA" w14:paraId="240FDA19" w14:textId="77777777">
      <w:pPr>
        <w:spacing w:after="160"/>
      </w:pPr>
      <w:r>
        <w:rPr>
          <w:color w:val="1A1A1A"/>
        </w:rPr>
        <w:t>That is the architectural trade-off built into any platform-native metrics layer. The question every enterprise architect needs to answer is: how single is your stack, and how long do you expect it to stay that way?</w:t>
      </w:r>
    </w:p>
    <w:p w:rsidR="00806940" w:rsidRDefault="00806940" w14:paraId="0F2EB7E4" w14:textId="77777777">
      <w:pPr>
        <w:pBdr>
          <w:bottom w:val="single" w:color="DDDDDD" w:sz="2" w:space="1"/>
        </w:pBdr>
        <w:spacing w:before="200" w:after="200"/>
      </w:pPr>
    </w:p>
    <w:p w:rsidR="00806940" w:rsidRDefault="006759EA" w14:paraId="0E517242" w14:textId="77777777">
      <w:pPr>
        <w:pStyle w:val="Heading2"/>
      </w:pPr>
      <w:r>
        <w:t>What a Semantic Layer Adds</w:t>
      </w:r>
    </w:p>
    <w:p w:rsidR="00806940" w:rsidRDefault="006759EA" w14:paraId="65990BF1" w14:textId="77777777">
      <w:pPr>
        <w:spacing w:after="160"/>
      </w:pPr>
      <w:r>
        <w:rPr>
          <w:color w:val="1A1A1A"/>
        </w:rPr>
        <w:t xml:space="preserve">A semantic layer operates at broader scope than a metrics layer. Where a metrics layer </w:t>
      </w:r>
      <w:proofErr w:type="gramStart"/>
      <w:r>
        <w:rPr>
          <w:color w:val="1A1A1A"/>
        </w:rPr>
        <w:t>answers</w:t>
      </w:r>
      <w:proofErr w:type="gramEnd"/>
      <w:r>
        <w:rPr>
          <w:color w:val="1A1A1A"/>
        </w:rPr>
        <w:t xml:space="preserve"> "how do we calculate this number," a semantic layer answers "what does this data mean, who can see it, how does it join to other data, what do we call it in business terms, and where did it come from."</w:t>
      </w:r>
    </w:p>
    <w:p w:rsidR="00806940" w:rsidRDefault="00806940" w14:paraId="3B6BFEB5" w14:textId="77777777">
      <w:pPr>
        <w:spacing w:after="80"/>
      </w:pPr>
    </w:p>
    <w:tbl>
      <w:tblPr>
        <w:tblW w:w="936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120"/>
        <w:gridCol w:w="3120"/>
        <w:gridCol w:w="3120"/>
      </w:tblGrid>
      <w:tr w:rsidR="00806940" w14:paraId="51D8144C"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A660F"/>
            <w:tcMar>
              <w:top w:w="80" w:type="dxa"/>
              <w:left w:w="120" w:type="dxa"/>
              <w:bottom w:w="80" w:type="dxa"/>
              <w:right w:w="120" w:type="dxa"/>
            </w:tcMar>
          </w:tcPr>
          <w:p w:rsidR="00806940" w:rsidRDefault="006759EA" w14:paraId="39173DA5" w14:textId="77777777">
            <w:r>
              <w:rPr>
                <w:b/>
                <w:bCs/>
                <w:color w:val="FFFFFF"/>
                <w:sz w:val="20"/>
                <w:szCs w:val="20"/>
              </w:rPr>
              <w:t>Capability</w:t>
            </w:r>
          </w:p>
        </w:tc>
        <w:tc>
          <w:tcPr>
            <w:tcW w:w="3120" w:type="dxa"/>
            <w:tcBorders>
              <w:top w:val="single" w:color="DDDDDD" w:sz="1" w:space="0"/>
              <w:left w:val="single" w:color="DDDDDD" w:sz="1" w:space="0"/>
              <w:bottom w:val="single" w:color="DDDDDD" w:sz="1" w:space="0"/>
              <w:right w:val="single" w:color="DDDDDD" w:sz="1" w:space="0"/>
            </w:tcBorders>
            <w:shd w:val="clear" w:color="auto" w:fill="FA660F"/>
            <w:tcMar>
              <w:top w:w="80" w:type="dxa"/>
              <w:left w:w="120" w:type="dxa"/>
              <w:bottom w:w="80" w:type="dxa"/>
              <w:right w:w="120" w:type="dxa"/>
            </w:tcMar>
          </w:tcPr>
          <w:p w:rsidR="00806940" w:rsidRDefault="006759EA" w14:paraId="4BA4BF41" w14:textId="77777777">
            <w:r>
              <w:rPr>
                <w:b/>
                <w:bCs/>
                <w:color w:val="FFFFFF"/>
                <w:sz w:val="20"/>
                <w:szCs w:val="20"/>
              </w:rPr>
              <w:t>Metrics Layer</w:t>
            </w:r>
          </w:p>
        </w:tc>
        <w:tc>
          <w:tcPr>
            <w:tcW w:w="3120" w:type="dxa"/>
            <w:tcBorders>
              <w:top w:val="single" w:color="DDDDDD" w:sz="1" w:space="0"/>
              <w:left w:val="single" w:color="DDDDDD" w:sz="1" w:space="0"/>
              <w:bottom w:val="single" w:color="DDDDDD" w:sz="1" w:space="0"/>
              <w:right w:val="single" w:color="DDDDDD" w:sz="1" w:space="0"/>
            </w:tcBorders>
            <w:shd w:val="clear" w:color="auto" w:fill="FA660F"/>
            <w:tcMar>
              <w:top w:w="80" w:type="dxa"/>
              <w:left w:w="120" w:type="dxa"/>
              <w:bottom w:w="80" w:type="dxa"/>
              <w:right w:w="120" w:type="dxa"/>
            </w:tcMar>
          </w:tcPr>
          <w:p w:rsidR="00806940" w:rsidRDefault="006759EA" w14:paraId="0A49F210" w14:textId="77777777">
            <w:r>
              <w:rPr>
                <w:b/>
                <w:bCs/>
                <w:color w:val="FFFFFF"/>
                <w:sz w:val="20"/>
                <w:szCs w:val="20"/>
              </w:rPr>
              <w:t>Semantic Layer — Strategy Mosaic</w:t>
            </w:r>
          </w:p>
        </w:tc>
      </w:tr>
      <w:tr w:rsidR="00806940" w14:paraId="39E0BCE0"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698F8232" w14:textId="77777777">
            <w:r>
              <w:rPr>
                <w:color w:val="1A1A1A"/>
                <w:sz w:val="20"/>
                <w:szCs w:val="20"/>
              </w:rPr>
              <w:t>KPI and measure definitions</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4182A928" w14:textId="77777777">
            <w:r>
              <w:rPr>
                <w:color w:val="1A1A1A"/>
                <w:sz w:val="20"/>
                <w:szCs w:val="20"/>
              </w:rPr>
              <w:t>Yes: centralized calculation logic</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4CA03A13" w14:textId="77777777">
            <w:r>
              <w:rPr>
                <w:color w:val="1A1A1A"/>
                <w:sz w:val="20"/>
                <w:szCs w:val="20"/>
              </w:rPr>
              <w:t>Yes: governed, versioned, and portable</w:t>
            </w:r>
          </w:p>
        </w:tc>
      </w:tr>
      <w:tr w:rsidR="00806940" w14:paraId="5EC50A25"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7DBAAC45" w14:textId="77777777">
            <w:r>
              <w:rPr>
                <w:color w:val="1A1A1A"/>
                <w:sz w:val="20"/>
                <w:szCs w:val="20"/>
              </w:rPr>
              <w:t>Business terminology mapping</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7D6FDD88" w14:textId="77777777">
            <w:r>
              <w:rPr>
                <w:color w:val="1A1A1A"/>
                <w:sz w:val="20"/>
                <w:szCs w:val="20"/>
              </w:rPr>
              <w:t>Metric names only</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47929E05" w14:textId="77777777">
            <w:r>
              <w:rPr>
                <w:color w:val="1A1A1A"/>
                <w:sz w:val="20"/>
                <w:szCs w:val="20"/>
              </w:rPr>
              <w:t>Full mapping of technical fields to business vocabulary across all sources</w:t>
            </w:r>
          </w:p>
        </w:tc>
      </w:tr>
      <w:tr w:rsidR="00806940" w14:paraId="6AFB6683"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48230F99" w14:textId="77777777">
            <w:r>
              <w:rPr>
                <w:color w:val="1A1A1A"/>
                <w:sz w:val="20"/>
                <w:szCs w:val="20"/>
              </w:rPr>
              <w:t>Table joins and relationships</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041A387A" w14:textId="77777777">
            <w:r>
              <w:rPr>
                <w:color w:val="1A1A1A"/>
                <w:sz w:val="20"/>
                <w:szCs w:val="20"/>
              </w:rPr>
              <w:t>Not typically</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7CF55644" w14:textId="77777777">
            <w:r>
              <w:rPr>
                <w:color w:val="1A1A1A"/>
                <w:sz w:val="20"/>
                <w:szCs w:val="20"/>
              </w:rPr>
              <w:t>Yes: defined once, applied everywhere</w:t>
            </w:r>
          </w:p>
        </w:tc>
      </w:tr>
      <w:tr w:rsidR="00806940" w14:paraId="3D6DB2DF"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49989A83" w14:textId="77777777">
            <w:r>
              <w:rPr>
                <w:color w:val="1A1A1A"/>
                <w:sz w:val="20"/>
                <w:szCs w:val="20"/>
              </w:rPr>
              <w:t>Row and column-level access control</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7E6C7538" w14:textId="77777777">
            <w:r>
              <w:rPr>
                <w:color w:val="1A1A1A"/>
                <w:sz w:val="20"/>
                <w:szCs w:val="20"/>
              </w:rPr>
              <w:t>Limited: often enforced at dashboard level</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21D9D92F" w14:textId="77777777">
            <w:r>
              <w:rPr>
                <w:color w:val="1A1A1A"/>
                <w:sz w:val="20"/>
                <w:szCs w:val="20"/>
              </w:rPr>
              <w:t>Yes: enforced at the semantic layer, across every connected tool</w:t>
            </w:r>
          </w:p>
        </w:tc>
      </w:tr>
      <w:tr w:rsidR="00806940" w14:paraId="1FE7280E"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3473E3D6" w14:textId="77777777">
            <w:r>
              <w:rPr>
                <w:color w:val="1A1A1A"/>
                <w:sz w:val="20"/>
                <w:szCs w:val="20"/>
              </w:rPr>
              <w:t>Cross-platform governance</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5CF865E0" w14:textId="77777777">
            <w:r>
              <w:rPr>
                <w:color w:val="1A1A1A"/>
                <w:sz w:val="20"/>
                <w:szCs w:val="20"/>
              </w:rPr>
              <w:t>Platform-bound</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40693A1C" w14:textId="77777777">
            <w:r>
              <w:rPr>
                <w:color w:val="1A1A1A"/>
                <w:sz w:val="20"/>
                <w:szCs w:val="20"/>
              </w:rPr>
              <w:t>Vendor-agnostic (Power BI, Tableau, Excel, AI agents)</w:t>
            </w:r>
          </w:p>
        </w:tc>
      </w:tr>
      <w:tr w:rsidR="00806940" w14:paraId="2B27D699"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01F85970" w14:textId="77777777">
            <w:r>
              <w:rPr>
                <w:color w:val="1A1A1A"/>
                <w:sz w:val="20"/>
                <w:szCs w:val="20"/>
              </w:rPr>
              <w:t>AI query grounding</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2F8BC194" w14:textId="77777777">
            <w:r>
              <w:rPr>
                <w:color w:val="1A1A1A"/>
                <w:sz w:val="20"/>
                <w:szCs w:val="20"/>
              </w:rPr>
              <w:t>Metric formulas only</w:t>
            </w:r>
          </w:p>
        </w:tc>
        <w:tc>
          <w:tcPr>
            <w:tcW w:w="3120" w:type="dxa"/>
            <w:tcBorders>
              <w:top w:val="single" w:color="DDDDDD" w:sz="1" w:space="0"/>
              <w:left w:val="single" w:color="DDDDDD" w:sz="1" w:space="0"/>
              <w:bottom w:val="single" w:color="DDDDDD" w:sz="1" w:space="0"/>
              <w:right w:val="single" w:color="DDDDDD" w:sz="1" w:space="0"/>
            </w:tcBorders>
            <w:shd w:val="clear" w:color="auto" w:fill="FAFAFA"/>
            <w:tcMar>
              <w:top w:w="80" w:type="dxa"/>
              <w:left w:w="120" w:type="dxa"/>
              <w:bottom w:w="80" w:type="dxa"/>
              <w:right w:w="120" w:type="dxa"/>
            </w:tcMar>
          </w:tcPr>
          <w:p w:rsidR="00806940" w:rsidRDefault="006759EA" w14:paraId="1F8E24D6" w14:textId="77777777">
            <w:r>
              <w:rPr>
                <w:color w:val="1A1A1A"/>
                <w:sz w:val="20"/>
                <w:szCs w:val="20"/>
              </w:rPr>
              <w:t>Full semantic context: joins, permissions, business vocabulary</w:t>
            </w:r>
          </w:p>
        </w:tc>
      </w:tr>
      <w:tr w:rsidR="00806940" w14:paraId="7F44BB80" w14:textId="77777777">
        <w:tblPrEx>
          <w:tblCellMar>
            <w:top w:w="0" w:type="dxa"/>
            <w:bottom w:w="0" w:type="dxa"/>
          </w:tblCellMar>
        </w:tblPrEx>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32606F8B" w14:textId="77777777">
            <w:r>
              <w:rPr>
                <w:color w:val="1A1A1A"/>
                <w:sz w:val="20"/>
                <w:szCs w:val="20"/>
              </w:rPr>
              <w:t>Data lineage</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38A3F7AC" w14:textId="77777777">
            <w:r>
              <w:rPr>
                <w:color w:val="1A1A1A"/>
                <w:sz w:val="20"/>
                <w:szCs w:val="20"/>
              </w:rPr>
              <w:t>Limited</w:t>
            </w:r>
          </w:p>
        </w:tc>
        <w:tc>
          <w:tcPr>
            <w:tcW w:w="3120" w:type="dxa"/>
            <w:tcBorders>
              <w:top w:val="single" w:color="DDDDDD" w:sz="1" w:space="0"/>
              <w:left w:val="single" w:color="DDDDDD" w:sz="1" w:space="0"/>
              <w:bottom w:val="single" w:color="DDDDDD" w:sz="1" w:space="0"/>
              <w:right w:val="single" w:color="DDDDDD" w:sz="1" w:space="0"/>
            </w:tcBorders>
            <w:shd w:val="clear" w:color="auto" w:fill="FFFFFF"/>
            <w:tcMar>
              <w:top w:w="80" w:type="dxa"/>
              <w:left w:w="120" w:type="dxa"/>
              <w:bottom w:w="80" w:type="dxa"/>
              <w:right w:w="120" w:type="dxa"/>
            </w:tcMar>
          </w:tcPr>
          <w:p w:rsidR="00806940" w:rsidRDefault="006759EA" w14:paraId="0561429A" w14:textId="77777777">
            <w:r>
              <w:rPr>
                <w:color w:val="1A1A1A"/>
                <w:sz w:val="20"/>
                <w:szCs w:val="20"/>
              </w:rPr>
              <w:t>Full: source to consumption</w:t>
            </w:r>
          </w:p>
        </w:tc>
      </w:tr>
    </w:tbl>
    <w:p w:rsidR="00806940" w:rsidRDefault="00806940" w14:paraId="0ADA0820" w14:textId="77777777">
      <w:pPr>
        <w:spacing w:after="80"/>
      </w:pPr>
    </w:p>
    <w:p w:rsidR="00806940" w:rsidRDefault="006759EA" w14:paraId="69767962" w14:textId="4F75F5E8">
      <w:pPr>
        <w:spacing w:after="160"/>
      </w:pPr>
      <w:r>
        <w:rPr>
          <w:color w:val="1A1A1A"/>
        </w:rPr>
        <w:t>An analogy that holds up after years of explaining this</w:t>
      </w:r>
      <w:r>
        <w:rPr>
          <w:color w:val="1A1A1A"/>
        </w:rPr>
        <w:t>: a metrics layer is the formulas in your spreadsheet. A semantic layer is the entire workbook: the formulas, the column headers, the named ranges, the sharing permissions, and the version history.</w:t>
      </w:r>
    </w:p>
    <w:p w:rsidR="00806940" w:rsidRDefault="006759EA" w14:paraId="011B8291" w14:textId="77777777">
      <w:pPr>
        <w:spacing w:after="160"/>
      </w:pPr>
      <w:r>
        <w:rPr>
          <w:color w:val="1A1A1A"/>
        </w:rPr>
        <w:t>Metrics layers and semantic layers are not competing architectures. A semantic layer can incorporate a metrics layer's definitions as one component of a broader semantic model. The risk is treating the metrics layer as the destination rather than a starting point.</w:t>
      </w:r>
    </w:p>
    <w:p w:rsidR="00806940" w:rsidRDefault="00806940" w14:paraId="176C9F9D" w14:textId="77777777">
      <w:pPr>
        <w:pBdr>
          <w:bottom w:val="single" w:color="DDDDDD" w:sz="2" w:space="1"/>
        </w:pBdr>
        <w:spacing w:before="200" w:after="200"/>
      </w:pPr>
    </w:p>
    <w:p w:rsidR="00806940" w:rsidRDefault="006759EA" w14:paraId="3D340096" w14:textId="77777777">
      <w:pPr>
        <w:pStyle w:val="Heading2"/>
      </w:pPr>
      <w:r>
        <w:lastRenderedPageBreak/>
        <w:t>Why This Gap Breaks AI Analytics</w:t>
      </w:r>
    </w:p>
    <w:p w:rsidR="00806940" w:rsidRDefault="006759EA" w14:paraId="0F074277" w14:textId="77777777">
      <w:pPr>
        <w:spacing w:after="160"/>
      </w:pPr>
      <w:r>
        <w:rPr>
          <w:color w:val="1A1A1A"/>
        </w:rPr>
        <w:t>AI agents query enterprise data literally. They follow whatever context they receive. Without a full semantic layer, an AI agent querying your data gets metric formulas but not the surrounding context that makes those formulas meaningful and safe.</w:t>
      </w:r>
    </w:p>
    <w:p w:rsidR="00806940" w:rsidRDefault="006759EA" w14:paraId="248D816F" w14:textId="505BE4ED">
      <w:pPr>
        <w:spacing w:after="160"/>
      </w:pPr>
      <w:r>
        <w:rPr>
          <w:color w:val="1A1A1A"/>
        </w:rPr>
        <w:t xml:space="preserve">Consider the difference between what an AI agent </w:t>
      </w:r>
      <w:r w:rsidR="002648B6">
        <w:rPr>
          <w:color w:val="1A1A1A"/>
        </w:rPr>
        <w:t>needs</w:t>
      </w:r>
      <w:r>
        <w:rPr>
          <w:color w:val="1A1A1A"/>
        </w:rPr>
        <w:t xml:space="preserve"> versus what a metrics layer provides.</w:t>
      </w:r>
    </w:p>
    <w:p w:rsidR="00806940" w:rsidRDefault="006759EA" w14:paraId="63AB4D9F" w14:textId="77777777">
      <w:pPr>
        <w:spacing w:before="120" w:after="80"/>
      </w:pPr>
      <w:r>
        <w:rPr>
          <w:color w:val="1A1A1A"/>
        </w:rPr>
        <w:t xml:space="preserve">A metrics layer tells the agent: </w:t>
      </w:r>
      <w:r>
        <w:rPr>
          <w:i/>
          <w:iCs/>
          <w:color w:val="1A1A1A"/>
        </w:rPr>
        <w:t>"Revenue = sum(</w:t>
      </w:r>
      <w:proofErr w:type="spellStart"/>
      <w:r>
        <w:rPr>
          <w:i/>
          <w:iCs/>
          <w:color w:val="1A1A1A"/>
        </w:rPr>
        <w:t>order_value</w:t>
      </w:r>
      <w:proofErr w:type="spellEnd"/>
      <w:r>
        <w:rPr>
          <w:i/>
          <w:iCs/>
          <w:color w:val="1A1A1A"/>
        </w:rPr>
        <w:t>) where status = 'complete.'"</w:t>
      </w:r>
    </w:p>
    <w:p w:rsidR="00806940" w:rsidRDefault="006759EA" w14:paraId="3DCDC5D9" w14:textId="77777777">
      <w:pPr>
        <w:spacing w:before="80" w:after="160"/>
      </w:pPr>
      <w:r>
        <w:rPr>
          <w:color w:val="1A1A1A"/>
        </w:rPr>
        <w:t xml:space="preserve">A semantic layer tells the agent: </w:t>
      </w:r>
      <w:r>
        <w:rPr>
          <w:i/>
          <w:iCs/>
          <w:color w:val="1A1A1A"/>
        </w:rPr>
        <w:t>"Revenue = sum(</w:t>
      </w:r>
      <w:proofErr w:type="spellStart"/>
      <w:r>
        <w:rPr>
          <w:i/>
          <w:iCs/>
          <w:color w:val="1A1A1A"/>
        </w:rPr>
        <w:t>order_value</w:t>
      </w:r>
      <w:proofErr w:type="spellEnd"/>
      <w:r>
        <w:rPr>
          <w:i/>
          <w:iCs/>
          <w:color w:val="1A1A1A"/>
        </w:rPr>
        <w:t xml:space="preserve">) where status = 'complete', restricted to this user's regional data per row-level access policy, called 'Net Revenue' in finance reporting (not 'Revenue'), and joined to the customer table via </w:t>
      </w:r>
      <w:proofErr w:type="spellStart"/>
      <w:r>
        <w:rPr>
          <w:i/>
          <w:iCs/>
          <w:color w:val="1A1A1A"/>
        </w:rPr>
        <w:t>customer_id</w:t>
      </w:r>
      <w:proofErr w:type="spellEnd"/>
      <w:r>
        <w:rPr>
          <w:i/>
          <w:iCs/>
          <w:color w:val="1A1A1A"/>
        </w:rPr>
        <w:t xml:space="preserve"> for any segment breakdown you are asked to produce."</w:t>
      </w:r>
    </w:p>
    <w:p w:rsidR="00806940" w:rsidRDefault="006759EA" w14:paraId="1A2BDDB1" w14:textId="74C847E5">
      <w:pPr>
        <w:spacing w:after="160"/>
      </w:pPr>
      <w:r>
        <w:rPr>
          <w:color w:val="1A1A1A"/>
        </w:rPr>
        <w:t>The first instruction produces an answer. The second produces a trustworthy answer: one that respects governance, uses business-standard terminology, and does not surface data the requesting user is not authorized to see.</w:t>
      </w:r>
      <w:r w:rsidRPr="00A40F88" w:rsidR="00A40F88">
        <w:t xml:space="preserve"> </w:t>
      </w:r>
      <w:r w:rsidR="00A40F88">
        <w:t>If you hand an LLM a metrics layer without an underlying semantic layer, you've given it a dictionary but no grammar. It will still confidently hallucinate the join paths.</w:t>
      </w:r>
    </w:p>
    <w:p w:rsidR="00806940" w:rsidRDefault="006759EA" w14:paraId="1FE48A32" w14:textId="77777777">
      <w:pPr>
        <w:spacing w:after="160"/>
      </w:pPr>
      <w:r>
        <w:rPr>
          <w:color w:val="1A1A1A"/>
        </w:rPr>
        <w:t xml:space="preserve">There is also an architectural issue that goes deeper than context. LLMs are probabilistic. The same question, asked twice, can generate a different SQL query each time. In a single-model environment that inconsistency is tolerable. In agentic pipelines running multiple models simultaneously, it </w:t>
      </w:r>
      <w:proofErr w:type="gramStart"/>
      <w:r>
        <w:rPr>
          <w:color w:val="1A1A1A"/>
        </w:rPr>
        <w:t>compounds:</w:t>
      </w:r>
      <w:proofErr w:type="gramEnd"/>
      <w:r>
        <w:rPr>
          <w:color w:val="1A1A1A"/>
        </w:rPr>
        <w:t xml:space="preserve"> same underlying data, different answers, no clear explanation why.</w:t>
      </w:r>
    </w:p>
    <w:p w:rsidR="00806940" w:rsidRDefault="006759EA" w14:paraId="1D96712A" w14:textId="3187B768">
      <w:pPr>
        <w:spacing w:after="160"/>
      </w:pPr>
      <w:r>
        <w:rPr>
          <w:color w:val="1A1A1A"/>
        </w:rPr>
        <w:t>Strategy Mosaic resolves this at the architecture level. The LLM handles natural language. Mosaic generates the SQL. Because Mosaic's SQL engine is deterministic, the same question produces the same query every time, for every user, regardless of which model is asking. Strategy Software's benchmark testing puts Mosaic at 100% query accuracy against enterprise data, compared to 88.2% for direct LLM-to-database queries. The wrong answers in the direct-query group were not rounding errors. They ran 5 to 10 tim</w:t>
      </w:r>
      <w:r>
        <w:rPr>
          <w:color w:val="1A1A1A"/>
        </w:rPr>
        <w:t>es inflated</w:t>
      </w:r>
      <w:r w:rsidR="002648B6">
        <w:rPr>
          <w:color w:val="1A1A1A"/>
        </w:rPr>
        <w:t>, t</w:t>
      </w:r>
      <w:r>
        <w:rPr>
          <w:color w:val="1A1A1A"/>
        </w:rPr>
        <w:t>he kind of number that gets acted on before anyone catches it.</w:t>
      </w:r>
    </w:p>
    <w:p w:rsidR="00806940" w:rsidRDefault="00806940" w14:paraId="2F80194C" w14:textId="77777777">
      <w:pPr>
        <w:pBdr>
          <w:bottom w:val="single" w:color="DDDDDD" w:sz="2" w:space="1"/>
        </w:pBdr>
        <w:spacing w:before="200" w:after="200"/>
      </w:pPr>
    </w:p>
    <w:p w:rsidR="00806940" w:rsidRDefault="006759EA" w14:paraId="6057458F" w14:textId="77777777">
      <w:pPr>
        <w:pStyle w:val="Heading2"/>
      </w:pPr>
      <w:r>
        <w:t>How Strategy Mosaic Delivers a Full Semantic Layer</w:t>
      </w:r>
    </w:p>
    <w:p w:rsidR="00806940" w:rsidRDefault="006759EA" w14:paraId="0F146DB2" w14:textId="77777777">
      <w:pPr>
        <w:spacing w:after="160"/>
      </w:pPr>
      <w:r>
        <w:rPr>
          <w:color w:val="1A1A1A"/>
        </w:rPr>
        <w:t>Strategy Software's Strategy Mosaic is a universal semantic layer that connects to 200+ data sources and serves every BI tool, AI agent, and application from a single governed definition layer.</w:t>
      </w:r>
    </w:p>
    <w:p w:rsidR="00806940" w:rsidRDefault="006759EA" w14:paraId="1DC10AFA" w14:textId="77777777">
      <w:pPr>
        <w:spacing w:after="160"/>
      </w:pPr>
      <w:r>
        <w:rPr>
          <w:color w:val="1A1A1A"/>
        </w:rPr>
        <w:t>Three capabilities separate a full semantic layer from a metrics layer in enterprise environments:</w:t>
      </w:r>
    </w:p>
    <w:p w:rsidR="00806940" w:rsidRDefault="006759EA" w14:paraId="11CECCF9" w14:textId="77777777">
      <w:pPr>
        <w:spacing w:after="160"/>
      </w:pPr>
      <w:r>
        <w:rPr>
          <w:b/>
          <w:bCs/>
          <w:color w:val="1A1A1A"/>
        </w:rPr>
        <w:t xml:space="preserve">Centralized, portable governance.  </w:t>
      </w:r>
      <w:r>
        <w:rPr>
          <w:color w:val="1A1A1A"/>
        </w:rPr>
        <w:t>Row-level and column-level security is defined once in Strategy Mosaic and enforced automatically across every connected application without per-tool configuration. When a new BI tool or AI framework is added to the stack, it inherits the existing governance model automatically.</w:t>
      </w:r>
    </w:p>
    <w:p w:rsidR="00806940" w:rsidRDefault="006759EA" w14:paraId="459A301E" w14:textId="77777777">
      <w:pPr>
        <w:spacing w:after="160"/>
      </w:pPr>
      <w:r>
        <w:rPr>
          <w:b/>
          <w:bCs/>
          <w:color w:val="1A1A1A"/>
        </w:rPr>
        <w:t xml:space="preserve">Deterministic AI queries.  </w:t>
      </w:r>
      <w:r>
        <w:rPr>
          <w:color w:val="1A1A1A"/>
        </w:rPr>
        <w:t>Strategy Mosaic takes SQL generation away from the LLM. The LLM handles natural language; Mosaic generates the query. Because Mosaic's SQL engine is deterministic, the same question produces the same answer every time, for every user, regardless of which model is asking. Every query runs through the same governed definitions, access controls, and business vocabulary that govern human-facing dashboards.</w:t>
      </w:r>
    </w:p>
    <w:p w:rsidR="00806940" w:rsidRDefault="006759EA" w14:paraId="4734C990" w14:textId="77777777">
      <w:pPr>
        <w:spacing w:after="160"/>
      </w:pPr>
      <w:r>
        <w:rPr>
          <w:b/>
          <w:bCs/>
          <w:color w:val="1A1A1A"/>
        </w:rPr>
        <w:lastRenderedPageBreak/>
        <w:t xml:space="preserve">Cross-platform portability.  </w:t>
      </w:r>
      <w:r>
        <w:rPr>
          <w:color w:val="1A1A1A"/>
        </w:rPr>
        <w:t xml:space="preserve">Strategy Mosaic's "define once, apply everywhere" architecture means a metric or business definition added to Mosaic is available to Power BI, Tableau, Excel, and AI agents without rebuilding that definition in each system. This is what vendor-agnosticism </w:t>
      </w:r>
      <w:proofErr w:type="gramStart"/>
      <w:r>
        <w:rPr>
          <w:color w:val="1A1A1A"/>
        </w:rPr>
        <w:t>actually means</w:t>
      </w:r>
      <w:proofErr w:type="gramEnd"/>
      <w:r>
        <w:rPr>
          <w:color w:val="1A1A1A"/>
        </w:rPr>
        <w:t xml:space="preserve"> in practice: the semantic layer moves independently of the data platform beneath it.</w:t>
      </w:r>
    </w:p>
    <w:p w:rsidR="00806940" w:rsidRDefault="006759EA" w14:paraId="4F256AE9" w14:textId="77777777">
      <w:pPr>
        <w:spacing w:after="160"/>
      </w:pPr>
      <w:r>
        <w:rPr>
          <w:color w:val="1A1A1A"/>
        </w:rPr>
        <w:t>For organizations that have already invested in a platform-native metrics layer, including Databricks Metric Views, that investment does not need to be discarded. Strategy Mosaic can sit above an existing metrics layer to add cross-platform governance, full table relationship mapping, and AI grounding. The metrics layer handles calculation definitions; the semantic layer handles the broader governed context those calculations operate within.</w:t>
      </w:r>
    </w:p>
    <w:p w:rsidR="00806940" w:rsidRDefault="00806940" w14:paraId="69833F10" w14:textId="77777777">
      <w:pPr>
        <w:pBdr>
          <w:bottom w:val="single" w:color="DDDDDD" w:sz="2" w:space="1"/>
        </w:pBdr>
        <w:spacing w:before="200" w:after="200"/>
      </w:pPr>
    </w:p>
    <w:p w:rsidR="00806940" w:rsidRDefault="006759EA" w14:paraId="6B174185" w14:textId="77777777">
      <w:pPr>
        <w:pStyle w:val="Heading2"/>
      </w:pPr>
      <w:r>
        <w:t>Frequently Asked Questions</w:t>
      </w:r>
    </w:p>
    <w:p w:rsidR="00806940" w:rsidRDefault="006759EA" w14:paraId="76397D0E" w14:textId="77777777">
      <w:pPr>
        <w:spacing w:before="200" w:after="60"/>
      </w:pPr>
      <w:r>
        <w:rPr>
          <w:b/>
          <w:bCs/>
          <w:color w:val="1A1A1A"/>
        </w:rPr>
        <w:t>Q: What is the difference between a metrics layer and a semantic layer?</w:t>
      </w:r>
    </w:p>
    <w:p w:rsidR="00806940" w:rsidRDefault="006759EA" w14:paraId="167F77F3" w14:textId="77777777">
      <w:pPr>
        <w:spacing w:after="160"/>
      </w:pPr>
      <w:r>
        <w:rPr>
          <w:color w:val="1A1A1A"/>
        </w:rPr>
        <w:t>Strategy Software defines the distinction by scope. A metrics layer centralizes how specific KPIs are calculated: the formulas and business logic behind your key measures. A semantic layer governs everything above the raw data, including metric definitions, table relationships, business terminology, access controls, data lineage, and the full context AI systems need to query accurately. A metrics layer is a component a semantic layer can incorporate; it is not a substitute for one.</w:t>
      </w:r>
    </w:p>
    <w:p w:rsidR="00806940" w:rsidRDefault="006759EA" w14:paraId="3329747A" w14:textId="77777777">
      <w:pPr>
        <w:spacing w:before="200" w:after="60"/>
      </w:pPr>
      <w:r>
        <w:rPr>
          <w:b/>
          <w:bCs/>
          <w:color w:val="1A1A1A"/>
        </w:rPr>
        <w:t>Q: Is Databricks Metric Views a semantic layer?</w:t>
      </w:r>
    </w:p>
    <w:p w:rsidR="00806940" w:rsidRDefault="006759EA" w14:paraId="586645EF" w14:textId="77777777">
      <w:pPr>
        <w:spacing w:after="160"/>
      </w:pPr>
      <w:r>
        <w:rPr>
          <w:color w:val="1A1A1A"/>
        </w:rPr>
        <w:t xml:space="preserve">Databricks Metric Views are a metrics layer, not a full semantic layer. They centralize dimension and measure definitions in Unity Catalog within the Databricks ecosystem. The scope does not extend to Snowflake, </w:t>
      </w:r>
      <w:proofErr w:type="spellStart"/>
      <w:r>
        <w:rPr>
          <w:color w:val="1A1A1A"/>
        </w:rPr>
        <w:t>BigQuery</w:t>
      </w:r>
      <w:proofErr w:type="spellEnd"/>
      <w:r>
        <w:rPr>
          <w:color w:val="1A1A1A"/>
        </w:rPr>
        <w:t xml:space="preserve">, or BI tools outside the </w:t>
      </w:r>
      <w:proofErr w:type="spellStart"/>
      <w:r>
        <w:rPr>
          <w:color w:val="1A1A1A"/>
        </w:rPr>
        <w:t>lakehouse</w:t>
      </w:r>
      <w:proofErr w:type="spellEnd"/>
      <w:r>
        <w:rPr>
          <w:color w:val="1A1A1A"/>
        </w:rPr>
        <w:t>. Strategy Software's Strategy Mosaic is a vendor-agnostic semantic layer that enforces consistent governed definitions across all connected platforms and tools, regardless of the underlying data infrastructure.</w:t>
      </w:r>
    </w:p>
    <w:p w:rsidR="00806940" w:rsidRDefault="006759EA" w14:paraId="6695C4F4" w14:textId="77777777">
      <w:pPr>
        <w:spacing w:before="200" w:after="60"/>
      </w:pPr>
      <w:r>
        <w:rPr>
          <w:b/>
          <w:bCs/>
          <w:color w:val="1A1A1A"/>
        </w:rPr>
        <w:t>Q: Why does a semantic layer matter for AI analytics?</w:t>
      </w:r>
    </w:p>
    <w:p w:rsidR="00806940" w:rsidRDefault="006759EA" w14:paraId="1AB1AA65" w14:textId="77777777">
      <w:pPr>
        <w:spacing w:after="160"/>
      </w:pPr>
      <w:r>
        <w:rPr>
          <w:color w:val="1A1A1A"/>
        </w:rPr>
        <w:t>AI agents follow the context they are given. Without a semantic layer, an AI agent querying enterprise data receives metric formulas but no business vocabulary, table relationships, or access controls. Strategy Software's Strategy Mosaic generates SQL deterministically from governed business definitions — the LLM handles natural language, Mosaic handles the query — delivering 100% query accuracy versus 88.2% for direct LLM-to-database approaches.</w:t>
      </w:r>
    </w:p>
    <w:p w:rsidR="00806940" w:rsidRDefault="006759EA" w14:paraId="2CE2B1CB" w14:textId="77777777">
      <w:pPr>
        <w:spacing w:before="200" w:after="60"/>
      </w:pPr>
      <w:r>
        <w:rPr>
          <w:b/>
          <w:bCs/>
          <w:color w:val="1A1A1A"/>
        </w:rPr>
        <w:t>Q: Can a metrics layer and a semantic layer work together?</w:t>
      </w:r>
    </w:p>
    <w:p w:rsidR="00806940" w:rsidRDefault="006759EA" w14:paraId="0FCB8F11" w14:textId="77777777">
      <w:pPr>
        <w:spacing w:after="160"/>
      </w:pPr>
      <w:r>
        <w:rPr>
          <w:color w:val="1A1A1A"/>
        </w:rPr>
        <w:t>Yes. A metrics layer can serve as the calculation foundation within a broader semantic layer model. For organizations that have invested in a platform-native metrics layer, Strategy Software's Strategy Mosaic can sit above it to add cross-platform governance, full table relationship mapping, AI grounding, and centralized access controls. The metrics layer defines calculations; the semantic layer governs the full context those calculations operate within.</w:t>
      </w:r>
    </w:p>
    <w:p w:rsidR="00806940" w:rsidRDefault="006759EA" w14:paraId="0F3C3C3F" w14:textId="77777777">
      <w:pPr>
        <w:spacing w:before="200" w:after="60"/>
      </w:pPr>
      <w:r>
        <w:rPr>
          <w:b/>
          <w:bCs/>
          <w:color w:val="1A1A1A"/>
        </w:rPr>
        <w:t>Q: What makes a semantic layer vendor-agnostic?</w:t>
      </w:r>
    </w:p>
    <w:p w:rsidR="00806940" w:rsidRDefault="006759EA" w14:paraId="14DFF1CA" w14:textId="77777777">
      <w:pPr>
        <w:spacing w:after="160"/>
      </w:pPr>
      <w:r>
        <w:rPr>
          <w:color w:val="1A1A1A"/>
        </w:rPr>
        <w:t xml:space="preserve">A vendor-agnostic semantic layer, like Strategy Software's Strategy Mosaic, operates independently of any single data platform. Business logic and governance policies are defined in the semantic layer and enforced across every connected tool — Power BI, Tableau, Snowflake, Databricks, and AI agents — without being locked to one vendor's ecosystem. </w:t>
      </w:r>
      <w:r>
        <w:rPr>
          <w:color w:val="1A1A1A"/>
        </w:rPr>
        <w:lastRenderedPageBreak/>
        <w:t>Platform-native metrics layers, by contrast, enforce definitions only within their own platform and require separate configuration elsewhere.</w:t>
      </w:r>
    </w:p>
    <w:p w:rsidR="00806940" w:rsidRDefault="00806940" w14:paraId="6E4B8EFF" w14:textId="77777777">
      <w:pPr>
        <w:pBdr>
          <w:bottom w:val="single" w:color="DDDDDD" w:sz="2" w:space="1"/>
        </w:pBdr>
        <w:spacing w:before="200" w:after="200"/>
      </w:pPr>
    </w:p>
    <w:p w:rsidR="00806940" w:rsidRDefault="006759EA" w14:paraId="63B9CAD0" w14:textId="77777777">
      <w:pPr>
        <w:pStyle w:val="Heading2"/>
      </w:pPr>
      <w:r>
        <w:t>The Takeaway</w:t>
      </w:r>
    </w:p>
    <w:p w:rsidR="00806940" w:rsidRDefault="006759EA" w14:paraId="69A68944" w14:textId="77777777">
      <w:pPr>
        <w:spacing w:after="160"/>
      </w:pPr>
      <w:r>
        <w:rPr>
          <w:color w:val="1A1A1A"/>
        </w:rPr>
        <w:t>The metrics layer solved a real, expensive problem. Scattered KPI definitions, metric drift, and quarterly arguments about which dashboard to trust: centralizing metric logic cuts all of these.</w:t>
      </w:r>
    </w:p>
    <w:p w:rsidR="00806940" w:rsidRDefault="006759EA" w14:paraId="34ECF1A3" w14:textId="77777777">
      <w:pPr>
        <w:spacing w:after="160"/>
      </w:pPr>
      <w:r>
        <w:rPr>
          <w:color w:val="1A1A1A"/>
        </w:rPr>
        <w:t>The semantic layer extends that logic to everything data means in your organization: what it is called, who can see it, how it joins, where it came from, and whether AI agents can query it safely. As AI becomes a standard enterprise analytics tool, the gap between "we have centralized metrics" and "we have a governed semantic layer" will show up in the reliability of every AI-generated answer your organization acts on.</w:t>
      </w:r>
    </w:p>
    <w:p w:rsidR="00806940" w:rsidRDefault="006759EA" w14:paraId="00FEBE54" w14:textId="77777777">
      <w:pPr>
        <w:spacing w:after="160"/>
      </w:pPr>
      <w:r>
        <w:rPr>
          <w:color w:val="1A1A1A"/>
        </w:rPr>
        <w:t>Strategy Mosaic is built to close that gap. See how it works with your existing data stack.</w:t>
      </w:r>
    </w:p>
    <w:p w:rsidR="00806940" w:rsidRDefault="00806940" w14:paraId="47D85443" w14:textId="77777777">
      <w:pPr>
        <w:spacing w:after="80"/>
      </w:pPr>
    </w:p>
    <w:p w:rsidR="00806940" w:rsidRDefault="006759EA" w14:paraId="51256D93" w14:textId="77777777">
      <w:pPr>
        <w:spacing w:before="160" w:after="160"/>
      </w:pPr>
      <w:r>
        <w:rPr>
          <w:b/>
          <w:bCs/>
          <w:color w:val="FA660F"/>
        </w:rPr>
        <w:t>Request a Strategy Mosaic demo   →   strategy.com/software/</w:t>
      </w:r>
      <w:proofErr w:type="spellStart"/>
      <w:r>
        <w:rPr>
          <w:b/>
          <w:bCs/>
          <w:color w:val="FA660F"/>
        </w:rPr>
        <w:t>strategymosaic</w:t>
      </w:r>
      <w:proofErr w:type="spellEnd"/>
    </w:p>
    <w:sectPr w:rsidR="00806940">
      <w:headerReference w:type="default" r:id="rId7"/>
      <w:footerReference w:type="default" r:id="rId8"/>
      <w:pgSz w:w="12240" w:h="15840" w:orient="portrait"/>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6759EA" w:rsidRDefault="006759EA" w14:paraId="63E36D9A" w14:textId="77777777">
      <w:r>
        <w:separator/>
      </w:r>
    </w:p>
  </w:endnote>
  <w:endnote w:type="continuationSeparator" w:id="0">
    <w:p w:rsidR="006759EA" w:rsidRDefault="006759EA" w14:paraId="74E85942"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6940" w:rsidRDefault="006759EA" w14:paraId="099C4021" w14:textId="77777777">
    <w:pPr>
      <w:pBdr>
        <w:top w:val="single" w:color="DDDDDD" w:sz="2" w:space="4"/>
      </w:pBdr>
      <w:tabs>
        <w:tab w:val="right" w:pos="9360"/>
      </w:tabs>
    </w:pPr>
    <w:r>
      <w:rPr>
        <w:color w:val="666666"/>
        <w:sz w:val="18"/>
        <w:szCs w:val="18"/>
      </w:rPr>
      <w:t>strategy.com/</w:t>
    </w:r>
    <w:proofErr w:type="gramStart"/>
    <w:r>
      <w:rPr>
        <w:color w:val="666666"/>
        <w:sz w:val="18"/>
        <w:szCs w:val="18"/>
      </w:rPr>
      <w:t xml:space="preserve">software  </w:t>
    </w:r>
    <w:r>
      <w:rPr>
        <w:sz w:val="18"/>
        <w:szCs w:val="18"/>
      </w:rPr>
      <w:tab/>
    </w:r>
    <w:proofErr w:type="gramEnd"/>
    <w:r>
      <w:rPr>
        <w:color w:val="666666"/>
        <w:sz w:val="18"/>
        <w:szCs w:val="18"/>
      </w:rPr>
      <w:fldChar w:fldCharType="begin"/>
    </w:r>
    <w:r>
      <w:rPr>
        <w:color w:val="666666"/>
        <w:sz w:val="18"/>
        <w:szCs w:val="18"/>
      </w:rPr>
      <w:instrText>PAGE</w:instrText>
    </w:r>
    <w:r>
      <w:rPr>
        <w:color w:val="666666"/>
        <w:sz w:val="18"/>
        <w:szCs w:val="18"/>
      </w:rPr>
      <w:fldChar w:fldCharType="separate"/>
    </w:r>
    <w:r w:rsidR="002648B6">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6759EA" w:rsidRDefault="006759EA" w14:paraId="30D3F9B6" w14:textId="77777777">
      <w:r>
        <w:separator/>
      </w:r>
    </w:p>
  </w:footnote>
  <w:footnote w:type="continuationSeparator" w:id="0">
    <w:p w:rsidR="006759EA" w:rsidRDefault="006759EA" w14:paraId="09B38BE7"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06940" w:rsidRDefault="006759EA" w14:paraId="14143821" w14:textId="65E5F6C7">
    <w:pPr>
      <w:pBdr>
        <w:bottom w:val="single" w:color="FA660F" w:sz="4" w:space="8"/>
      </w:pBdr>
      <w:rPr>
        <w:color w:val="666666"/>
        <w:sz w:val="18"/>
        <w:szCs w:val="18"/>
      </w:rPr>
    </w:pPr>
    <w:r>
      <w:rPr>
        <w:b/>
        <w:bCs/>
        <w:color w:val="FA660F"/>
        <w:sz w:val="18"/>
        <w:szCs w:val="18"/>
      </w:rPr>
      <w:t xml:space="preserve">Strategy Software  </w:t>
    </w:r>
  </w:p>
  <w:p w:rsidR="002648B6" w:rsidRDefault="002648B6" w14:paraId="24DB82C5" w14:textId="77777777">
    <w:pPr>
      <w:pBdr>
        <w:bottom w:val="single" w:color="FA660F" w:sz="4" w:space="8"/>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C24258"/>
    <w:multiLevelType w:val="hybridMultilevel"/>
    <w:tmpl w:val="CAC445A0"/>
    <w:lvl w:ilvl="0" w:tplc="6F9E93CC">
      <w:start w:val="1"/>
      <w:numFmt w:val="bullet"/>
      <w:lvlText w:val="•"/>
      <w:lvlJc w:val="left"/>
      <w:pPr>
        <w:ind w:left="720" w:hanging="360"/>
      </w:pPr>
    </w:lvl>
    <w:lvl w:ilvl="1" w:tplc="76784362">
      <w:numFmt w:val="decimal"/>
      <w:lvlText w:val=""/>
      <w:lvlJc w:val="left"/>
    </w:lvl>
    <w:lvl w:ilvl="2" w:tplc="77E89CA2">
      <w:numFmt w:val="decimal"/>
      <w:lvlText w:val=""/>
      <w:lvlJc w:val="left"/>
    </w:lvl>
    <w:lvl w:ilvl="3" w:tplc="A198D224">
      <w:numFmt w:val="decimal"/>
      <w:lvlText w:val=""/>
      <w:lvlJc w:val="left"/>
    </w:lvl>
    <w:lvl w:ilvl="4" w:tplc="53D80538">
      <w:numFmt w:val="decimal"/>
      <w:lvlText w:val=""/>
      <w:lvlJc w:val="left"/>
    </w:lvl>
    <w:lvl w:ilvl="5" w:tplc="9A0AFCA4">
      <w:numFmt w:val="decimal"/>
      <w:lvlText w:val=""/>
      <w:lvlJc w:val="left"/>
    </w:lvl>
    <w:lvl w:ilvl="6" w:tplc="A1C21BD2">
      <w:numFmt w:val="decimal"/>
      <w:lvlText w:val=""/>
      <w:lvlJc w:val="left"/>
    </w:lvl>
    <w:lvl w:ilvl="7" w:tplc="9E6C46A6">
      <w:numFmt w:val="decimal"/>
      <w:lvlText w:val=""/>
      <w:lvlJc w:val="left"/>
    </w:lvl>
    <w:lvl w:ilvl="8" w:tplc="CDB6703E">
      <w:numFmt w:val="decimal"/>
      <w:lvlText w:val=""/>
      <w:lvlJc w:val="left"/>
    </w:lvl>
  </w:abstractNum>
  <w:abstractNum w:abstractNumId="1" w15:restartNumberingAfterBreak="0">
    <w:nsid w:val="613E5B9B"/>
    <w:multiLevelType w:val="hybridMultilevel"/>
    <w:tmpl w:val="12AEF354"/>
    <w:lvl w:ilvl="0" w:tplc="88383152">
      <w:start w:val="1"/>
      <w:numFmt w:val="bullet"/>
      <w:lvlText w:val="●"/>
      <w:lvlJc w:val="left"/>
      <w:pPr>
        <w:ind w:left="720" w:hanging="360"/>
      </w:pPr>
    </w:lvl>
    <w:lvl w:ilvl="1" w:tplc="6FA81E60">
      <w:start w:val="1"/>
      <w:numFmt w:val="bullet"/>
      <w:lvlText w:val="○"/>
      <w:lvlJc w:val="left"/>
      <w:pPr>
        <w:ind w:left="1440" w:hanging="360"/>
      </w:pPr>
    </w:lvl>
    <w:lvl w:ilvl="2" w:tplc="B5B80A82">
      <w:start w:val="1"/>
      <w:numFmt w:val="bullet"/>
      <w:lvlText w:val="■"/>
      <w:lvlJc w:val="left"/>
      <w:pPr>
        <w:ind w:left="2160" w:hanging="360"/>
      </w:pPr>
    </w:lvl>
    <w:lvl w:ilvl="3" w:tplc="7D42B80E">
      <w:start w:val="1"/>
      <w:numFmt w:val="bullet"/>
      <w:lvlText w:val="●"/>
      <w:lvlJc w:val="left"/>
      <w:pPr>
        <w:ind w:left="2880" w:hanging="360"/>
      </w:pPr>
    </w:lvl>
    <w:lvl w:ilvl="4" w:tplc="A42A8E58">
      <w:start w:val="1"/>
      <w:numFmt w:val="bullet"/>
      <w:lvlText w:val="○"/>
      <w:lvlJc w:val="left"/>
      <w:pPr>
        <w:ind w:left="3600" w:hanging="360"/>
      </w:pPr>
    </w:lvl>
    <w:lvl w:ilvl="5" w:tplc="709C7E9A">
      <w:start w:val="1"/>
      <w:numFmt w:val="bullet"/>
      <w:lvlText w:val="■"/>
      <w:lvlJc w:val="left"/>
      <w:pPr>
        <w:ind w:left="4320" w:hanging="360"/>
      </w:pPr>
    </w:lvl>
    <w:lvl w:ilvl="6" w:tplc="4E2C4AA8">
      <w:start w:val="1"/>
      <w:numFmt w:val="bullet"/>
      <w:lvlText w:val="●"/>
      <w:lvlJc w:val="left"/>
      <w:pPr>
        <w:ind w:left="5040" w:hanging="360"/>
      </w:pPr>
    </w:lvl>
    <w:lvl w:ilvl="7" w:tplc="6BE8FFDE">
      <w:start w:val="1"/>
      <w:numFmt w:val="bullet"/>
      <w:lvlText w:val="●"/>
      <w:lvlJc w:val="left"/>
      <w:pPr>
        <w:ind w:left="5760" w:hanging="360"/>
      </w:pPr>
    </w:lvl>
    <w:lvl w:ilvl="8" w:tplc="7E340F1E">
      <w:start w:val="1"/>
      <w:numFmt w:val="bullet"/>
      <w:lvlText w:val="●"/>
      <w:lvlJc w:val="left"/>
      <w:pPr>
        <w:ind w:left="6480" w:hanging="360"/>
      </w:pPr>
    </w:lvl>
  </w:abstractNum>
  <w:num w:numId="1" w16cid:durableId="1620648088">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1"/>
  <w:displayBackgroundShape/>
  <w:proofState w:spelling="clean" w:grammar="dirty"/>
  <w:trackRevisions w:val="fals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06940"/>
    <w:rsid w:val="002648B6"/>
    <w:rsid w:val="006759EA"/>
    <w:rsid w:val="00806940"/>
    <w:rsid w:val="00A40F88"/>
    <w:rsid w:val="00D85F48"/>
    <w:rsid w:val="69733AA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C4CE2C3"/>
  <w15:docId w15:val="{1324BAA6-2451-E040-BCB7-9F392496E2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after="200"/>
      <w:outlineLvl w:val="0"/>
    </w:pPr>
    <w:rPr>
      <w:b/>
      <w:bCs/>
      <w:color w:val="1A1A1A"/>
      <w:sz w:val="36"/>
      <w:szCs w:val="36"/>
    </w:rPr>
  </w:style>
  <w:style w:type="paragraph" w:styleId="Heading2">
    <w:name w:val="heading 2"/>
    <w:uiPriority w:val="9"/>
    <w:unhideWhenUsed/>
    <w:qFormat/>
    <w:pPr>
      <w:spacing w:before="360" w:after="120"/>
      <w:outlineLvl w:val="1"/>
    </w:pPr>
    <w:rPr>
      <w:b/>
      <w:bCs/>
      <w:color w:val="1A1A1A"/>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648B6"/>
    <w:pPr>
      <w:tabs>
        <w:tab w:val="center" w:pos="4680"/>
        <w:tab w:val="right" w:pos="9360"/>
      </w:tabs>
    </w:pPr>
  </w:style>
  <w:style w:type="character" w:styleId="HeaderChar" w:customStyle="1">
    <w:name w:val="Header Char"/>
    <w:basedOn w:val="DefaultParagraphFont"/>
    <w:link w:val="Header"/>
    <w:uiPriority w:val="99"/>
    <w:rsid w:val="002648B6"/>
  </w:style>
  <w:style w:type="paragraph" w:styleId="Footer">
    <w:name w:val="footer"/>
    <w:basedOn w:val="Normal"/>
    <w:link w:val="FooterChar"/>
    <w:uiPriority w:val="99"/>
    <w:unhideWhenUsed/>
    <w:rsid w:val="002648B6"/>
    <w:pPr>
      <w:tabs>
        <w:tab w:val="center" w:pos="4680"/>
        <w:tab w:val="right" w:pos="9360"/>
      </w:tabs>
    </w:pPr>
  </w:style>
  <w:style w:type="character" w:styleId="FooterChar" w:customStyle="1">
    <w:name w:val="Footer Char"/>
    <w:basedOn w:val="DefaultParagraphFont"/>
    <w:link w:val="Footer"/>
    <w:uiPriority w:val="99"/>
    <w:rsid w:val="002648B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Burger O'Connor, Lauren</lastModifiedBy>
  <revision>3</revision>
  <dcterms:created xsi:type="dcterms:W3CDTF">2026-06-12T17:57:00.0000000Z</dcterms:created>
  <dcterms:modified xsi:type="dcterms:W3CDTF">2026-06-15T13:07:36.9287371Z</dcterms:modified>
</coreProperties>
</file>