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20F4F7E2" w:rsidR="00256841" w:rsidRDefault="62C8E495" w:rsidP="0DAD20F5">
      <w:pPr>
        <w:pStyle w:val="Heading1"/>
      </w:pPr>
      <w:r w:rsidRPr="0555A8FC">
        <w:t>How TD Bank Is Building Trusted Enterprise AI with Strategy Mosaic's Universal Semantic Layer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0DAD20F5" w14:paraId="2D44AA7B" w14:textId="77777777" w:rsidTr="0555A8FC">
        <w:trPr>
          <w:trHeight w:val="300"/>
        </w:trPr>
        <w:tc>
          <w:tcPr>
            <w:tcW w:w="9465" w:type="dxa"/>
            <w:tcBorders>
              <w:top w:val="single" w:sz="6" w:space="0" w:color="000000" w:themeColor="text1"/>
              <w:left w:val="single" w:sz="6" w:space="0" w:color="000000" w:themeColor="text1"/>
              <w:bottom w:val="nil"/>
              <w:right w:val="single" w:sz="6" w:space="0" w:color="000000" w:themeColor="text1"/>
            </w:tcBorders>
            <w:shd w:val="clear" w:color="auto" w:fill="DAE8F8"/>
            <w:tcMar>
              <w:left w:w="105" w:type="dxa"/>
              <w:right w:w="105" w:type="dxa"/>
            </w:tcMar>
            <w:vAlign w:val="center"/>
          </w:tcPr>
          <w:p w14:paraId="4880C8D6" w14:textId="41D99023" w:rsidR="0DAD20F5" w:rsidRDefault="0DAD20F5" w:rsidP="0DAD20F5">
            <w:pPr>
              <w:rPr>
                <w:rFonts w:ascii="Aptos Display" w:eastAsia="Aptos Display" w:hAnsi="Aptos Display" w:cs="Aptos Display"/>
                <w:color w:val="000000" w:themeColor="text1"/>
                <w:sz w:val="22"/>
                <w:szCs w:val="22"/>
              </w:rPr>
            </w:pPr>
            <w:r w:rsidRPr="0DAD20F5">
              <w:rPr>
                <w:rFonts w:ascii="Aptos Display" w:eastAsia="Aptos Display" w:hAnsi="Aptos Display" w:cs="Aptos Display"/>
                <w:b/>
                <w:bCs/>
                <w:color w:val="000000" w:themeColor="text1"/>
                <w:sz w:val="22"/>
                <w:szCs w:val="22"/>
              </w:rPr>
              <w:t xml:space="preserve">Short Answer </w:t>
            </w:r>
          </w:p>
        </w:tc>
      </w:tr>
      <w:tr w:rsidR="0DAD20F5" w14:paraId="6708EA85" w14:textId="77777777" w:rsidTr="0555A8FC">
        <w:trPr>
          <w:trHeight w:val="1440"/>
        </w:trPr>
        <w:tc>
          <w:tcPr>
            <w:tcW w:w="9465" w:type="dxa"/>
            <w:tcBorders>
              <w:top w:val="nil"/>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6D311D87" w14:textId="564B95E8" w:rsidR="308D3F3B" w:rsidRDefault="470E3D49" w:rsidP="0DAD20F5">
            <w:pPr>
              <w:pStyle w:val="ListParagraph"/>
              <w:numPr>
                <w:ilvl w:val="0"/>
                <w:numId w:val="10"/>
              </w:numPr>
            </w:pPr>
            <w:r w:rsidRPr="0555A8FC">
              <w:rPr>
                <w:rFonts w:ascii="Aptos Display" w:eastAsia="Aptos Display" w:hAnsi="Aptos Display" w:cs="Aptos Display"/>
                <w:color w:val="000000" w:themeColor="text1"/>
                <w:sz w:val="18"/>
                <w:szCs w:val="18"/>
              </w:rPr>
              <w:t>TD Bank, one of the six largest banks in North America, is building its enterprise AI foundation on Strategy Mosaic's Universal Semantic Layer, deployed on Google Cloud.</w:t>
            </w:r>
          </w:p>
          <w:p w14:paraId="3F01C799" w14:textId="157E8AB5" w:rsidR="308D3F3B" w:rsidRDefault="7920E22B" w:rsidP="0555A8FC">
            <w:pPr>
              <w:pStyle w:val="ListParagraph"/>
              <w:numPr>
                <w:ilvl w:val="0"/>
                <w:numId w:val="10"/>
              </w:numPr>
            </w:pPr>
            <w:r w:rsidRPr="0555A8FC">
              <w:rPr>
                <w:sz w:val="18"/>
                <w:szCs w:val="18"/>
              </w:rPr>
              <w:t>By governing business definitions independently of any single data platform, TD Bank's capital markets division is creating a trusted, scalable foundation for regulatory-grade AI across its trading and analytics ecosystem.</w:t>
            </w:r>
          </w:p>
        </w:tc>
      </w:tr>
    </w:tbl>
    <w:p w14:paraId="6266301C" w14:textId="6B6D6522" w:rsidR="003A7029" w:rsidRDefault="4D1B54A2" w:rsidP="0555A8FC">
      <w:pPr>
        <w:pStyle w:val="Heading2"/>
      </w:pPr>
      <w:r w:rsidRPr="0555A8FC">
        <w:t>Why TD Bank Is Building an AI-Ready Foundation</w:t>
      </w:r>
    </w:p>
    <w:p w14:paraId="04EC59D4" w14:textId="2A47A74B" w:rsidR="003A7029" w:rsidRDefault="6A996A55" w:rsidP="0555A8FC">
      <w:r w:rsidRPr="0555A8FC">
        <w:rPr>
          <w:sz w:val="22"/>
          <w:szCs w:val="22"/>
        </w:rPr>
        <w:t xml:space="preserve">TD Securities, the capital markets arm of TD Bank Group, is the sixth-largest bank in North America by assets. </w:t>
      </w:r>
    </w:p>
    <w:p w14:paraId="0F7A317C" w14:textId="2EC77B02" w:rsidR="003A7029" w:rsidRDefault="2B829089" w:rsidP="0555A8FC">
      <w:r w:rsidRPr="0555A8FC">
        <w:rPr>
          <w:sz w:val="22"/>
          <w:szCs w:val="22"/>
        </w:rPr>
        <w:t xml:space="preserve">It operates across quantitative groups, trading desks, and electronic trading businesses, where </w:t>
      </w:r>
      <w:r w:rsidRPr="0555A8FC">
        <w:rPr>
          <w:b/>
          <w:bCs/>
          <w:sz w:val="22"/>
          <w:szCs w:val="22"/>
        </w:rPr>
        <w:t>specialists own their own data, models, and understanding of how the business operates.</w:t>
      </w:r>
    </w:p>
    <w:p w14:paraId="3A0D9C4E" w14:textId="2305DB15" w:rsidR="003A7029" w:rsidRDefault="2B829089" w:rsidP="0555A8FC">
      <w:r w:rsidRPr="0555A8FC">
        <w:rPr>
          <w:sz w:val="22"/>
          <w:szCs w:val="22"/>
        </w:rPr>
        <w:t xml:space="preserve">That distributed expertise is a competitive advantage, enabling teams to develop deep domain knowledge and specialized perspectives. But without a shared semantic </w:t>
      </w:r>
      <w:r w:rsidR="4670B6B9" w:rsidRPr="0555A8FC">
        <w:rPr>
          <w:sz w:val="22"/>
          <w:szCs w:val="22"/>
        </w:rPr>
        <w:t>foundation</w:t>
      </w:r>
      <w:r w:rsidRPr="0555A8FC">
        <w:rPr>
          <w:sz w:val="22"/>
          <w:szCs w:val="22"/>
        </w:rPr>
        <w:t>, it can also cause enterprise AI to produce inconsistent answers at scale.</w:t>
      </w:r>
    </w:p>
    <w:p w14:paraId="4C4B670A" w14:textId="4E80BEB1" w:rsidR="003A7029" w:rsidRDefault="15663FEE" w:rsidP="0555A8FC">
      <w:pPr>
        <w:rPr>
          <w:sz w:val="22"/>
          <w:szCs w:val="22"/>
        </w:rPr>
      </w:pPr>
      <w:r w:rsidRPr="0555A8FC">
        <w:rPr>
          <w:sz w:val="22"/>
          <w:szCs w:val="22"/>
        </w:rPr>
        <w:t xml:space="preserve">That's the challenge TD Bank is addressing by building a shared semantic foundation with </w:t>
      </w:r>
      <w:hyperlink r:id="rId7">
        <w:r w:rsidRPr="0555A8FC">
          <w:rPr>
            <w:rStyle w:val="Hyperlink"/>
            <w:sz w:val="22"/>
            <w:szCs w:val="22"/>
          </w:rPr>
          <w:t>Strategy Mosaic</w:t>
        </w:r>
      </w:hyperlink>
      <w:r w:rsidRPr="0555A8FC">
        <w:rPr>
          <w:sz w:val="22"/>
          <w:szCs w:val="22"/>
        </w:rPr>
        <w:t>, ensuring every AI application starts from the same trusted business context.</w:t>
      </w:r>
    </w:p>
    <w:p w14:paraId="547098E9" w14:textId="3FA55F67" w:rsidR="5261D15A" w:rsidRDefault="60B17E44" w:rsidP="0555A8FC">
      <w:pPr>
        <w:rPr>
          <w:rFonts w:ascii="Aptos Display" w:eastAsia="Aptos Display" w:hAnsi="Aptos Display" w:cs="Aptos Display"/>
          <w:color w:val="0F4761" w:themeColor="accent1" w:themeShade="BF"/>
          <w:sz w:val="32"/>
          <w:szCs w:val="32"/>
        </w:rPr>
      </w:pPr>
      <w:commentRangeStart w:id="0"/>
      <w:commentRangeStart w:id="1"/>
      <w:commentRangeStart w:id="2"/>
      <w:r w:rsidRPr="0555A8FC">
        <w:rPr>
          <w:rFonts w:ascii="Aptos Display" w:eastAsia="Aptos Display" w:hAnsi="Aptos Display" w:cs="Aptos Display"/>
          <w:color w:val="0F4761" w:themeColor="accent1" w:themeShade="BF"/>
          <w:sz w:val="32"/>
          <w:szCs w:val="32"/>
        </w:rPr>
        <w:t>Approaching Data Differently with a Universal Semantic Layer</w:t>
      </w:r>
      <w:commentRangeEnd w:id="0"/>
      <w:r w:rsidR="5261D15A">
        <w:rPr>
          <w:rStyle w:val="CommentReference"/>
          <w:rFonts w:ascii="Aptos Display" w:eastAsia="Aptos Display" w:hAnsi="Aptos Display" w:cs="Aptos Display"/>
          <w:color w:val="0F4761" w:themeColor="accent1" w:themeShade="BF"/>
          <w:sz w:val="32"/>
          <w:szCs w:val="32"/>
        </w:rPr>
        <w:commentReference w:id="0"/>
      </w:r>
      <w:commentRangeEnd w:id="1"/>
      <w:r w:rsidR="5261D15A">
        <w:rPr>
          <w:rStyle w:val="CommentReference"/>
          <w:rFonts w:ascii="Aptos Display" w:eastAsia="Aptos Display" w:hAnsi="Aptos Display" w:cs="Aptos Display"/>
          <w:color w:val="0F4761" w:themeColor="accent1" w:themeShade="BF"/>
          <w:sz w:val="32"/>
          <w:szCs w:val="32"/>
        </w:rPr>
        <w:commentReference w:id="1"/>
      </w:r>
      <w:commentRangeEnd w:id="2"/>
      <w:r w:rsidR="5261D15A">
        <w:rPr>
          <w:rStyle w:val="CommentReference"/>
          <w:rFonts w:ascii="Aptos Display" w:eastAsia="Aptos Display" w:hAnsi="Aptos Display" w:cs="Aptos Display"/>
          <w:color w:val="0F4761" w:themeColor="accent1" w:themeShade="BF"/>
          <w:sz w:val="32"/>
          <w:szCs w:val="32"/>
        </w:rPr>
        <w:commentReference w:id="2"/>
      </w:r>
    </w:p>
    <w:p w14:paraId="1C359C42" w14:textId="502198BB" w:rsidR="77B7B47A" w:rsidRDefault="77B7B47A" w:rsidP="0555A8FC">
      <w:r w:rsidRPr="0555A8FC">
        <w:rPr>
          <w:sz w:val="22"/>
          <w:szCs w:val="22"/>
        </w:rPr>
        <w:t>As TD Bank accelerates its enterprise AI roadmap, its leadership is focused on scaling a governed data foundation across every team, tool, and AI workflow.</w:t>
      </w:r>
    </w:p>
    <w:p w14:paraId="23C082E4" w14:textId="6D633B9C" w:rsidR="458286D9" w:rsidRDefault="458286D9" w:rsidP="0555A8FC">
      <w:r w:rsidRPr="0555A8FC">
        <w:rPr>
          <w:sz w:val="22"/>
          <w:szCs w:val="22"/>
        </w:rPr>
        <w:t>That's precisely why TD Securities is building an AI architecture designed to address data fragmentation before it compounds into larger governance and consistency challenges.</w:t>
      </w:r>
    </w:p>
    <w:p w14:paraId="0EF2E44D" w14:textId="1950AEEE" w:rsidR="0404B7B4" w:rsidRDefault="0404B7B4" w:rsidP="0555A8FC">
      <w:r w:rsidRPr="0555A8FC">
        <w:rPr>
          <w:sz w:val="22"/>
          <w:szCs w:val="22"/>
        </w:rPr>
        <w:t xml:space="preserve">The approach is to deploy Strategy Mosaic's </w:t>
      </w:r>
      <w:hyperlink r:id="rId12">
        <w:r w:rsidRPr="0555A8FC">
          <w:rPr>
            <w:rStyle w:val="Hyperlink"/>
            <w:sz w:val="22"/>
            <w:szCs w:val="22"/>
          </w:rPr>
          <w:t>Universal Semantic Layer</w:t>
        </w:r>
      </w:hyperlink>
      <w:r w:rsidRPr="0555A8FC">
        <w:rPr>
          <w:sz w:val="22"/>
          <w:szCs w:val="22"/>
        </w:rPr>
        <w:t xml:space="preserve"> natively on Google Cloud as the governed foundation every tool, dashboard, and AI agent draws from, establishing </w:t>
      </w:r>
      <w:r w:rsidR="50BA8B0F" w:rsidRPr="0555A8FC">
        <w:rPr>
          <w:sz w:val="22"/>
          <w:szCs w:val="22"/>
        </w:rPr>
        <w:t>shared business context</w:t>
      </w:r>
      <w:r w:rsidRPr="0555A8FC">
        <w:rPr>
          <w:sz w:val="22"/>
          <w:szCs w:val="22"/>
        </w:rPr>
        <w:t xml:space="preserve"> before agentic workflows arrive, not after.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0555A8FC" w14:paraId="688AC97A" w14:textId="77777777" w:rsidTr="0555A8FC">
        <w:trPr>
          <w:trHeight w:val="446"/>
        </w:trPr>
        <w:tc>
          <w:tcPr>
            <w:tcW w:w="9475" w:type="dxa"/>
            <w:tcBorders>
              <w:top w:val="single" w:sz="6" w:space="0" w:color="000000" w:themeColor="text1"/>
              <w:left w:val="single" w:sz="6" w:space="0" w:color="000000" w:themeColor="text1"/>
              <w:bottom w:val="nil"/>
              <w:right w:val="single" w:sz="6" w:space="0" w:color="000000" w:themeColor="text1"/>
            </w:tcBorders>
            <w:shd w:val="clear" w:color="auto" w:fill="DAE8F8"/>
            <w:tcMar>
              <w:left w:w="105" w:type="dxa"/>
              <w:right w:w="105" w:type="dxa"/>
            </w:tcMar>
            <w:vAlign w:val="center"/>
          </w:tcPr>
          <w:p w14:paraId="17EE4A7D" w14:textId="55989803" w:rsidR="0555A8FC" w:rsidRDefault="0555A8FC" w:rsidP="0555A8FC">
            <w:r w:rsidRPr="0555A8FC">
              <w:rPr>
                <w:rFonts w:ascii="Aptos Display" w:eastAsia="Aptos Display" w:hAnsi="Aptos Display" w:cs="Aptos Display"/>
                <w:b/>
                <w:bCs/>
                <w:color w:val="000000" w:themeColor="text1"/>
                <w:sz w:val="22"/>
                <w:szCs w:val="22"/>
              </w:rPr>
              <w:t>How does Strategy Mosaic's approach to data differ from traditional architectures?</w:t>
            </w:r>
          </w:p>
        </w:tc>
      </w:tr>
      <w:tr w:rsidR="0555A8FC" w14:paraId="1A07B64A" w14:textId="77777777" w:rsidTr="0555A8FC">
        <w:trPr>
          <w:trHeight w:val="1037"/>
        </w:trPr>
        <w:tc>
          <w:tcPr>
            <w:tcW w:w="9475" w:type="dxa"/>
            <w:tcBorders>
              <w:top w:val="nil"/>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5C42E047" w14:textId="00A46D14" w:rsidR="08A253FF" w:rsidRDefault="08A253FF" w:rsidP="0555A8FC">
            <w:r w:rsidRPr="0555A8FC">
              <w:rPr>
                <w:sz w:val="18"/>
                <w:szCs w:val="18"/>
              </w:rPr>
              <w:t>Instead of forcing organizations to copy data into a central repository or hardcode business logic inside specific BI tools, Strategy Mosaic centralizes its business meaning into an independent, Universal Semantic Layer. This decoupled approach allows any AI agent or analytics tool to query a single, standardized business context without vendor lock-in, costly data movement, or duplicated business logic.</w:t>
            </w:r>
          </w:p>
        </w:tc>
      </w:tr>
    </w:tbl>
    <w:p w14:paraId="56DE5E42" w14:textId="47443D20" w:rsidR="0555A8FC" w:rsidRDefault="0555A8FC" w:rsidP="0555A8FC">
      <w:pPr>
        <w:rPr>
          <w:sz w:val="22"/>
          <w:szCs w:val="22"/>
        </w:rPr>
      </w:pPr>
    </w:p>
    <w:p w14:paraId="14EFADBD" w14:textId="2173D118" w:rsidR="3CD3A60D" w:rsidRDefault="3CD3A60D" w:rsidP="0555A8FC">
      <w:pPr>
        <w:rPr>
          <w:sz w:val="22"/>
          <w:szCs w:val="22"/>
        </w:rPr>
      </w:pPr>
      <w:r w:rsidRPr="0555A8FC">
        <w:rPr>
          <w:sz w:val="22"/>
          <w:szCs w:val="22"/>
        </w:rPr>
        <w:lastRenderedPageBreak/>
        <w:t xml:space="preserve">As </w:t>
      </w:r>
      <w:r w:rsidRPr="0555A8FC">
        <w:rPr>
          <w:i/>
          <w:iCs/>
          <w:sz w:val="22"/>
          <w:szCs w:val="22"/>
        </w:rPr>
        <w:t>Dan Bosman, SVP &amp; Chief Information Officer at TD Securities</w:t>
      </w:r>
      <w:r w:rsidRPr="0555A8FC">
        <w:rPr>
          <w:sz w:val="22"/>
          <w:szCs w:val="22"/>
        </w:rPr>
        <w:t xml:space="preserve"> </w:t>
      </w:r>
      <w:r w:rsidR="5339AD27" w:rsidRPr="0555A8FC">
        <w:rPr>
          <w:sz w:val="22"/>
          <w:szCs w:val="22"/>
        </w:rPr>
        <w:t>says</w:t>
      </w:r>
    </w:p>
    <w:p w14:paraId="6A8AC1A4" w14:textId="7F6DBF42" w:rsidR="196AAADE" w:rsidRDefault="196AAADE" w:rsidP="0555A8FC">
      <w:pPr>
        <w:pStyle w:val="IntenseQuote"/>
      </w:pPr>
      <w:r w:rsidRPr="0555A8FC">
        <w:rPr>
          <w:sz w:val="22"/>
          <w:szCs w:val="22"/>
        </w:rPr>
        <w:t xml:space="preserve">“What's been </w:t>
      </w:r>
      <w:bookmarkStart w:id="5" w:name="_Int_BmNtD1nh"/>
      <w:r w:rsidRPr="0555A8FC">
        <w:rPr>
          <w:sz w:val="22"/>
          <w:szCs w:val="22"/>
        </w:rPr>
        <w:t>really exciting</w:t>
      </w:r>
      <w:bookmarkEnd w:id="5"/>
      <w:r w:rsidRPr="0555A8FC">
        <w:rPr>
          <w:sz w:val="22"/>
          <w:szCs w:val="22"/>
        </w:rPr>
        <w:t xml:space="preserve"> is the bold vision around the Universal Semantic Layer. These two partners, Strategy Software and Google Cloud, are key to our success. The platforms complement each other </w:t>
      </w:r>
      <w:bookmarkStart w:id="6" w:name="_Int_xPY3SWzl"/>
      <w:r w:rsidRPr="0555A8FC">
        <w:rPr>
          <w:sz w:val="22"/>
          <w:szCs w:val="22"/>
        </w:rPr>
        <w:t>really well</w:t>
      </w:r>
      <w:bookmarkEnd w:id="6"/>
      <w:r w:rsidRPr="0555A8FC">
        <w:rPr>
          <w:sz w:val="22"/>
          <w:szCs w:val="22"/>
        </w:rPr>
        <w:t>.”</w:t>
      </w:r>
    </w:p>
    <w:p w14:paraId="50CA5DEC" w14:textId="25AFB48A" w:rsidR="3FF46C29" w:rsidRDefault="486485AE" w:rsidP="0DAD20F5">
      <w:pPr>
        <w:pStyle w:val="Heading2"/>
      </w:pPr>
      <w:r w:rsidRPr="0555A8FC">
        <w:t>The Architecture Bet: Enterprise-Wide Over Platform-Native</w:t>
      </w:r>
    </w:p>
    <w:p w14:paraId="58E9F177" w14:textId="05ADA493" w:rsidR="509AD6C7" w:rsidRDefault="509AD6C7" w:rsidP="0555A8FC">
      <w:pPr>
        <w:keepNext/>
        <w:keepLines/>
      </w:pPr>
      <w:r w:rsidRPr="0555A8FC">
        <w:rPr>
          <w:rFonts w:ascii="Aptos" w:eastAsia="Aptos" w:hAnsi="Aptos" w:cs="Aptos"/>
          <w:sz w:val="22"/>
          <w:szCs w:val="22"/>
        </w:rPr>
        <w:t xml:space="preserve">To bring that governed foundation to life, TD Securities is deploying Strategy Mosaic as an </w:t>
      </w:r>
      <w:r w:rsidRPr="0555A8FC">
        <w:rPr>
          <w:rFonts w:ascii="Aptos" w:eastAsia="Aptos" w:hAnsi="Aptos" w:cs="Aptos"/>
          <w:b/>
          <w:bCs/>
          <w:sz w:val="22"/>
          <w:szCs w:val="22"/>
        </w:rPr>
        <w:t>independent semantic layer</w:t>
      </w:r>
      <w:r w:rsidRPr="0555A8FC">
        <w:rPr>
          <w:rFonts w:ascii="Aptos" w:eastAsia="Aptos" w:hAnsi="Aptos" w:cs="Aptos"/>
          <w:sz w:val="22"/>
          <w:szCs w:val="22"/>
        </w:rPr>
        <w:t xml:space="preserve"> that sits above the underlying data sources and below every consuming tool.</w:t>
      </w:r>
    </w:p>
    <w:p w14:paraId="46F89423" w14:textId="70F2D2E6" w:rsidR="509AD6C7" w:rsidRDefault="509AD6C7" w:rsidP="0555A8FC">
      <w:pPr>
        <w:keepNext/>
        <w:keepLines/>
        <w:rPr>
          <w:rFonts w:ascii="Aptos" w:eastAsia="Aptos" w:hAnsi="Aptos" w:cs="Aptos"/>
          <w:sz w:val="22"/>
          <w:szCs w:val="22"/>
        </w:rPr>
      </w:pPr>
      <w:r w:rsidRPr="0555A8FC">
        <w:rPr>
          <w:rFonts w:ascii="Aptos" w:eastAsia="Aptos" w:hAnsi="Aptos" w:cs="Aptos"/>
          <w:sz w:val="22"/>
          <w:szCs w:val="22"/>
        </w:rPr>
        <w:t xml:space="preserve">Instead of being tied to a single </w:t>
      </w:r>
      <w:bookmarkStart w:id="7" w:name="_Int_6yxo84ch"/>
      <w:r w:rsidRPr="0555A8FC">
        <w:rPr>
          <w:rFonts w:ascii="Aptos" w:eastAsia="Aptos" w:hAnsi="Aptos" w:cs="Aptos"/>
          <w:sz w:val="22"/>
          <w:szCs w:val="22"/>
        </w:rPr>
        <w:t>vendor's</w:t>
      </w:r>
      <w:bookmarkEnd w:id="7"/>
      <w:r w:rsidRPr="0555A8FC">
        <w:rPr>
          <w:rFonts w:ascii="Aptos" w:eastAsia="Aptos" w:hAnsi="Aptos" w:cs="Aptos"/>
          <w:sz w:val="22"/>
          <w:szCs w:val="22"/>
        </w:rPr>
        <w:t xml:space="preserve"> compute engine, the semantic layer is owned and governed entirely by the enterprise. That distinction is especially important in capital markets, where regulated institutions can't afford to:</w:t>
      </w:r>
    </w:p>
    <w:p w14:paraId="010DBAF1" w14:textId="6FBFA70E" w:rsidR="6E7A8399" w:rsidRDefault="6E7A8399" w:rsidP="0555A8FC">
      <w:pPr>
        <w:pStyle w:val="ListParagraph"/>
        <w:numPr>
          <w:ilvl w:val="0"/>
          <w:numId w:val="3"/>
        </w:numPr>
        <w:rPr>
          <w:rFonts w:ascii="Aptos" w:eastAsia="Aptos" w:hAnsi="Aptos" w:cs="Aptos"/>
          <w:sz w:val="22"/>
          <w:szCs w:val="22"/>
        </w:rPr>
      </w:pPr>
      <w:r w:rsidRPr="0555A8FC">
        <w:rPr>
          <w:rFonts w:ascii="Aptos" w:eastAsia="Aptos" w:hAnsi="Aptos" w:cs="Aptos"/>
          <w:sz w:val="22"/>
          <w:szCs w:val="22"/>
        </w:rPr>
        <w:t>Have critical business definitions locked inside a single platform</w:t>
      </w:r>
    </w:p>
    <w:p w14:paraId="6CA5D81F" w14:textId="653667E7" w:rsidR="6E7A8399" w:rsidRDefault="6E7A8399" w:rsidP="0555A8FC">
      <w:pPr>
        <w:pStyle w:val="ListParagraph"/>
        <w:numPr>
          <w:ilvl w:val="0"/>
          <w:numId w:val="3"/>
        </w:numPr>
        <w:rPr>
          <w:sz w:val="22"/>
          <w:szCs w:val="22"/>
        </w:rPr>
      </w:pPr>
      <w:r w:rsidRPr="0555A8FC">
        <w:rPr>
          <w:sz w:val="22"/>
          <w:szCs w:val="22"/>
        </w:rPr>
        <w:t>Expose conflicting metric definitions to regulatory scrutiny</w:t>
      </w:r>
    </w:p>
    <w:p w14:paraId="289E540B" w14:textId="5098F54C" w:rsidR="6E7A8399" w:rsidRDefault="6E7A8399" w:rsidP="0555A8FC">
      <w:pPr>
        <w:pStyle w:val="ListParagraph"/>
        <w:numPr>
          <w:ilvl w:val="0"/>
          <w:numId w:val="3"/>
        </w:numPr>
        <w:rPr>
          <w:sz w:val="22"/>
          <w:szCs w:val="22"/>
        </w:rPr>
      </w:pPr>
      <w:r w:rsidRPr="0555A8FC">
        <w:rPr>
          <w:sz w:val="22"/>
          <w:szCs w:val="22"/>
        </w:rPr>
        <w:t>Depend on a single vendor's availability, pricing, or product roadmap</w:t>
      </w:r>
    </w:p>
    <w:p w14:paraId="12576D58" w14:textId="2E504FF0" w:rsidR="6E7A8399" w:rsidRDefault="6E7A8399" w:rsidP="0555A8FC">
      <w:r w:rsidRPr="0555A8FC">
        <w:rPr>
          <w:rFonts w:ascii="Aptos" w:eastAsia="Aptos" w:hAnsi="Aptos" w:cs="Aptos"/>
          <w:sz w:val="22"/>
          <w:szCs w:val="22"/>
        </w:rPr>
        <w:t>An independent semantic layer addresses these risks by</w:t>
      </w:r>
      <w:r w:rsidRPr="0555A8FC">
        <w:rPr>
          <w:rFonts w:ascii="Aptos" w:eastAsia="Aptos" w:hAnsi="Aptos" w:cs="Aptos"/>
          <w:b/>
          <w:bCs/>
          <w:sz w:val="22"/>
          <w:szCs w:val="22"/>
        </w:rPr>
        <w:t xml:space="preserve"> decoupling core business logic from vendor-specific limitations</w:t>
      </w:r>
      <w:r w:rsidRPr="0555A8FC">
        <w:rPr>
          <w:rFonts w:ascii="Aptos" w:eastAsia="Aptos" w:hAnsi="Aptos" w:cs="Aptos"/>
          <w:sz w:val="22"/>
          <w:szCs w:val="22"/>
        </w:rPr>
        <w:t xml:space="preserve"> and</w:t>
      </w:r>
      <w:r w:rsidRPr="0555A8FC">
        <w:rPr>
          <w:rFonts w:ascii="Aptos" w:eastAsia="Aptos" w:hAnsi="Aptos" w:cs="Aptos"/>
          <w:b/>
          <w:bCs/>
          <w:sz w:val="22"/>
          <w:szCs w:val="22"/>
        </w:rPr>
        <w:t xml:space="preserve"> establishing a single, governed source of truth</w:t>
      </w:r>
      <w:r w:rsidRPr="0555A8FC">
        <w:rPr>
          <w:rFonts w:ascii="Aptos" w:eastAsia="Aptos" w:hAnsi="Aptos" w:cs="Aptos"/>
          <w:sz w:val="22"/>
          <w:szCs w:val="22"/>
        </w:rPr>
        <w:t xml:space="preserve"> across the enterprise.</w:t>
      </w:r>
    </w:p>
    <w:p w14:paraId="4CDFC97C" w14:textId="403D49CE" w:rsidR="6E7A8399" w:rsidRDefault="6E7A8399" w:rsidP="0555A8FC">
      <w:r w:rsidRPr="0555A8FC">
        <w:rPr>
          <w:rFonts w:ascii="Aptos" w:eastAsia="Aptos" w:hAnsi="Aptos" w:cs="Aptos"/>
          <w:sz w:val="22"/>
          <w:szCs w:val="22"/>
        </w:rPr>
        <w:t>As a result, whether someone queries data through a spreadsheet, a BI dashboard, or a custom AI application, they receive the same governed business answer.</w:t>
      </w:r>
    </w:p>
    <w:p w14:paraId="36A679C6" w14:textId="274EBDC3" w:rsidR="6E7A8399" w:rsidRDefault="6E7A8399" w:rsidP="0555A8FC">
      <w:pPr>
        <w:keepNext/>
        <w:keepLines/>
      </w:pPr>
      <w:r w:rsidRPr="0555A8FC">
        <w:rPr>
          <w:rFonts w:ascii="Aptos" w:eastAsia="Aptos" w:hAnsi="Aptos" w:cs="Aptos"/>
          <w:sz w:val="22"/>
          <w:szCs w:val="22"/>
        </w:rPr>
        <w:t xml:space="preserve">For TD Bank, that means critical business definitions such as VWAP </w:t>
      </w:r>
      <w:r w:rsidRPr="0555A8FC">
        <w:rPr>
          <w:rFonts w:ascii="Aptos" w:eastAsia="Aptos" w:hAnsi="Aptos" w:cs="Aptos"/>
          <w:i/>
          <w:iCs/>
          <w:sz w:val="22"/>
          <w:szCs w:val="22"/>
        </w:rPr>
        <w:t>(volume-weighted average price)</w:t>
      </w:r>
      <w:r w:rsidRPr="0555A8FC">
        <w:rPr>
          <w:rFonts w:ascii="Aptos" w:eastAsia="Aptos" w:hAnsi="Aptos" w:cs="Aptos"/>
          <w:sz w:val="22"/>
          <w:szCs w:val="22"/>
        </w:rPr>
        <w:t xml:space="preserve"> are governed once within Strategy Mosaic and made consistently available to every tool and AI agent across the enterprise.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44"/>
      </w:tblGrid>
      <w:tr w:rsidR="0555A8FC" w14:paraId="55D44638" w14:textId="77777777" w:rsidTr="0555A8FC">
        <w:trPr>
          <w:trHeight w:val="364"/>
        </w:trPr>
        <w:tc>
          <w:tcPr>
            <w:tcW w:w="9474" w:type="dxa"/>
            <w:tcBorders>
              <w:top w:val="single" w:sz="6" w:space="0" w:color="000000" w:themeColor="text1"/>
              <w:left w:val="single" w:sz="6" w:space="0" w:color="000000" w:themeColor="text1"/>
              <w:bottom w:val="nil"/>
              <w:right w:val="single" w:sz="6" w:space="0" w:color="000000" w:themeColor="text1"/>
            </w:tcBorders>
            <w:shd w:val="clear" w:color="auto" w:fill="DAE8F8"/>
            <w:tcMar>
              <w:left w:w="105" w:type="dxa"/>
              <w:right w:w="105" w:type="dxa"/>
            </w:tcMar>
            <w:vAlign w:val="center"/>
          </w:tcPr>
          <w:p w14:paraId="7B41202D" w14:textId="2F2F2E76" w:rsidR="0555A8FC" w:rsidRDefault="0555A8FC" w:rsidP="0555A8FC">
            <w:r w:rsidRPr="0555A8FC">
              <w:rPr>
                <w:rFonts w:ascii="Aptos Display" w:eastAsia="Aptos Display" w:hAnsi="Aptos Display" w:cs="Aptos Display"/>
                <w:b/>
                <w:bCs/>
                <w:color w:val="000000" w:themeColor="text1"/>
                <w:sz w:val="22"/>
                <w:szCs w:val="22"/>
              </w:rPr>
              <w:t>How does Strategy Mosaic enable consistent AI answers?</w:t>
            </w:r>
          </w:p>
        </w:tc>
      </w:tr>
      <w:tr w:rsidR="0555A8FC" w14:paraId="5F5688E7" w14:textId="77777777" w:rsidTr="0555A8FC">
        <w:trPr>
          <w:trHeight w:val="1185"/>
        </w:trPr>
        <w:tc>
          <w:tcPr>
            <w:tcW w:w="9474" w:type="dxa"/>
            <w:tcBorders>
              <w:top w:val="nil"/>
              <w:left w:val="single" w:sz="6" w:space="0" w:color="000000" w:themeColor="text1"/>
              <w:bottom w:val="single" w:sz="6" w:space="0" w:color="000000" w:themeColor="text1"/>
              <w:right w:val="single" w:sz="6" w:space="0" w:color="000000" w:themeColor="text1"/>
            </w:tcBorders>
            <w:shd w:val="clear" w:color="auto" w:fill="DAE8F8"/>
            <w:tcMar>
              <w:left w:w="105" w:type="dxa"/>
              <w:right w:w="105" w:type="dxa"/>
            </w:tcMar>
            <w:vAlign w:val="center"/>
          </w:tcPr>
          <w:p w14:paraId="3B6FC515" w14:textId="4E4A9329" w:rsidR="5C46AB79" w:rsidRDefault="5C46AB79" w:rsidP="0555A8FC">
            <w:r w:rsidRPr="0555A8FC">
              <w:rPr>
                <w:sz w:val="18"/>
                <w:szCs w:val="18"/>
              </w:rPr>
              <w:t>Strategy Mosaic enables consistent AI answers by decoupling business logic from underlying data sources and front-end tools. Instead of requiring costly infrastructure overhauls, it provides an independent Universal Semantic Layer that centralizes business context and governance. This governed foundation supplies AI models with structured, trusted data, reducing hallucinations and delivering consistent answers across teams and connected analytics tools.</w:t>
            </w:r>
          </w:p>
        </w:tc>
      </w:tr>
    </w:tbl>
    <w:p w14:paraId="0510B6DD" w14:textId="24332A94" w:rsidR="0555A8FC" w:rsidRDefault="0555A8FC" w:rsidP="0555A8FC">
      <w:pPr>
        <w:keepNext/>
        <w:keepLines/>
        <w:rPr>
          <w:rFonts w:ascii="Aptos" w:eastAsia="Aptos" w:hAnsi="Aptos" w:cs="Aptos"/>
          <w:sz w:val="22"/>
          <w:szCs w:val="22"/>
        </w:rPr>
      </w:pPr>
    </w:p>
    <w:p w14:paraId="37BCA458" w14:textId="04FA5B24" w:rsidR="5C46AB79" w:rsidRDefault="5C46AB79" w:rsidP="0555A8FC">
      <w:r w:rsidRPr="0555A8FC">
        <w:rPr>
          <w:rFonts w:ascii="Aptos" w:eastAsia="Aptos" w:hAnsi="Aptos" w:cs="Aptos"/>
          <w:sz w:val="22"/>
          <w:szCs w:val="22"/>
        </w:rPr>
        <w:t>Dan Bosman described the moment the architectural vision clicked. During his first Strategy World event, he saw an early demonstration of Mosaic:</w:t>
      </w:r>
    </w:p>
    <w:p w14:paraId="0259AF02" w14:textId="0E92E44A" w:rsidR="734CCAB5" w:rsidRDefault="734CCAB5" w:rsidP="0555A8FC">
      <w:pPr>
        <w:pStyle w:val="IntenseQuote"/>
        <w:rPr>
          <w:sz w:val="22"/>
          <w:szCs w:val="22"/>
        </w:rPr>
      </w:pPr>
      <w:r w:rsidRPr="0555A8FC">
        <w:rPr>
          <w:sz w:val="22"/>
          <w:szCs w:val="22"/>
        </w:rPr>
        <w:t>“The light bulb went off in my head. I saw the value of this semantic layer, and I saw a need for a pivot; to do something different than the next data platform, the next data warehouse being the winner.”</w:t>
      </w:r>
    </w:p>
    <w:p w14:paraId="5ADDC900" w14:textId="05C0C7E2" w:rsidR="0A6809DF" w:rsidRDefault="65E4CA74" w:rsidP="0DAD20F5">
      <w:pPr>
        <w:pStyle w:val="Heading2"/>
      </w:pPr>
      <w:r w:rsidRPr="0555A8FC">
        <w:lastRenderedPageBreak/>
        <w:t>What This Foundation Enables for TD Bank</w:t>
      </w:r>
    </w:p>
    <w:p w14:paraId="37F198D5" w14:textId="6A2A10D2" w:rsidR="65E4CA74" w:rsidRDefault="65E4CA74" w:rsidP="0555A8FC">
      <w:r w:rsidRPr="0555A8FC">
        <w:rPr>
          <w:rFonts w:ascii="Aptos" w:eastAsia="Aptos" w:hAnsi="Aptos" w:cs="Aptos"/>
          <w:sz w:val="22"/>
          <w:szCs w:val="22"/>
        </w:rPr>
        <w:t>By establishing a governed semantic foundation, Strategy Mosaic is designed to help TD Bank scale agentic AI within a consistent, trusted environment without sacrificing the autonomy individual teams need to innovate.</w:t>
      </w:r>
    </w:p>
    <w:p w14:paraId="01A8E70E" w14:textId="32BA7DFA" w:rsidR="54687DA1" w:rsidRDefault="54687DA1" w:rsidP="0555A8FC">
      <w:pPr>
        <w:rPr>
          <w:rFonts w:ascii="Aptos" w:eastAsia="Aptos" w:hAnsi="Aptos" w:cs="Aptos"/>
          <w:sz w:val="22"/>
          <w:szCs w:val="22"/>
        </w:rPr>
      </w:pPr>
      <w:r w:rsidRPr="0555A8FC">
        <w:rPr>
          <w:rFonts w:ascii="Aptos" w:eastAsia="Aptos" w:hAnsi="Aptos" w:cs="Aptos"/>
          <w:sz w:val="22"/>
          <w:szCs w:val="22"/>
        </w:rPr>
        <w:t>Because AI models consume data shaped by consistent business logic through Strategy Mosaic, they can surface insights faster while producing more reliable outputs across complex capital markets workflows.</w:t>
      </w:r>
      <w:r w:rsidR="65E4CA74" w:rsidRPr="0555A8FC">
        <w:rPr>
          <w:rFonts w:ascii="Aptos" w:eastAsia="Aptos" w:hAnsi="Aptos" w:cs="Aptos"/>
          <w:sz w:val="22"/>
          <w:szCs w:val="22"/>
        </w:rPr>
        <w:t xml:space="preserve"> At the same time, individual business units can continue developing specialized analytics and strategies while operating from the same </w:t>
      </w:r>
      <w:hyperlink r:id="rId13">
        <w:r w:rsidR="65E4CA74" w:rsidRPr="0555A8FC">
          <w:rPr>
            <w:rStyle w:val="Hyperlink"/>
            <w:sz w:val="22"/>
            <w:szCs w:val="22"/>
          </w:rPr>
          <w:t>governed semantic context</w:t>
        </w:r>
      </w:hyperlink>
      <w:r w:rsidR="65E4CA74" w:rsidRPr="0555A8FC">
        <w:rPr>
          <w:rFonts w:ascii="Aptos" w:eastAsia="Aptos" w:hAnsi="Aptos" w:cs="Aptos"/>
          <w:sz w:val="22"/>
          <w:szCs w:val="22"/>
        </w:rPr>
        <w:t>.</w:t>
      </w:r>
    </w:p>
    <w:p w14:paraId="722B6137" w14:textId="387A2952" w:rsidR="3E7E4D6E" w:rsidRDefault="3E7E4D6E" w:rsidP="0555A8FC">
      <w:pPr>
        <w:rPr>
          <w:rFonts w:ascii="Aptos" w:eastAsia="Aptos" w:hAnsi="Aptos" w:cs="Aptos"/>
          <w:sz w:val="22"/>
          <w:szCs w:val="22"/>
        </w:rPr>
      </w:pPr>
      <w:r w:rsidRPr="0555A8FC">
        <w:rPr>
          <w:rFonts w:ascii="Aptos" w:eastAsia="Aptos" w:hAnsi="Aptos" w:cs="Aptos"/>
          <w:sz w:val="22"/>
          <w:szCs w:val="22"/>
        </w:rPr>
        <w:t>As a result</w:t>
      </w:r>
      <w:r w:rsidR="5EA2B545" w:rsidRPr="0555A8FC">
        <w:rPr>
          <w:rFonts w:ascii="Aptos" w:eastAsia="Aptos" w:hAnsi="Aptos" w:cs="Aptos"/>
          <w:sz w:val="22"/>
          <w:szCs w:val="22"/>
        </w:rPr>
        <w:t>, TD Bank is positioned to scale AI initiatives across strategic growth areas</w:t>
      </w:r>
      <w:r w:rsidR="2DC00B09" w:rsidRPr="0555A8FC">
        <w:rPr>
          <w:rFonts w:ascii="Aptos" w:eastAsia="Aptos" w:hAnsi="Aptos" w:cs="Aptos"/>
          <w:sz w:val="22"/>
          <w:szCs w:val="22"/>
        </w:rPr>
        <w:t xml:space="preserve"> such as</w:t>
      </w:r>
      <w:r w:rsidR="5EA2B545" w:rsidRPr="0555A8FC">
        <w:rPr>
          <w:rFonts w:ascii="Aptos" w:eastAsia="Aptos" w:hAnsi="Aptos" w:cs="Aptos"/>
          <w:sz w:val="22"/>
          <w:szCs w:val="22"/>
        </w:rPr>
        <w:t>:</w:t>
      </w:r>
    </w:p>
    <w:p w14:paraId="209AE348" w14:textId="04D00516" w:rsidR="728D4E0D" w:rsidRDefault="728D4E0D" w:rsidP="0555A8FC">
      <w:pPr>
        <w:pStyle w:val="ListParagraph"/>
        <w:numPr>
          <w:ilvl w:val="0"/>
          <w:numId w:val="1"/>
        </w:numPr>
        <w:rPr>
          <w:rFonts w:ascii="Aptos" w:eastAsia="Aptos" w:hAnsi="Aptos" w:cs="Aptos"/>
          <w:b/>
          <w:bCs/>
          <w:sz w:val="22"/>
          <w:szCs w:val="22"/>
        </w:rPr>
      </w:pPr>
      <w:r w:rsidRPr="0555A8FC">
        <w:rPr>
          <w:rFonts w:ascii="Aptos" w:eastAsia="Aptos" w:hAnsi="Aptos" w:cs="Aptos"/>
          <w:b/>
          <w:bCs/>
          <w:sz w:val="22"/>
          <w:szCs w:val="22"/>
        </w:rPr>
        <w:t>T</w:t>
      </w:r>
      <w:r w:rsidR="5EA2B545" w:rsidRPr="0555A8FC">
        <w:rPr>
          <w:rFonts w:ascii="Aptos" w:eastAsia="Aptos" w:hAnsi="Aptos" w:cs="Aptos"/>
          <w:b/>
          <w:bCs/>
          <w:sz w:val="22"/>
          <w:szCs w:val="22"/>
        </w:rPr>
        <w:t>ransaction banking</w:t>
      </w:r>
    </w:p>
    <w:p w14:paraId="6861549E" w14:textId="428BB387" w:rsidR="5E0D99E4" w:rsidRDefault="5E0D99E4" w:rsidP="0555A8FC">
      <w:pPr>
        <w:pStyle w:val="ListParagraph"/>
        <w:numPr>
          <w:ilvl w:val="0"/>
          <w:numId w:val="1"/>
        </w:numPr>
        <w:rPr>
          <w:rFonts w:ascii="Aptos" w:eastAsia="Aptos" w:hAnsi="Aptos" w:cs="Aptos"/>
          <w:b/>
          <w:bCs/>
          <w:sz w:val="22"/>
          <w:szCs w:val="22"/>
        </w:rPr>
      </w:pPr>
      <w:r w:rsidRPr="0555A8FC">
        <w:rPr>
          <w:rFonts w:ascii="Aptos" w:eastAsia="Aptos" w:hAnsi="Aptos" w:cs="Aptos"/>
          <w:b/>
          <w:bCs/>
          <w:sz w:val="22"/>
          <w:szCs w:val="22"/>
        </w:rPr>
        <w:t>E</w:t>
      </w:r>
      <w:r w:rsidR="5EA2B545" w:rsidRPr="0555A8FC">
        <w:rPr>
          <w:rFonts w:ascii="Aptos" w:eastAsia="Aptos" w:hAnsi="Aptos" w:cs="Aptos"/>
          <w:b/>
          <w:bCs/>
          <w:sz w:val="22"/>
          <w:szCs w:val="22"/>
        </w:rPr>
        <w:t>lectronic trading</w:t>
      </w:r>
    </w:p>
    <w:p w14:paraId="3C225061" w14:textId="1A3EF2C4" w:rsidR="5C56F61B" w:rsidRDefault="5C56F61B" w:rsidP="0555A8FC">
      <w:pPr>
        <w:pStyle w:val="ListParagraph"/>
        <w:numPr>
          <w:ilvl w:val="0"/>
          <w:numId w:val="1"/>
        </w:numPr>
        <w:rPr>
          <w:rFonts w:ascii="Aptos" w:eastAsia="Aptos" w:hAnsi="Aptos" w:cs="Aptos"/>
          <w:b/>
          <w:bCs/>
          <w:sz w:val="22"/>
          <w:szCs w:val="22"/>
        </w:rPr>
      </w:pPr>
      <w:r w:rsidRPr="0555A8FC">
        <w:rPr>
          <w:rFonts w:ascii="Aptos" w:eastAsia="Aptos" w:hAnsi="Aptos" w:cs="Aptos"/>
          <w:b/>
          <w:bCs/>
          <w:sz w:val="22"/>
          <w:szCs w:val="22"/>
        </w:rPr>
        <w:t>C</w:t>
      </w:r>
      <w:r w:rsidR="5EA2B545" w:rsidRPr="0555A8FC">
        <w:rPr>
          <w:rFonts w:ascii="Aptos" w:eastAsia="Aptos" w:hAnsi="Aptos" w:cs="Aptos"/>
          <w:b/>
          <w:bCs/>
          <w:sz w:val="22"/>
          <w:szCs w:val="22"/>
        </w:rPr>
        <w:t>lient-facing analytics</w:t>
      </w:r>
    </w:p>
    <w:p w14:paraId="5C0F7962" w14:textId="34EC2DB7" w:rsidR="14C5869A" w:rsidRDefault="14C5869A" w:rsidP="0555A8FC">
      <w:r w:rsidRPr="0555A8FC">
        <w:rPr>
          <w:rFonts w:ascii="Aptos" w:eastAsia="Aptos" w:hAnsi="Aptos" w:cs="Aptos"/>
          <w:sz w:val="22"/>
          <w:szCs w:val="22"/>
        </w:rPr>
        <w:t>For TD leadership, the objective extends beyond technology. As Dan Bosman explains, AI should strengthen human expertise rather than replace it:</w:t>
      </w:r>
    </w:p>
    <w:p w14:paraId="18264A5C" w14:textId="35C3E07F" w:rsidR="03948714" w:rsidRDefault="03948714" w:rsidP="0555A8FC">
      <w:pPr>
        <w:pStyle w:val="Quote"/>
      </w:pPr>
      <w:r w:rsidRPr="0555A8FC">
        <w:rPr>
          <w:rStyle w:val="IntenseQuoteChar"/>
          <w:i/>
          <w:iCs/>
          <w:sz w:val="22"/>
          <w:szCs w:val="22"/>
        </w:rPr>
        <w:t>“We are a digital-first organization, but we are proudly remarkably human. If we can use AI to take the toil away and refocus our efforts on what is important — our clients, and these human connections — that is what freedom means.”</w:t>
      </w:r>
    </w:p>
    <w:p w14:paraId="59D77439" w14:textId="40DF31FF" w:rsidR="0A6809DF" w:rsidRDefault="0A6809DF" w:rsidP="0555A8FC">
      <w:pPr>
        <w:pStyle w:val="Heading2"/>
      </w:pPr>
      <w:r w:rsidRPr="0555A8FC">
        <w:t xml:space="preserve">The </w:t>
      </w:r>
      <w:r w:rsidR="3A966C87" w:rsidRPr="0555A8FC">
        <w:t>Future</w:t>
      </w:r>
      <w:r w:rsidRPr="0555A8FC">
        <w:t xml:space="preserve">: </w:t>
      </w:r>
      <w:r w:rsidR="200724CD" w:rsidRPr="0555A8FC">
        <w:t>Scaling a</w:t>
      </w:r>
      <w:r w:rsidRPr="0555A8FC">
        <w:t xml:space="preserve"> Trusted Foundation for Enterprise AI</w:t>
      </w:r>
    </w:p>
    <w:p w14:paraId="2CFE4439" w14:textId="46EE984E" w:rsidR="55F9837B" w:rsidRDefault="55F9837B" w:rsidP="0555A8FC">
      <w:r w:rsidRPr="0555A8FC">
        <w:rPr>
          <w:rFonts w:ascii="Aptos" w:eastAsia="Aptos" w:hAnsi="Aptos" w:cs="Aptos"/>
          <w:sz w:val="22"/>
          <w:szCs w:val="22"/>
        </w:rPr>
        <w:t xml:space="preserve">By combining trusted business definitions with governed data access, TD Bank is building the architecture needed to scale enterprise AI while maintaining the consistency, transparency, and trust that a highly regulated environment demands. </w:t>
      </w:r>
    </w:p>
    <w:p w14:paraId="4B805239" w14:textId="0565EBBB" w:rsidR="55F9837B" w:rsidRDefault="55F9837B" w:rsidP="0555A8FC">
      <w:r w:rsidRPr="0555A8FC">
        <w:rPr>
          <w:rFonts w:ascii="Aptos" w:eastAsia="Aptos" w:hAnsi="Aptos" w:cs="Aptos"/>
          <w:sz w:val="22"/>
          <w:szCs w:val="22"/>
        </w:rPr>
        <w:t>With Strategy Mosaic serving as its Universal Semantic Layer, the bank is laying the foundation for AI that can scale without compromising governance or business context.</w:t>
      </w:r>
    </w:p>
    <w:p w14:paraId="4C0F151D" w14:textId="0F7BB514" w:rsidR="55F9837B" w:rsidRDefault="55F9837B" w:rsidP="0555A8FC">
      <w:r w:rsidRPr="0555A8FC">
        <w:rPr>
          <w:sz w:val="22"/>
          <w:szCs w:val="22"/>
        </w:rPr>
        <w:t xml:space="preserve">For enterprises pursuing the same goal, the challenge </w:t>
      </w:r>
      <w:bookmarkStart w:id="8" w:name="_Int_D1INc0Ex"/>
      <w:r w:rsidRPr="0555A8FC">
        <w:rPr>
          <w:sz w:val="22"/>
          <w:szCs w:val="22"/>
        </w:rPr>
        <w:t>isn't</w:t>
      </w:r>
      <w:bookmarkEnd w:id="8"/>
      <w:r w:rsidRPr="0555A8FC">
        <w:rPr>
          <w:sz w:val="22"/>
          <w:szCs w:val="22"/>
        </w:rPr>
        <w:t xml:space="preserve"> simply scaling AI. It's </w:t>
      </w:r>
      <w:bookmarkStart w:id="9" w:name="_Int_aRT9sgo7"/>
      <w:r w:rsidRPr="0555A8FC">
        <w:rPr>
          <w:sz w:val="22"/>
          <w:szCs w:val="22"/>
        </w:rPr>
        <w:t>ensuring</w:t>
      </w:r>
      <w:bookmarkEnd w:id="9"/>
      <w:r w:rsidRPr="0555A8FC">
        <w:rPr>
          <w:sz w:val="22"/>
          <w:szCs w:val="22"/>
        </w:rPr>
        <w:t xml:space="preserve"> every model, application, and </w:t>
      </w:r>
      <w:r w:rsidR="7887F9BA" w:rsidRPr="0555A8FC">
        <w:rPr>
          <w:sz w:val="22"/>
          <w:szCs w:val="22"/>
        </w:rPr>
        <w:t xml:space="preserve">team </w:t>
      </w:r>
      <w:r w:rsidRPr="0555A8FC">
        <w:rPr>
          <w:sz w:val="22"/>
          <w:szCs w:val="22"/>
        </w:rPr>
        <w:t xml:space="preserve">operates from the same trusted understanding of </w:t>
      </w:r>
      <w:r w:rsidR="049C4131" w:rsidRPr="0555A8FC">
        <w:rPr>
          <w:sz w:val="22"/>
          <w:szCs w:val="22"/>
        </w:rPr>
        <w:t>business context</w:t>
      </w:r>
      <w:r w:rsidRPr="0555A8FC">
        <w:rPr>
          <w:sz w:val="22"/>
          <w:szCs w:val="22"/>
        </w:rPr>
        <w:t>. That's the architectural approach TD Bank is taking today.</w:t>
      </w:r>
    </w:p>
    <w:tbl>
      <w:tblPr>
        <w:tblStyle w:val="TableGrid"/>
        <w:tblW w:w="9345" w:type="dxa"/>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961"/>
        <w:gridCol w:w="2384"/>
      </w:tblGrid>
      <w:tr w:rsidR="0DAD20F5" w14:paraId="6DEFF27A" w14:textId="77777777" w:rsidTr="0555A8FC">
        <w:trPr>
          <w:trHeight w:val="1550"/>
          <w:jc w:val="center"/>
        </w:trPr>
        <w:tc>
          <w:tcPr>
            <w:tcW w:w="6961" w:type="dxa"/>
            <w:tcMar>
              <w:left w:w="105" w:type="dxa"/>
              <w:right w:w="105" w:type="dxa"/>
            </w:tcMar>
            <w:vAlign w:val="center"/>
          </w:tcPr>
          <w:p w14:paraId="6DDF3CF9" w14:textId="16A35ED8" w:rsidR="11AD2101" w:rsidRDefault="2068909B" w:rsidP="0555A8FC">
            <w:pPr>
              <w:pStyle w:val="Heading4"/>
            </w:pPr>
            <w:r w:rsidRPr="0555A8FC">
              <w:t xml:space="preserve">TD Bank's story shows that enterprise AI isn’t just powered by models. It’s powered by trusted business context. </w:t>
            </w:r>
            <w:r w:rsidR="4147A01B" w:rsidRPr="0555A8FC">
              <w:t>If your organization is preparing to scale AI across business units, see how Strategy Mosaic can help you establish a governed semantic foundation from day one.</w:t>
            </w:r>
          </w:p>
        </w:tc>
        <w:tc>
          <w:tcPr>
            <w:tcW w:w="2384" w:type="dxa"/>
            <w:tcMar>
              <w:left w:w="105" w:type="dxa"/>
              <w:right w:w="105" w:type="dxa"/>
            </w:tcMar>
            <w:vAlign w:val="center"/>
          </w:tcPr>
          <w:p w14:paraId="21B0C801" w14:textId="38E8E4A8" w:rsidR="11AD2101" w:rsidRDefault="11AD2101" w:rsidP="0DAD20F5">
            <w:pPr>
              <w:pStyle w:val="Heading4"/>
              <w:rPr>
                <w:rFonts w:ascii="Aptos Display" w:eastAsia="Aptos Display" w:hAnsi="Aptos Display" w:cs="Aptos Display"/>
                <w:i w:val="0"/>
                <w:iCs w:val="0"/>
                <w:sz w:val="28"/>
                <w:szCs w:val="28"/>
              </w:rPr>
            </w:pPr>
            <w:r w:rsidRPr="0DAD20F5">
              <w:t>Book a Demo</w:t>
            </w:r>
            <w:r w:rsidR="0DAD20F5" w:rsidRPr="0DAD20F5">
              <w:t xml:space="preserve"> →</w:t>
            </w:r>
          </w:p>
        </w:tc>
      </w:tr>
    </w:tbl>
    <w:p w14:paraId="2048DD44" w14:textId="1FFCDC49" w:rsidR="0DAD20F5" w:rsidRDefault="0DAD20F5" w:rsidP="0555A8FC">
      <w:pPr>
        <w:rPr>
          <w:rFonts w:ascii="Aptos" w:eastAsia="Aptos" w:hAnsi="Aptos" w:cs="Aptos"/>
          <w:sz w:val="22"/>
          <w:szCs w:val="22"/>
        </w:rPr>
      </w:pPr>
    </w:p>
    <w:sectPr w:rsidR="0DAD20F5">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urger O'Connor, Lauren" w:date="2026-06-29T10:06:00Z" w:initials="BL">
    <w:p w14:paraId="417EF177" w14:textId="3D3DB659" w:rsidR="00000000" w:rsidRDefault="00000000">
      <w:r>
        <w:annotationRef/>
      </w:r>
      <w:r w:rsidRPr="2660B84E">
        <w:t xml:space="preserve">I think you're treating TD too much like a small messy place. The truth is banks are pretty incredible at data curation bc of regulatory compliance. You are very right - the issue is highly curated data trapped in silos, but you need to match more details of the reality </w:t>
      </w:r>
    </w:p>
  </w:comment>
  <w:comment w:id="1" w:author="Ratanpal, Tanmay" w:date="2026-06-30T10:41:00Z" w:initials="RT">
    <w:p w14:paraId="232C1CF8" w14:textId="6AFC3718" w:rsidR="00000000" w:rsidRDefault="00000000">
      <w:r>
        <w:annotationRef/>
      </w:r>
      <w:r w:rsidRPr="25FADFE8">
        <w:t xml:space="preserve">I think I was trying to over-explain the problem (for the sake of building a clear connection between their challenges and Mosaic), but that just came off as fluff and palced this as a TOFU blog. This should rightly be placed as a BOFU asset. More strategic, future-oriented. </w:t>
      </w:r>
    </w:p>
  </w:comment>
  <w:comment w:id="2" w:author="Ratanpal, Tanmay" w:date="2026-06-30T10:42:00Z" w:initials="RT">
    <w:p w14:paraId="181D8964" w14:textId="6894DD29" w:rsidR="00000000" w:rsidRDefault="00000000">
      <w:r>
        <w:annotationRef/>
      </w:r>
      <w:r w:rsidRPr="2176848C">
        <w:t>Your comments are spot on, and I'm going to make sure future versions for this (and other stories) follow the same pattern!</w:t>
      </w:r>
    </w:p>
    <w:p w14:paraId="0F3BAD83" w14:textId="15402AB7" w:rsidR="00000000" w:rsidRDefault="00000000"/>
    <w:p w14:paraId="0B8CCFC7" w14:textId="388788C7" w:rsidR="00000000" w:rsidRDefault="00000000">
      <w:r w:rsidRPr="1B0763DA">
        <w:t xml:space="preserve">cc </w:t>
      </w:r>
      <w:r>
        <w:fldChar w:fldCharType="begin"/>
      </w:r>
      <w:r>
        <w:instrText xml:space="preserve"> HYPERLINK "mailto:kwerstein@strategy.com"</w:instrText>
      </w:r>
      <w:bookmarkStart w:id="3" w:name="_@_CA8AA19492E440189CC50FE7C0CDE505Z"/>
      <w:r>
        <w:fldChar w:fldCharType="separate"/>
      </w:r>
      <w:bookmarkEnd w:id="3"/>
      <w:r w:rsidRPr="08B5EB39">
        <w:rPr>
          <w:noProof/>
        </w:rPr>
        <w:t>@Dent, Kelli</w:t>
      </w:r>
      <w:r>
        <w:fldChar w:fldCharType="end"/>
      </w:r>
      <w:r w:rsidRPr="61CF65CD">
        <w:t xml:space="preserve"> </w:t>
      </w:r>
      <w:r>
        <w:fldChar w:fldCharType="begin"/>
      </w:r>
      <w:r>
        <w:instrText xml:space="preserve"> HYPERLINK "mailto:heguo@strategy.com"</w:instrText>
      </w:r>
      <w:bookmarkStart w:id="4" w:name="_@_43BD8BC16E3F45BEA05836AE37ABE478Z"/>
      <w:r>
        <w:fldChar w:fldCharType="separate"/>
      </w:r>
      <w:bookmarkEnd w:id="4"/>
      <w:r w:rsidRPr="32BEE42D">
        <w:rPr>
          <w:noProof/>
        </w:rPr>
        <w:t>@Guo, Henry</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7EF177" w15:done="1"/>
  <w15:commentEx w15:paraId="232C1CF8" w15:paraIdParent="417EF177" w15:done="1"/>
  <w15:commentEx w15:paraId="0B8CCFC7" w15:paraIdParent="417EF17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12F43A" w16cex:dateUtc="2026-06-29T14:06:00Z">
    <w16cex:extLst>
      <w16:ext w16:uri="{CE6994B0-6A32-4C9F-8C6B-6E91EDA988CE}">
        <cr:reactions xmlns:cr="http://schemas.microsoft.com/office/comments/2020/reactions">
          <cr:reaction reactionType="1">
            <cr:reactionInfo dateUtc="2026-06-30T08:32:21Z">
              <cr:user userId="S::tratanpal@strategy.com::865e8aff-7c95-4799-805f-bb2ffc91b172" userProvider="AD" userName="Ratanpal, Tanmay"/>
            </cr:reactionInfo>
          </cr:reaction>
        </cr:reactions>
      </w16:ext>
    </w16cex:extLst>
  </w16cex:commentExtensible>
  <w16cex:commentExtensible w16cex:durableId="6D0FEE95" w16cex:dateUtc="2026-06-30T08:41:00Z"/>
  <w16cex:commentExtensible w16cex:durableId="6F5982C2" w16cex:dateUtc="2026-06-30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7EF177" w16cid:durableId="6F12F43A"/>
  <w16cid:commentId w16cid:paraId="232C1CF8" w16cid:durableId="6D0FEE95"/>
  <w16cid:commentId w16cid:paraId="0B8CCFC7" w16cid:durableId="6F5982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D302AD" w14:textId="77777777" w:rsidR="006C4656" w:rsidRDefault="006C4656">
      <w:pPr>
        <w:spacing w:after="0" w:line="240" w:lineRule="auto"/>
      </w:pPr>
      <w:r>
        <w:separator/>
      </w:r>
    </w:p>
  </w:endnote>
  <w:endnote w:type="continuationSeparator" w:id="0">
    <w:p w14:paraId="77E4194B" w14:textId="77777777" w:rsidR="006C4656" w:rsidRDefault="006C4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DAD20F5" w14:paraId="1EEF41DF" w14:textId="77777777" w:rsidTr="0DAD20F5">
      <w:trPr>
        <w:trHeight w:val="300"/>
      </w:trPr>
      <w:tc>
        <w:tcPr>
          <w:tcW w:w="3120" w:type="dxa"/>
        </w:tcPr>
        <w:p w14:paraId="598345D0" w14:textId="5FEED94F" w:rsidR="0DAD20F5" w:rsidRDefault="0DAD20F5" w:rsidP="0DAD20F5">
          <w:pPr>
            <w:pStyle w:val="Header"/>
            <w:ind w:left="-115"/>
          </w:pPr>
        </w:p>
      </w:tc>
      <w:tc>
        <w:tcPr>
          <w:tcW w:w="3120" w:type="dxa"/>
        </w:tcPr>
        <w:p w14:paraId="7A0EDF96" w14:textId="1079AFBE" w:rsidR="0DAD20F5" w:rsidRDefault="0DAD20F5" w:rsidP="0DAD20F5">
          <w:pPr>
            <w:pStyle w:val="Header"/>
            <w:jc w:val="center"/>
          </w:pPr>
        </w:p>
      </w:tc>
      <w:tc>
        <w:tcPr>
          <w:tcW w:w="3120" w:type="dxa"/>
        </w:tcPr>
        <w:p w14:paraId="78F8139C" w14:textId="2407236C" w:rsidR="0DAD20F5" w:rsidRDefault="0DAD20F5" w:rsidP="0DAD20F5">
          <w:pPr>
            <w:pStyle w:val="Header"/>
            <w:ind w:right="-115"/>
            <w:jc w:val="right"/>
          </w:pPr>
        </w:p>
      </w:tc>
    </w:tr>
  </w:tbl>
  <w:p w14:paraId="2D5729E8" w14:textId="1FFF6480" w:rsidR="0DAD20F5" w:rsidRDefault="0DAD20F5" w:rsidP="0DAD2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5D7781" w14:textId="77777777" w:rsidR="006C4656" w:rsidRDefault="006C4656">
      <w:pPr>
        <w:spacing w:after="0" w:line="240" w:lineRule="auto"/>
      </w:pPr>
      <w:r>
        <w:separator/>
      </w:r>
    </w:p>
  </w:footnote>
  <w:footnote w:type="continuationSeparator" w:id="0">
    <w:p w14:paraId="36133350" w14:textId="77777777" w:rsidR="006C4656" w:rsidRDefault="006C4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DAD20F5" w14:paraId="31FBB633" w14:textId="77777777" w:rsidTr="0DAD20F5">
      <w:trPr>
        <w:trHeight w:val="300"/>
      </w:trPr>
      <w:tc>
        <w:tcPr>
          <w:tcW w:w="3120" w:type="dxa"/>
        </w:tcPr>
        <w:p w14:paraId="11691C6D" w14:textId="152BFB6F" w:rsidR="0DAD20F5" w:rsidRDefault="0DAD20F5" w:rsidP="0DAD20F5">
          <w:pPr>
            <w:pStyle w:val="Header"/>
            <w:ind w:left="-115"/>
          </w:pPr>
        </w:p>
      </w:tc>
      <w:tc>
        <w:tcPr>
          <w:tcW w:w="3120" w:type="dxa"/>
        </w:tcPr>
        <w:p w14:paraId="62E7EA2E" w14:textId="1BD951A1" w:rsidR="0DAD20F5" w:rsidRDefault="0DAD20F5" w:rsidP="0DAD20F5">
          <w:pPr>
            <w:pStyle w:val="Header"/>
            <w:jc w:val="center"/>
          </w:pPr>
        </w:p>
      </w:tc>
      <w:tc>
        <w:tcPr>
          <w:tcW w:w="3120" w:type="dxa"/>
        </w:tcPr>
        <w:p w14:paraId="5BA3F872" w14:textId="46140A26" w:rsidR="0DAD20F5" w:rsidRDefault="0DAD20F5" w:rsidP="0DAD20F5">
          <w:pPr>
            <w:pStyle w:val="Header"/>
            <w:ind w:right="-115"/>
            <w:jc w:val="right"/>
          </w:pPr>
        </w:p>
      </w:tc>
    </w:tr>
  </w:tbl>
  <w:p w14:paraId="48B689EB" w14:textId="0D86734E" w:rsidR="0DAD20F5" w:rsidRDefault="0DAD20F5" w:rsidP="0DAD20F5">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1INc0Ex" int2:invalidationBookmarkName="" int2:hashCode="7i6/UTMFG/Oc1J" int2:id="0EMUsy78">
      <int2:state int2:value="Rejected" int2:type="gram"/>
    </int2:bookmark>
    <int2:bookmark int2:bookmarkName="_Int_aRT9sgo7" int2:invalidationBookmarkName="" int2:hashCode="dJx/23uwwjWooG" int2:id="lj5Ue7Nu">
      <int2:state int2:value="Rejected" int2:type="gram"/>
    </int2:bookmark>
    <int2:bookmark int2:bookmarkName="_Int_BmNtD1nh" int2:invalidationBookmarkName="" int2:hashCode="Y4N8w62Rv7tNPi" int2:id="oGgKQ8iI">
      <int2:state int2:value="Rejected" int2:type="style"/>
    </int2:bookmark>
    <int2:bookmark int2:bookmarkName="_Int_6yxo84ch" int2:invalidationBookmarkName="" int2:hashCode="8uiWy/mIEnNQr9" int2:id="l5VWr8zr">
      <int2:state int2:value="Rejected" int2:type="gram"/>
    </int2:bookmark>
    <int2:bookmark int2:bookmarkName="_Int_xPY3SWzl" int2:invalidationBookmarkName="" int2:hashCode="F4sS21e/kD4sfa" int2:id="jRps6tfm">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E72C04"/>
    <w:multiLevelType w:val="hybridMultilevel"/>
    <w:tmpl w:val="38244DEA"/>
    <w:lvl w:ilvl="0" w:tplc="86F6F5F6">
      <w:start w:val="1"/>
      <w:numFmt w:val="bullet"/>
      <w:lvlText w:val=""/>
      <w:lvlJc w:val="left"/>
      <w:pPr>
        <w:ind w:left="720" w:hanging="360"/>
      </w:pPr>
      <w:rPr>
        <w:rFonts w:ascii="Symbol" w:hAnsi="Symbol" w:hint="default"/>
      </w:rPr>
    </w:lvl>
    <w:lvl w:ilvl="1" w:tplc="A4B8D256">
      <w:start w:val="1"/>
      <w:numFmt w:val="bullet"/>
      <w:lvlText w:val="o"/>
      <w:lvlJc w:val="left"/>
      <w:pPr>
        <w:ind w:left="1440" w:hanging="360"/>
      </w:pPr>
      <w:rPr>
        <w:rFonts w:ascii="Courier New" w:hAnsi="Courier New" w:hint="default"/>
      </w:rPr>
    </w:lvl>
    <w:lvl w:ilvl="2" w:tplc="D22EB66C">
      <w:start w:val="1"/>
      <w:numFmt w:val="bullet"/>
      <w:lvlText w:val=""/>
      <w:lvlJc w:val="left"/>
      <w:pPr>
        <w:ind w:left="2160" w:hanging="360"/>
      </w:pPr>
      <w:rPr>
        <w:rFonts w:ascii="Wingdings" w:hAnsi="Wingdings" w:hint="default"/>
      </w:rPr>
    </w:lvl>
    <w:lvl w:ilvl="3" w:tplc="F30E244E">
      <w:start w:val="1"/>
      <w:numFmt w:val="bullet"/>
      <w:lvlText w:val=""/>
      <w:lvlJc w:val="left"/>
      <w:pPr>
        <w:ind w:left="2880" w:hanging="360"/>
      </w:pPr>
      <w:rPr>
        <w:rFonts w:ascii="Symbol" w:hAnsi="Symbol" w:hint="default"/>
      </w:rPr>
    </w:lvl>
    <w:lvl w:ilvl="4" w:tplc="38686806">
      <w:start w:val="1"/>
      <w:numFmt w:val="bullet"/>
      <w:lvlText w:val="o"/>
      <w:lvlJc w:val="left"/>
      <w:pPr>
        <w:ind w:left="3600" w:hanging="360"/>
      </w:pPr>
      <w:rPr>
        <w:rFonts w:ascii="Courier New" w:hAnsi="Courier New" w:hint="default"/>
      </w:rPr>
    </w:lvl>
    <w:lvl w:ilvl="5" w:tplc="4308F7A4">
      <w:start w:val="1"/>
      <w:numFmt w:val="bullet"/>
      <w:lvlText w:val=""/>
      <w:lvlJc w:val="left"/>
      <w:pPr>
        <w:ind w:left="4320" w:hanging="360"/>
      </w:pPr>
      <w:rPr>
        <w:rFonts w:ascii="Wingdings" w:hAnsi="Wingdings" w:hint="default"/>
      </w:rPr>
    </w:lvl>
    <w:lvl w:ilvl="6" w:tplc="D0A26A48">
      <w:start w:val="1"/>
      <w:numFmt w:val="bullet"/>
      <w:lvlText w:val=""/>
      <w:lvlJc w:val="left"/>
      <w:pPr>
        <w:ind w:left="5040" w:hanging="360"/>
      </w:pPr>
      <w:rPr>
        <w:rFonts w:ascii="Symbol" w:hAnsi="Symbol" w:hint="default"/>
      </w:rPr>
    </w:lvl>
    <w:lvl w:ilvl="7" w:tplc="B322CA4E">
      <w:start w:val="1"/>
      <w:numFmt w:val="bullet"/>
      <w:lvlText w:val="o"/>
      <w:lvlJc w:val="left"/>
      <w:pPr>
        <w:ind w:left="5760" w:hanging="360"/>
      </w:pPr>
      <w:rPr>
        <w:rFonts w:ascii="Courier New" w:hAnsi="Courier New" w:hint="default"/>
      </w:rPr>
    </w:lvl>
    <w:lvl w:ilvl="8" w:tplc="BE00761E">
      <w:start w:val="1"/>
      <w:numFmt w:val="bullet"/>
      <w:lvlText w:val=""/>
      <w:lvlJc w:val="left"/>
      <w:pPr>
        <w:ind w:left="6480" w:hanging="360"/>
      </w:pPr>
      <w:rPr>
        <w:rFonts w:ascii="Wingdings" w:hAnsi="Wingdings" w:hint="default"/>
      </w:rPr>
    </w:lvl>
  </w:abstractNum>
  <w:abstractNum w:abstractNumId="1" w15:restartNumberingAfterBreak="0">
    <w:nsid w:val="15724B0C"/>
    <w:multiLevelType w:val="hybridMultilevel"/>
    <w:tmpl w:val="C794F1FA"/>
    <w:lvl w:ilvl="0" w:tplc="CE869190">
      <w:start w:val="1"/>
      <w:numFmt w:val="bullet"/>
      <w:lvlText w:val=""/>
      <w:lvlJc w:val="left"/>
      <w:pPr>
        <w:ind w:left="720" w:hanging="360"/>
      </w:pPr>
      <w:rPr>
        <w:rFonts w:ascii="Symbol" w:hAnsi="Symbol" w:hint="default"/>
      </w:rPr>
    </w:lvl>
    <w:lvl w:ilvl="1" w:tplc="C77C905E">
      <w:start w:val="1"/>
      <w:numFmt w:val="bullet"/>
      <w:lvlText w:val="o"/>
      <w:lvlJc w:val="left"/>
      <w:pPr>
        <w:ind w:left="1440" w:hanging="360"/>
      </w:pPr>
      <w:rPr>
        <w:rFonts w:ascii="Courier New" w:hAnsi="Courier New" w:hint="default"/>
      </w:rPr>
    </w:lvl>
    <w:lvl w:ilvl="2" w:tplc="E9EA5720">
      <w:start w:val="1"/>
      <w:numFmt w:val="bullet"/>
      <w:lvlText w:val=""/>
      <w:lvlJc w:val="left"/>
      <w:pPr>
        <w:ind w:left="2160" w:hanging="360"/>
      </w:pPr>
      <w:rPr>
        <w:rFonts w:ascii="Wingdings" w:hAnsi="Wingdings" w:hint="default"/>
      </w:rPr>
    </w:lvl>
    <w:lvl w:ilvl="3" w:tplc="D3447D38">
      <w:start w:val="1"/>
      <w:numFmt w:val="bullet"/>
      <w:lvlText w:val=""/>
      <w:lvlJc w:val="left"/>
      <w:pPr>
        <w:ind w:left="2880" w:hanging="360"/>
      </w:pPr>
      <w:rPr>
        <w:rFonts w:ascii="Symbol" w:hAnsi="Symbol" w:hint="default"/>
      </w:rPr>
    </w:lvl>
    <w:lvl w:ilvl="4" w:tplc="5E36C27C">
      <w:start w:val="1"/>
      <w:numFmt w:val="bullet"/>
      <w:lvlText w:val="o"/>
      <w:lvlJc w:val="left"/>
      <w:pPr>
        <w:ind w:left="3600" w:hanging="360"/>
      </w:pPr>
      <w:rPr>
        <w:rFonts w:ascii="Courier New" w:hAnsi="Courier New" w:hint="default"/>
      </w:rPr>
    </w:lvl>
    <w:lvl w:ilvl="5" w:tplc="A34C4E26">
      <w:start w:val="1"/>
      <w:numFmt w:val="bullet"/>
      <w:lvlText w:val=""/>
      <w:lvlJc w:val="left"/>
      <w:pPr>
        <w:ind w:left="4320" w:hanging="360"/>
      </w:pPr>
      <w:rPr>
        <w:rFonts w:ascii="Wingdings" w:hAnsi="Wingdings" w:hint="default"/>
      </w:rPr>
    </w:lvl>
    <w:lvl w:ilvl="6" w:tplc="69C04120">
      <w:start w:val="1"/>
      <w:numFmt w:val="bullet"/>
      <w:lvlText w:val=""/>
      <w:lvlJc w:val="left"/>
      <w:pPr>
        <w:ind w:left="5040" w:hanging="360"/>
      </w:pPr>
      <w:rPr>
        <w:rFonts w:ascii="Symbol" w:hAnsi="Symbol" w:hint="default"/>
      </w:rPr>
    </w:lvl>
    <w:lvl w:ilvl="7" w:tplc="F33034E0">
      <w:start w:val="1"/>
      <w:numFmt w:val="bullet"/>
      <w:lvlText w:val="o"/>
      <w:lvlJc w:val="left"/>
      <w:pPr>
        <w:ind w:left="5760" w:hanging="360"/>
      </w:pPr>
      <w:rPr>
        <w:rFonts w:ascii="Courier New" w:hAnsi="Courier New" w:hint="default"/>
      </w:rPr>
    </w:lvl>
    <w:lvl w:ilvl="8" w:tplc="004A53EC">
      <w:start w:val="1"/>
      <w:numFmt w:val="bullet"/>
      <w:lvlText w:val=""/>
      <w:lvlJc w:val="left"/>
      <w:pPr>
        <w:ind w:left="6480" w:hanging="360"/>
      </w:pPr>
      <w:rPr>
        <w:rFonts w:ascii="Wingdings" w:hAnsi="Wingdings" w:hint="default"/>
      </w:rPr>
    </w:lvl>
  </w:abstractNum>
  <w:abstractNum w:abstractNumId="2" w15:restartNumberingAfterBreak="0">
    <w:nsid w:val="2DBCAAD9"/>
    <w:multiLevelType w:val="hybridMultilevel"/>
    <w:tmpl w:val="F0C65DA6"/>
    <w:lvl w:ilvl="0" w:tplc="317A96D2">
      <w:start w:val="1"/>
      <w:numFmt w:val="bullet"/>
      <w:lvlText w:val="-"/>
      <w:lvlJc w:val="left"/>
      <w:pPr>
        <w:ind w:left="720" w:hanging="360"/>
      </w:pPr>
      <w:rPr>
        <w:rFonts w:ascii="Aptos" w:hAnsi="Aptos" w:hint="default"/>
      </w:rPr>
    </w:lvl>
    <w:lvl w:ilvl="1" w:tplc="A60CAA3C">
      <w:start w:val="1"/>
      <w:numFmt w:val="bullet"/>
      <w:lvlText w:val="o"/>
      <w:lvlJc w:val="left"/>
      <w:pPr>
        <w:ind w:left="1440" w:hanging="360"/>
      </w:pPr>
      <w:rPr>
        <w:rFonts w:ascii="Courier New" w:hAnsi="Courier New" w:hint="default"/>
      </w:rPr>
    </w:lvl>
    <w:lvl w:ilvl="2" w:tplc="60DC2E34">
      <w:start w:val="1"/>
      <w:numFmt w:val="bullet"/>
      <w:lvlText w:val=""/>
      <w:lvlJc w:val="left"/>
      <w:pPr>
        <w:ind w:left="2160" w:hanging="360"/>
      </w:pPr>
      <w:rPr>
        <w:rFonts w:ascii="Wingdings" w:hAnsi="Wingdings" w:hint="default"/>
      </w:rPr>
    </w:lvl>
    <w:lvl w:ilvl="3" w:tplc="068C9E22">
      <w:start w:val="1"/>
      <w:numFmt w:val="bullet"/>
      <w:lvlText w:val=""/>
      <w:lvlJc w:val="left"/>
      <w:pPr>
        <w:ind w:left="2880" w:hanging="360"/>
      </w:pPr>
      <w:rPr>
        <w:rFonts w:ascii="Symbol" w:hAnsi="Symbol" w:hint="default"/>
      </w:rPr>
    </w:lvl>
    <w:lvl w:ilvl="4" w:tplc="F8103F70">
      <w:start w:val="1"/>
      <w:numFmt w:val="bullet"/>
      <w:lvlText w:val="o"/>
      <w:lvlJc w:val="left"/>
      <w:pPr>
        <w:ind w:left="3600" w:hanging="360"/>
      </w:pPr>
      <w:rPr>
        <w:rFonts w:ascii="Courier New" w:hAnsi="Courier New" w:hint="default"/>
      </w:rPr>
    </w:lvl>
    <w:lvl w:ilvl="5" w:tplc="32624938">
      <w:start w:val="1"/>
      <w:numFmt w:val="bullet"/>
      <w:lvlText w:val=""/>
      <w:lvlJc w:val="left"/>
      <w:pPr>
        <w:ind w:left="4320" w:hanging="360"/>
      </w:pPr>
      <w:rPr>
        <w:rFonts w:ascii="Wingdings" w:hAnsi="Wingdings" w:hint="default"/>
      </w:rPr>
    </w:lvl>
    <w:lvl w:ilvl="6" w:tplc="686C6C24">
      <w:start w:val="1"/>
      <w:numFmt w:val="bullet"/>
      <w:lvlText w:val=""/>
      <w:lvlJc w:val="left"/>
      <w:pPr>
        <w:ind w:left="5040" w:hanging="360"/>
      </w:pPr>
      <w:rPr>
        <w:rFonts w:ascii="Symbol" w:hAnsi="Symbol" w:hint="default"/>
      </w:rPr>
    </w:lvl>
    <w:lvl w:ilvl="7" w:tplc="F7FE4C0A">
      <w:start w:val="1"/>
      <w:numFmt w:val="bullet"/>
      <w:lvlText w:val="o"/>
      <w:lvlJc w:val="left"/>
      <w:pPr>
        <w:ind w:left="5760" w:hanging="360"/>
      </w:pPr>
      <w:rPr>
        <w:rFonts w:ascii="Courier New" w:hAnsi="Courier New" w:hint="default"/>
      </w:rPr>
    </w:lvl>
    <w:lvl w:ilvl="8" w:tplc="B1D84096">
      <w:start w:val="1"/>
      <w:numFmt w:val="bullet"/>
      <w:lvlText w:val=""/>
      <w:lvlJc w:val="left"/>
      <w:pPr>
        <w:ind w:left="6480" w:hanging="360"/>
      </w:pPr>
      <w:rPr>
        <w:rFonts w:ascii="Wingdings" w:hAnsi="Wingdings" w:hint="default"/>
      </w:rPr>
    </w:lvl>
  </w:abstractNum>
  <w:abstractNum w:abstractNumId="3" w15:restartNumberingAfterBreak="0">
    <w:nsid w:val="3534D4D0"/>
    <w:multiLevelType w:val="hybridMultilevel"/>
    <w:tmpl w:val="E5EE6722"/>
    <w:lvl w:ilvl="0" w:tplc="EC204F36">
      <w:start w:val="1"/>
      <w:numFmt w:val="bullet"/>
      <w:lvlText w:val="-"/>
      <w:lvlJc w:val="left"/>
      <w:pPr>
        <w:ind w:left="720" w:hanging="360"/>
      </w:pPr>
      <w:rPr>
        <w:rFonts w:ascii="Aptos" w:hAnsi="Aptos" w:hint="default"/>
      </w:rPr>
    </w:lvl>
    <w:lvl w:ilvl="1" w:tplc="6340270C">
      <w:start w:val="1"/>
      <w:numFmt w:val="bullet"/>
      <w:lvlText w:val="o"/>
      <w:lvlJc w:val="left"/>
      <w:pPr>
        <w:ind w:left="1440" w:hanging="360"/>
      </w:pPr>
      <w:rPr>
        <w:rFonts w:ascii="Courier New" w:hAnsi="Courier New" w:hint="default"/>
      </w:rPr>
    </w:lvl>
    <w:lvl w:ilvl="2" w:tplc="5E881496">
      <w:start w:val="1"/>
      <w:numFmt w:val="bullet"/>
      <w:lvlText w:val=""/>
      <w:lvlJc w:val="left"/>
      <w:pPr>
        <w:ind w:left="2160" w:hanging="360"/>
      </w:pPr>
      <w:rPr>
        <w:rFonts w:ascii="Wingdings" w:hAnsi="Wingdings" w:hint="default"/>
      </w:rPr>
    </w:lvl>
    <w:lvl w:ilvl="3" w:tplc="3BBC19CA">
      <w:start w:val="1"/>
      <w:numFmt w:val="bullet"/>
      <w:lvlText w:val=""/>
      <w:lvlJc w:val="left"/>
      <w:pPr>
        <w:ind w:left="2880" w:hanging="360"/>
      </w:pPr>
      <w:rPr>
        <w:rFonts w:ascii="Symbol" w:hAnsi="Symbol" w:hint="default"/>
      </w:rPr>
    </w:lvl>
    <w:lvl w:ilvl="4" w:tplc="E2A448B8">
      <w:start w:val="1"/>
      <w:numFmt w:val="bullet"/>
      <w:lvlText w:val="o"/>
      <w:lvlJc w:val="left"/>
      <w:pPr>
        <w:ind w:left="3600" w:hanging="360"/>
      </w:pPr>
      <w:rPr>
        <w:rFonts w:ascii="Courier New" w:hAnsi="Courier New" w:hint="default"/>
      </w:rPr>
    </w:lvl>
    <w:lvl w:ilvl="5" w:tplc="191486C8">
      <w:start w:val="1"/>
      <w:numFmt w:val="bullet"/>
      <w:lvlText w:val=""/>
      <w:lvlJc w:val="left"/>
      <w:pPr>
        <w:ind w:left="4320" w:hanging="360"/>
      </w:pPr>
      <w:rPr>
        <w:rFonts w:ascii="Wingdings" w:hAnsi="Wingdings" w:hint="default"/>
      </w:rPr>
    </w:lvl>
    <w:lvl w:ilvl="6" w:tplc="41B4E6F8">
      <w:start w:val="1"/>
      <w:numFmt w:val="bullet"/>
      <w:lvlText w:val=""/>
      <w:lvlJc w:val="left"/>
      <w:pPr>
        <w:ind w:left="5040" w:hanging="360"/>
      </w:pPr>
      <w:rPr>
        <w:rFonts w:ascii="Symbol" w:hAnsi="Symbol" w:hint="default"/>
      </w:rPr>
    </w:lvl>
    <w:lvl w:ilvl="7" w:tplc="6F34AF18">
      <w:start w:val="1"/>
      <w:numFmt w:val="bullet"/>
      <w:lvlText w:val="o"/>
      <w:lvlJc w:val="left"/>
      <w:pPr>
        <w:ind w:left="5760" w:hanging="360"/>
      </w:pPr>
      <w:rPr>
        <w:rFonts w:ascii="Courier New" w:hAnsi="Courier New" w:hint="default"/>
      </w:rPr>
    </w:lvl>
    <w:lvl w:ilvl="8" w:tplc="BE1CCABC">
      <w:start w:val="1"/>
      <w:numFmt w:val="bullet"/>
      <w:lvlText w:val=""/>
      <w:lvlJc w:val="left"/>
      <w:pPr>
        <w:ind w:left="6480" w:hanging="360"/>
      </w:pPr>
      <w:rPr>
        <w:rFonts w:ascii="Wingdings" w:hAnsi="Wingdings" w:hint="default"/>
      </w:rPr>
    </w:lvl>
  </w:abstractNum>
  <w:abstractNum w:abstractNumId="4" w15:restartNumberingAfterBreak="0">
    <w:nsid w:val="3B532448"/>
    <w:multiLevelType w:val="hybridMultilevel"/>
    <w:tmpl w:val="824ADB36"/>
    <w:lvl w:ilvl="0" w:tplc="501A7CFE">
      <w:start w:val="1"/>
      <w:numFmt w:val="bullet"/>
      <w:lvlText w:val="-"/>
      <w:lvlJc w:val="left"/>
      <w:pPr>
        <w:ind w:left="720" w:hanging="360"/>
      </w:pPr>
      <w:rPr>
        <w:rFonts w:ascii="Aptos" w:hAnsi="Aptos" w:hint="default"/>
      </w:rPr>
    </w:lvl>
    <w:lvl w:ilvl="1" w:tplc="ACF6CEAA">
      <w:start w:val="1"/>
      <w:numFmt w:val="bullet"/>
      <w:lvlText w:val="o"/>
      <w:lvlJc w:val="left"/>
      <w:pPr>
        <w:ind w:left="1440" w:hanging="360"/>
      </w:pPr>
      <w:rPr>
        <w:rFonts w:ascii="Courier New" w:hAnsi="Courier New" w:hint="default"/>
      </w:rPr>
    </w:lvl>
    <w:lvl w:ilvl="2" w:tplc="047A273C">
      <w:start w:val="1"/>
      <w:numFmt w:val="bullet"/>
      <w:lvlText w:val=""/>
      <w:lvlJc w:val="left"/>
      <w:pPr>
        <w:ind w:left="2160" w:hanging="360"/>
      </w:pPr>
      <w:rPr>
        <w:rFonts w:ascii="Wingdings" w:hAnsi="Wingdings" w:hint="default"/>
      </w:rPr>
    </w:lvl>
    <w:lvl w:ilvl="3" w:tplc="79448554">
      <w:start w:val="1"/>
      <w:numFmt w:val="bullet"/>
      <w:lvlText w:val=""/>
      <w:lvlJc w:val="left"/>
      <w:pPr>
        <w:ind w:left="2880" w:hanging="360"/>
      </w:pPr>
      <w:rPr>
        <w:rFonts w:ascii="Symbol" w:hAnsi="Symbol" w:hint="default"/>
      </w:rPr>
    </w:lvl>
    <w:lvl w:ilvl="4" w:tplc="89BC7EE4">
      <w:start w:val="1"/>
      <w:numFmt w:val="bullet"/>
      <w:lvlText w:val="o"/>
      <w:lvlJc w:val="left"/>
      <w:pPr>
        <w:ind w:left="3600" w:hanging="360"/>
      </w:pPr>
      <w:rPr>
        <w:rFonts w:ascii="Courier New" w:hAnsi="Courier New" w:hint="default"/>
      </w:rPr>
    </w:lvl>
    <w:lvl w:ilvl="5" w:tplc="8E2490A6">
      <w:start w:val="1"/>
      <w:numFmt w:val="bullet"/>
      <w:lvlText w:val=""/>
      <w:lvlJc w:val="left"/>
      <w:pPr>
        <w:ind w:left="4320" w:hanging="360"/>
      </w:pPr>
      <w:rPr>
        <w:rFonts w:ascii="Wingdings" w:hAnsi="Wingdings" w:hint="default"/>
      </w:rPr>
    </w:lvl>
    <w:lvl w:ilvl="6" w:tplc="A6EC5E66">
      <w:start w:val="1"/>
      <w:numFmt w:val="bullet"/>
      <w:lvlText w:val=""/>
      <w:lvlJc w:val="left"/>
      <w:pPr>
        <w:ind w:left="5040" w:hanging="360"/>
      </w:pPr>
      <w:rPr>
        <w:rFonts w:ascii="Symbol" w:hAnsi="Symbol" w:hint="default"/>
      </w:rPr>
    </w:lvl>
    <w:lvl w:ilvl="7" w:tplc="E1DC792A">
      <w:start w:val="1"/>
      <w:numFmt w:val="bullet"/>
      <w:lvlText w:val="o"/>
      <w:lvlJc w:val="left"/>
      <w:pPr>
        <w:ind w:left="5760" w:hanging="360"/>
      </w:pPr>
      <w:rPr>
        <w:rFonts w:ascii="Courier New" w:hAnsi="Courier New" w:hint="default"/>
      </w:rPr>
    </w:lvl>
    <w:lvl w:ilvl="8" w:tplc="E43088E6">
      <w:start w:val="1"/>
      <w:numFmt w:val="bullet"/>
      <w:lvlText w:val=""/>
      <w:lvlJc w:val="left"/>
      <w:pPr>
        <w:ind w:left="6480" w:hanging="360"/>
      </w:pPr>
      <w:rPr>
        <w:rFonts w:ascii="Wingdings" w:hAnsi="Wingdings" w:hint="default"/>
      </w:rPr>
    </w:lvl>
  </w:abstractNum>
  <w:abstractNum w:abstractNumId="5" w15:restartNumberingAfterBreak="0">
    <w:nsid w:val="564AD11E"/>
    <w:multiLevelType w:val="hybridMultilevel"/>
    <w:tmpl w:val="BAB43A04"/>
    <w:lvl w:ilvl="0" w:tplc="32FC3502">
      <w:start w:val="1"/>
      <w:numFmt w:val="bullet"/>
      <w:lvlText w:val=""/>
      <w:lvlJc w:val="left"/>
      <w:pPr>
        <w:ind w:left="720" w:hanging="360"/>
      </w:pPr>
      <w:rPr>
        <w:rFonts w:ascii="Symbol" w:hAnsi="Symbol" w:hint="default"/>
      </w:rPr>
    </w:lvl>
    <w:lvl w:ilvl="1" w:tplc="F7760C80">
      <w:start w:val="1"/>
      <w:numFmt w:val="bullet"/>
      <w:lvlText w:val="o"/>
      <w:lvlJc w:val="left"/>
      <w:pPr>
        <w:ind w:left="1440" w:hanging="360"/>
      </w:pPr>
      <w:rPr>
        <w:rFonts w:ascii="Courier New" w:hAnsi="Courier New" w:hint="default"/>
      </w:rPr>
    </w:lvl>
    <w:lvl w:ilvl="2" w:tplc="D90410DA">
      <w:start w:val="1"/>
      <w:numFmt w:val="bullet"/>
      <w:lvlText w:val=""/>
      <w:lvlJc w:val="left"/>
      <w:pPr>
        <w:ind w:left="2160" w:hanging="360"/>
      </w:pPr>
      <w:rPr>
        <w:rFonts w:ascii="Wingdings" w:hAnsi="Wingdings" w:hint="default"/>
      </w:rPr>
    </w:lvl>
    <w:lvl w:ilvl="3" w:tplc="D324C6D8">
      <w:start w:val="1"/>
      <w:numFmt w:val="bullet"/>
      <w:lvlText w:val=""/>
      <w:lvlJc w:val="left"/>
      <w:pPr>
        <w:ind w:left="2880" w:hanging="360"/>
      </w:pPr>
      <w:rPr>
        <w:rFonts w:ascii="Symbol" w:hAnsi="Symbol" w:hint="default"/>
      </w:rPr>
    </w:lvl>
    <w:lvl w:ilvl="4" w:tplc="EB6AEAE4">
      <w:start w:val="1"/>
      <w:numFmt w:val="bullet"/>
      <w:lvlText w:val="o"/>
      <w:lvlJc w:val="left"/>
      <w:pPr>
        <w:ind w:left="3600" w:hanging="360"/>
      </w:pPr>
      <w:rPr>
        <w:rFonts w:ascii="Courier New" w:hAnsi="Courier New" w:hint="default"/>
      </w:rPr>
    </w:lvl>
    <w:lvl w:ilvl="5" w:tplc="E2740544">
      <w:start w:val="1"/>
      <w:numFmt w:val="bullet"/>
      <w:lvlText w:val=""/>
      <w:lvlJc w:val="left"/>
      <w:pPr>
        <w:ind w:left="4320" w:hanging="360"/>
      </w:pPr>
      <w:rPr>
        <w:rFonts w:ascii="Wingdings" w:hAnsi="Wingdings" w:hint="default"/>
      </w:rPr>
    </w:lvl>
    <w:lvl w:ilvl="6" w:tplc="63D44FC0">
      <w:start w:val="1"/>
      <w:numFmt w:val="bullet"/>
      <w:lvlText w:val=""/>
      <w:lvlJc w:val="left"/>
      <w:pPr>
        <w:ind w:left="5040" w:hanging="360"/>
      </w:pPr>
      <w:rPr>
        <w:rFonts w:ascii="Symbol" w:hAnsi="Symbol" w:hint="default"/>
      </w:rPr>
    </w:lvl>
    <w:lvl w:ilvl="7" w:tplc="EA24F878">
      <w:start w:val="1"/>
      <w:numFmt w:val="bullet"/>
      <w:lvlText w:val="o"/>
      <w:lvlJc w:val="left"/>
      <w:pPr>
        <w:ind w:left="5760" w:hanging="360"/>
      </w:pPr>
      <w:rPr>
        <w:rFonts w:ascii="Courier New" w:hAnsi="Courier New" w:hint="default"/>
      </w:rPr>
    </w:lvl>
    <w:lvl w:ilvl="8" w:tplc="C4E06208">
      <w:start w:val="1"/>
      <w:numFmt w:val="bullet"/>
      <w:lvlText w:val=""/>
      <w:lvlJc w:val="left"/>
      <w:pPr>
        <w:ind w:left="6480" w:hanging="360"/>
      </w:pPr>
      <w:rPr>
        <w:rFonts w:ascii="Wingdings" w:hAnsi="Wingdings" w:hint="default"/>
      </w:rPr>
    </w:lvl>
  </w:abstractNum>
  <w:abstractNum w:abstractNumId="6" w15:restartNumberingAfterBreak="0">
    <w:nsid w:val="5A246528"/>
    <w:multiLevelType w:val="hybridMultilevel"/>
    <w:tmpl w:val="9AFC4F96"/>
    <w:lvl w:ilvl="0" w:tplc="A1524CD6">
      <w:start w:val="1"/>
      <w:numFmt w:val="bullet"/>
      <w:lvlText w:val=""/>
      <w:lvlJc w:val="left"/>
      <w:pPr>
        <w:ind w:left="720" w:hanging="360"/>
      </w:pPr>
      <w:rPr>
        <w:rFonts w:ascii="Symbol" w:hAnsi="Symbol" w:hint="default"/>
      </w:rPr>
    </w:lvl>
    <w:lvl w:ilvl="1" w:tplc="3842C6C0">
      <w:start w:val="1"/>
      <w:numFmt w:val="bullet"/>
      <w:lvlText w:val="o"/>
      <w:lvlJc w:val="left"/>
      <w:pPr>
        <w:ind w:left="1440" w:hanging="360"/>
      </w:pPr>
      <w:rPr>
        <w:rFonts w:ascii="Courier New" w:hAnsi="Courier New" w:hint="default"/>
      </w:rPr>
    </w:lvl>
    <w:lvl w:ilvl="2" w:tplc="595EEF42">
      <w:start w:val="1"/>
      <w:numFmt w:val="bullet"/>
      <w:lvlText w:val=""/>
      <w:lvlJc w:val="left"/>
      <w:pPr>
        <w:ind w:left="2160" w:hanging="360"/>
      </w:pPr>
      <w:rPr>
        <w:rFonts w:ascii="Wingdings" w:hAnsi="Wingdings" w:hint="default"/>
      </w:rPr>
    </w:lvl>
    <w:lvl w:ilvl="3" w:tplc="7CFA1D9C">
      <w:start w:val="1"/>
      <w:numFmt w:val="bullet"/>
      <w:lvlText w:val=""/>
      <w:lvlJc w:val="left"/>
      <w:pPr>
        <w:ind w:left="2880" w:hanging="360"/>
      </w:pPr>
      <w:rPr>
        <w:rFonts w:ascii="Symbol" w:hAnsi="Symbol" w:hint="default"/>
      </w:rPr>
    </w:lvl>
    <w:lvl w:ilvl="4" w:tplc="622247C2">
      <w:start w:val="1"/>
      <w:numFmt w:val="bullet"/>
      <w:lvlText w:val="o"/>
      <w:lvlJc w:val="left"/>
      <w:pPr>
        <w:ind w:left="3600" w:hanging="360"/>
      </w:pPr>
      <w:rPr>
        <w:rFonts w:ascii="Courier New" w:hAnsi="Courier New" w:hint="default"/>
      </w:rPr>
    </w:lvl>
    <w:lvl w:ilvl="5" w:tplc="72AEDE02">
      <w:start w:val="1"/>
      <w:numFmt w:val="bullet"/>
      <w:lvlText w:val=""/>
      <w:lvlJc w:val="left"/>
      <w:pPr>
        <w:ind w:left="4320" w:hanging="360"/>
      </w:pPr>
      <w:rPr>
        <w:rFonts w:ascii="Wingdings" w:hAnsi="Wingdings" w:hint="default"/>
      </w:rPr>
    </w:lvl>
    <w:lvl w:ilvl="6" w:tplc="87AC60F2">
      <w:start w:val="1"/>
      <w:numFmt w:val="bullet"/>
      <w:lvlText w:val=""/>
      <w:lvlJc w:val="left"/>
      <w:pPr>
        <w:ind w:left="5040" w:hanging="360"/>
      </w:pPr>
      <w:rPr>
        <w:rFonts w:ascii="Symbol" w:hAnsi="Symbol" w:hint="default"/>
      </w:rPr>
    </w:lvl>
    <w:lvl w:ilvl="7" w:tplc="9EA23A02">
      <w:start w:val="1"/>
      <w:numFmt w:val="bullet"/>
      <w:lvlText w:val="o"/>
      <w:lvlJc w:val="left"/>
      <w:pPr>
        <w:ind w:left="5760" w:hanging="360"/>
      </w:pPr>
      <w:rPr>
        <w:rFonts w:ascii="Courier New" w:hAnsi="Courier New" w:hint="default"/>
      </w:rPr>
    </w:lvl>
    <w:lvl w:ilvl="8" w:tplc="D700A622">
      <w:start w:val="1"/>
      <w:numFmt w:val="bullet"/>
      <w:lvlText w:val=""/>
      <w:lvlJc w:val="left"/>
      <w:pPr>
        <w:ind w:left="6480" w:hanging="360"/>
      </w:pPr>
      <w:rPr>
        <w:rFonts w:ascii="Wingdings" w:hAnsi="Wingdings" w:hint="default"/>
      </w:rPr>
    </w:lvl>
  </w:abstractNum>
  <w:abstractNum w:abstractNumId="7" w15:restartNumberingAfterBreak="0">
    <w:nsid w:val="5C173AAB"/>
    <w:multiLevelType w:val="hybridMultilevel"/>
    <w:tmpl w:val="6708085E"/>
    <w:lvl w:ilvl="0" w:tplc="436E3164">
      <w:start w:val="1"/>
      <w:numFmt w:val="bullet"/>
      <w:lvlText w:val=""/>
      <w:lvlJc w:val="left"/>
      <w:pPr>
        <w:ind w:left="720" w:hanging="360"/>
      </w:pPr>
      <w:rPr>
        <w:rFonts w:ascii="Symbol" w:hAnsi="Symbol" w:hint="default"/>
      </w:rPr>
    </w:lvl>
    <w:lvl w:ilvl="1" w:tplc="53902B84">
      <w:start w:val="1"/>
      <w:numFmt w:val="bullet"/>
      <w:lvlText w:val="o"/>
      <w:lvlJc w:val="left"/>
      <w:pPr>
        <w:ind w:left="1440" w:hanging="360"/>
      </w:pPr>
      <w:rPr>
        <w:rFonts w:ascii="Courier New" w:hAnsi="Courier New" w:hint="default"/>
      </w:rPr>
    </w:lvl>
    <w:lvl w:ilvl="2" w:tplc="DB5CF6C6">
      <w:start w:val="1"/>
      <w:numFmt w:val="bullet"/>
      <w:lvlText w:val=""/>
      <w:lvlJc w:val="left"/>
      <w:pPr>
        <w:ind w:left="2160" w:hanging="360"/>
      </w:pPr>
      <w:rPr>
        <w:rFonts w:ascii="Wingdings" w:hAnsi="Wingdings" w:hint="default"/>
      </w:rPr>
    </w:lvl>
    <w:lvl w:ilvl="3" w:tplc="D6007530">
      <w:start w:val="1"/>
      <w:numFmt w:val="bullet"/>
      <w:lvlText w:val=""/>
      <w:lvlJc w:val="left"/>
      <w:pPr>
        <w:ind w:left="2880" w:hanging="360"/>
      </w:pPr>
      <w:rPr>
        <w:rFonts w:ascii="Symbol" w:hAnsi="Symbol" w:hint="default"/>
      </w:rPr>
    </w:lvl>
    <w:lvl w:ilvl="4" w:tplc="2252FBD8">
      <w:start w:val="1"/>
      <w:numFmt w:val="bullet"/>
      <w:lvlText w:val="o"/>
      <w:lvlJc w:val="left"/>
      <w:pPr>
        <w:ind w:left="3600" w:hanging="360"/>
      </w:pPr>
      <w:rPr>
        <w:rFonts w:ascii="Courier New" w:hAnsi="Courier New" w:hint="default"/>
      </w:rPr>
    </w:lvl>
    <w:lvl w:ilvl="5" w:tplc="4134C346">
      <w:start w:val="1"/>
      <w:numFmt w:val="bullet"/>
      <w:lvlText w:val=""/>
      <w:lvlJc w:val="left"/>
      <w:pPr>
        <w:ind w:left="4320" w:hanging="360"/>
      </w:pPr>
      <w:rPr>
        <w:rFonts w:ascii="Wingdings" w:hAnsi="Wingdings" w:hint="default"/>
      </w:rPr>
    </w:lvl>
    <w:lvl w:ilvl="6" w:tplc="DA9ABE2A">
      <w:start w:val="1"/>
      <w:numFmt w:val="bullet"/>
      <w:lvlText w:val=""/>
      <w:lvlJc w:val="left"/>
      <w:pPr>
        <w:ind w:left="5040" w:hanging="360"/>
      </w:pPr>
      <w:rPr>
        <w:rFonts w:ascii="Symbol" w:hAnsi="Symbol" w:hint="default"/>
      </w:rPr>
    </w:lvl>
    <w:lvl w:ilvl="7" w:tplc="FC4EC96E">
      <w:start w:val="1"/>
      <w:numFmt w:val="bullet"/>
      <w:lvlText w:val="o"/>
      <w:lvlJc w:val="left"/>
      <w:pPr>
        <w:ind w:left="5760" w:hanging="360"/>
      </w:pPr>
      <w:rPr>
        <w:rFonts w:ascii="Courier New" w:hAnsi="Courier New" w:hint="default"/>
      </w:rPr>
    </w:lvl>
    <w:lvl w:ilvl="8" w:tplc="026652E0">
      <w:start w:val="1"/>
      <w:numFmt w:val="bullet"/>
      <w:lvlText w:val=""/>
      <w:lvlJc w:val="left"/>
      <w:pPr>
        <w:ind w:left="6480" w:hanging="360"/>
      </w:pPr>
      <w:rPr>
        <w:rFonts w:ascii="Wingdings" w:hAnsi="Wingdings" w:hint="default"/>
      </w:rPr>
    </w:lvl>
  </w:abstractNum>
  <w:abstractNum w:abstractNumId="8" w15:restartNumberingAfterBreak="0">
    <w:nsid w:val="655B5A3B"/>
    <w:multiLevelType w:val="hybridMultilevel"/>
    <w:tmpl w:val="68E23784"/>
    <w:lvl w:ilvl="0" w:tplc="26BECBE4">
      <w:start w:val="1"/>
      <w:numFmt w:val="bullet"/>
      <w:lvlText w:val=""/>
      <w:lvlJc w:val="left"/>
      <w:pPr>
        <w:ind w:left="720" w:hanging="360"/>
      </w:pPr>
      <w:rPr>
        <w:rFonts w:ascii="Symbol" w:hAnsi="Symbol" w:hint="default"/>
      </w:rPr>
    </w:lvl>
    <w:lvl w:ilvl="1" w:tplc="7D8CCB98">
      <w:start w:val="1"/>
      <w:numFmt w:val="bullet"/>
      <w:lvlText w:val="o"/>
      <w:lvlJc w:val="left"/>
      <w:pPr>
        <w:ind w:left="1440" w:hanging="360"/>
      </w:pPr>
      <w:rPr>
        <w:rFonts w:ascii="Courier New" w:hAnsi="Courier New" w:hint="default"/>
      </w:rPr>
    </w:lvl>
    <w:lvl w:ilvl="2" w:tplc="3A7888E0">
      <w:start w:val="1"/>
      <w:numFmt w:val="bullet"/>
      <w:lvlText w:val=""/>
      <w:lvlJc w:val="left"/>
      <w:pPr>
        <w:ind w:left="2160" w:hanging="360"/>
      </w:pPr>
      <w:rPr>
        <w:rFonts w:ascii="Wingdings" w:hAnsi="Wingdings" w:hint="default"/>
      </w:rPr>
    </w:lvl>
    <w:lvl w:ilvl="3" w:tplc="754E8C24">
      <w:start w:val="1"/>
      <w:numFmt w:val="bullet"/>
      <w:lvlText w:val=""/>
      <w:lvlJc w:val="left"/>
      <w:pPr>
        <w:ind w:left="2880" w:hanging="360"/>
      </w:pPr>
      <w:rPr>
        <w:rFonts w:ascii="Symbol" w:hAnsi="Symbol" w:hint="default"/>
      </w:rPr>
    </w:lvl>
    <w:lvl w:ilvl="4" w:tplc="CAE06CEA">
      <w:start w:val="1"/>
      <w:numFmt w:val="bullet"/>
      <w:lvlText w:val="o"/>
      <w:lvlJc w:val="left"/>
      <w:pPr>
        <w:ind w:left="3600" w:hanging="360"/>
      </w:pPr>
      <w:rPr>
        <w:rFonts w:ascii="Courier New" w:hAnsi="Courier New" w:hint="default"/>
      </w:rPr>
    </w:lvl>
    <w:lvl w:ilvl="5" w:tplc="AA122310">
      <w:start w:val="1"/>
      <w:numFmt w:val="bullet"/>
      <w:lvlText w:val=""/>
      <w:lvlJc w:val="left"/>
      <w:pPr>
        <w:ind w:left="4320" w:hanging="360"/>
      </w:pPr>
      <w:rPr>
        <w:rFonts w:ascii="Wingdings" w:hAnsi="Wingdings" w:hint="default"/>
      </w:rPr>
    </w:lvl>
    <w:lvl w:ilvl="6" w:tplc="A8766588">
      <w:start w:val="1"/>
      <w:numFmt w:val="bullet"/>
      <w:lvlText w:val=""/>
      <w:lvlJc w:val="left"/>
      <w:pPr>
        <w:ind w:left="5040" w:hanging="360"/>
      </w:pPr>
      <w:rPr>
        <w:rFonts w:ascii="Symbol" w:hAnsi="Symbol" w:hint="default"/>
      </w:rPr>
    </w:lvl>
    <w:lvl w:ilvl="7" w:tplc="823231CE">
      <w:start w:val="1"/>
      <w:numFmt w:val="bullet"/>
      <w:lvlText w:val="o"/>
      <w:lvlJc w:val="left"/>
      <w:pPr>
        <w:ind w:left="5760" w:hanging="360"/>
      </w:pPr>
      <w:rPr>
        <w:rFonts w:ascii="Courier New" w:hAnsi="Courier New" w:hint="default"/>
      </w:rPr>
    </w:lvl>
    <w:lvl w:ilvl="8" w:tplc="0F8482EE">
      <w:start w:val="1"/>
      <w:numFmt w:val="bullet"/>
      <w:lvlText w:val=""/>
      <w:lvlJc w:val="left"/>
      <w:pPr>
        <w:ind w:left="6480" w:hanging="360"/>
      </w:pPr>
      <w:rPr>
        <w:rFonts w:ascii="Wingdings" w:hAnsi="Wingdings" w:hint="default"/>
      </w:rPr>
    </w:lvl>
  </w:abstractNum>
  <w:abstractNum w:abstractNumId="9" w15:restartNumberingAfterBreak="0">
    <w:nsid w:val="75E9E02F"/>
    <w:multiLevelType w:val="hybridMultilevel"/>
    <w:tmpl w:val="BFC0A34A"/>
    <w:lvl w:ilvl="0" w:tplc="BDDC3DF8">
      <w:start w:val="1"/>
      <w:numFmt w:val="bullet"/>
      <w:lvlText w:val=""/>
      <w:lvlJc w:val="left"/>
      <w:pPr>
        <w:ind w:left="720" w:hanging="360"/>
      </w:pPr>
      <w:rPr>
        <w:rFonts w:ascii="Symbol" w:hAnsi="Symbol" w:hint="default"/>
      </w:rPr>
    </w:lvl>
    <w:lvl w:ilvl="1" w:tplc="AF746986">
      <w:start w:val="1"/>
      <w:numFmt w:val="bullet"/>
      <w:lvlText w:val="o"/>
      <w:lvlJc w:val="left"/>
      <w:pPr>
        <w:ind w:left="1440" w:hanging="360"/>
      </w:pPr>
      <w:rPr>
        <w:rFonts w:ascii="Courier New" w:hAnsi="Courier New" w:hint="default"/>
      </w:rPr>
    </w:lvl>
    <w:lvl w:ilvl="2" w:tplc="C70EFB38">
      <w:start w:val="1"/>
      <w:numFmt w:val="bullet"/>
      <w:lvlText w:val=""/>
      <w:lvlJc w:val="left"/>
      <w:pPr>
        <w:ind w:left="2160" w:hanging="360"/>
      </w:pPr>
      <w:rPr>
        <w:rFonts w:ascii="Wingdings" w:hAnsi="Wingdings" w:hint="default"/>
      </w:rPr>
    </w:lvl>
    <w:lvl w:ilvl="3" w:tplc="266099A4">
      <w:start w:val="1"/>
      <w:numFmt w:val="bullet"/>
      <w:lvlText w:val=""/>
      <w:lvlJc w:val="left"/>
      <w:pPr>
        <w:ind w:left="2880" w:hanging="360"/>
      </w:pPr>
      <w:rPr>
        <w:rFonts w:ascii="Symbol" w:hAnsi="Symbol" w:hint="default"/>
      </w:rPr>
    </w:lvl>
    <w:lvl w:ilvl="4" w:tplc="C8D63484">
      <w:start w:val="1"/>
      <w:numFmt w:val="bullet"/>
      <w:lvlText w:val="o"/>
      <w:lvlJc w:val="left"/>
      <w:pPr>
        <w:ind w:left="3600" w:hanging="360"/>
      </w:pPr>
      <w:rPr>
        <w:rFonts w:ascii="Courier New" w:hAnsi="Courier New" w:hint="default"/>
      </w:rPr>
    </w:lvl>
    <w:lvl w:ilvl="5" w:tplc="118454F8">
      <w:start w:val="1"/>
      <w:numFmt w:val="bullet"/>
      <w:lvlText w:val=""/>
      <w:lvlJc w:val="left"/>
      <w:pPr>
        <w:ind w:left="4320" w:hanging="360"/>
      </w:pPr>
      <w:rPr>
        <w:rFonts w:ascii="Wingdings" w:hAnsi="Wingdings" w:hint="default"/>
      </w:rPr>
    </w:lvl>
    <w:lvl w:ilvl="6" w:tplc="00D8A804">
      <w:start w:val="1"/>
      <w:numFmt w:val="bullet"/>
      <w:lvlText w:val=""/>
      <w:lvlJc w:val="left"/>
      <w:pPr>
        <w:ind w:left="5040" w:hanging="360"/>
      </w:pPr>
      <w:rPr>
        <w:rFonts w:ascii="Symbol" w:hAnsi="Symbol" w:hint="default"/>
      </w:rPr>
    </w:lvl>
    <w:lvl w:ilvl="7" w:tplc="16E46D2C">
      <w:start w:val="1"/>
      <w:numFmt w:val="bullet"/>
      <w:lvlText w:val="o"/>
      <w:lvlJc w:val="left"/>
      <w:pPr>
        <w:ind w:left="5760" w:hanging="360"/>
      </w:pPr>
      <w:rPr>
        <w:rFonts w:ascii="Courier New" w:hAnsi="Courier New" w:hint="default"/>
      </w:rPr>
    </w:lvl>
    <w:lvl w:ilvl="8" w:tplc="CC348E0A">
      <w:start w:val="1"/>
      <w:numFmt w:val="bullet"/>
      <w:lvlText w:val=""/>
      <w:lvlJc w:val="left"/>
      <w:pPr>
        <w:ind w:left="6480" w:hanging="360"/>
      </w:pPr>
      <w:rPr>
        <w:rFonts w:ascii="Wingdings" w:hAnsi="Wingdings" w:hint="default"/>
      </w:rPr>
    </w:lvl>
  </w:abstractNum>
  <w:num w:numId="1" w16cid:durableId="944338183">
    <w:abstractNumId w:val="1"/>
  </w:num>
  <w:num w:numId="2" w16cid:durableId="1351642624">
    <w:abstractNumId w:val="4"/>
  </w:num>
  <w:num w:numId="3" w16cid:durableId="906066788">
    <w:abstractNumId w:val="8"/>
  </w:num>
  <w:num w:numId="4" w16cid:durableId="377360225">
    <w:abstractNumId w:val="2"/>
  </w:num>
  <w:num w:numId="5" w16cid:durableId="493879808">
    <w:abstractNumId w:val="0"/>
  </w:num>
  <w:num w:numId="6" w16cid:durableId="896358242">
    <w:abstractNumId w:val="6"/>
  </w:num>
  <w:num w:numId="7" w16cid:durableId="1650667981">
    <w:abstractNumId w:val="5"/>
  </w:num>
  <w:num w:numId="8" w16cid:durableId="942693136">
    <w:abstractNumId w:val="3"/>
  </w:num>
  <w:num w:numId="9" w16cid:durableId="1705517989">
    <w:abstractNumId w:val="9"/>
  </w:num>
  <w:num w:numId="10" w16cid:durableId="10165379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urger O'Connor, Lauren">
    <w15:presenceInfo w15:providerId="AD" w15:userId="S::lburger@strategy.com::deb495d9-dbc3-464e-9b9b-5f13543f18cf"/>
  </w15:person>
  <w15:person w15:author="Ratanpal, Tanmay">
    <w15:presenceInfo w15:providerId="AD" w15:userId="S::tratanpal@strategy.com::865e8aff-7c95-4799-805f-bb2ffc91b17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0D5BAE"/>
    <w:rsid w:val="0015B2E0"/>
    <w:rsid w:val="00230417"/>
    <w:rsid w:val="00256841"/>
    <w:rsid w:val="003A7029"/>
    <w:rsid w:val="00647D2F"/>
    <w:rsid w:val="006C4656"/>
    <w:rsid w:val="00D343E1"/>
    <w:rsid w:val="00ED04D0"/>
    <w:rsid w:val="0113D2FC"/>
    <w:rsid w:val="017ECEE9"/>
    <w:rsid w:val="01904B33"/>
    <w:rsid w:val="02128937"/>
    <w:rsid w:val="02BCD8E0"/>
    <w:rsid w:val="02F9F7BF"/>
    <w:rsid w:val="03322DE2"/>
    <w:rsid w:val="033E7458"/>
    <w:rsid w:val="03948714"/>
    <w:rsid w:val="0404B7B4"/>
    <w:rsid w:val="04618FE5"/>
    <w:rsid w:val="049C4131"/>
    <w:rsid w:val="04A24516"/>
    <w:rsid w:val="0504CF48"/>
    <w:rsid w:val="0513F189"/>
    <w:rsid w:val="0555A8FC"/>
    <w:rsid w:val="05A51A61"/>
    <w:rsid w:val="05D95EDD"/>
    <w:rsid w:val="06A50CE3"/>
    <w:rsid w:val="06C26BF5"/>
    <w:rsid w:val="06D5E3CE"/>
    <w:rsid w:val="070A4741"/>
    <w:rsid w:val="071C984C"/>
    <w:rsid w:val="07364EEF"/>
    <w:rsid w:val="07CF7C84"/>
    <w:rsid w:val="086BCE1C"/>
    <w:rsid w:val="086D7D87"/>
    <w:rsid w:val="08A253FF"/>
    <w:rsid w:val="08F0529E"/>
    <w:rsid w:val="097D854C"/>
    <w:rsid w:val="09FD5FF1"/>
    <w:rsid w:val="0A6809DF"/>
    <w:rsid w:val="0B032690"/>
    <w:rsid w:val="0B592396"/>
    <w:rsid w:val="0C07F02B"/>
    <w:rsid w:val="0C169C14"/>
    <w:rsid w:val="0C427CAB"/>
    <w:rsid w:val="0CC50F57"/>
    <w:rsid w:val="0D03A1A0"/>
    <w:rsid w:val="0D2A0753"/>
    <w:rsid w:val="0D5FFB03"/>
    <w:rsid w:val="0D70BE62"/>
    <w:rsid w:val="0D97EA1F"/>
    <w:rsid w:val="0DAD20F5"/>
    <w:rsid w:val="0DE95535"/>
    <w:rsid w:val="0E0FC519"/>
    <w:rsid w:val="0E4D362B"/>
    <w:rsid w:val="0EE9405F"/>
    <w:rsid w:val="0F06E1A5"/>
    <w:rsid w:val="0F34A441"/>
    <w:rsid w:val="0FADC35B"/>
    <w:rsid w:val="0FAFD765"/>
    <w:rsid w:val="0FC82735"/>
    <w:rsid w:val="0FD53ADF"/>
    <w:rsid w:val="0FE6D5A5"/>
    <w:rsid w:val="1001ADB8"/>
    <w:rsid w:val="1029049B"/>
    <w:rsid w:val="10485A67"/>
    <w:rsid w:val="1098A116"/>
    <w:rsid w:val="113A15D4"/>
    <w:rsid w:val="1148CBE8"/>
    <w:rsid w:val="116F4D4D"/>
    <w:rsid w:val="1182A5A2"/>
    <w:rsid w:val="11AD2101"/>
    <w:rsid w:val="121503D2"/>
    <w:rsid w:val="12658906"/>
    <w:rsid w:val="1296365F"/>
    <w:rsid w:val="12A2E585"/>
    <w:rsid w:val="12C08340"/>
    <w:rsid w:val="1340039D"/>
    <w:rsid w:val="13B4DCCA"/>
    <w:rsid w:val="140FE7FD"/>
    <w:rsid w:val="14C5869A"/>
    <w:rsid w:val="14D83E33"/>
    <w:rsid w:val="15249399"/>
    <w:rsid w:val="154C32ED"/>
    <w:rsid w:val="155E3DA9"/>
    <w:rsid w:val="15663FEE"/>
    <w:rsid w:val="15744286"/>
    <w:rsid w:val="15985152"/>
    <w:rsid w:val="15D6966B"/>
    <w:rsid w:val="15DFF8AC"/>
    <w:rsid w:val="16308856"/>
    <w:rsid w:val="16763671"/>
    <w:rsid w:val="16E86743"/>
    <w:rsid w:val="1807076C"/>
    <w:rsid w:val="184E68AC"/>
    <w:rsid w:val="1867A1D5"/>
    <w:rsid w:val="18DA8D6E"/>
    <w:rsid w:val="18FC93F9"/>
    <w:rsid w:val="190D5BAE"/>
    <w:rsid w:val="191D047A"/>
    <w:rsid w:val="194C112C"/>
    <w:rsid w:val="196AAADE"/>
    <w:rsid w:val="198AC7F6"/>
    <w:rsid w:val="19E20FA1"/>
    <w:rsid w:val="1A0CD88C"/>
    <w:rsid w:val="1ACC4A80"/>
    <w:rsid w:val="1ADE291D"/>
    <w:rsid w:val="1B04BD34"/>
    <w:rsid w:val="1B3B94EA"/>
    <w:rsid w:val="1B4729D8"/>
    <w:rsid w:val="1B4CA6F3"/>
    <w:rsid w:val="1BB837DB"/>
    <w:rsid w:val="1BD5FE50"/>
    <w:rsid w:val="1C74CFC6"/>
    <w:rsid w:val="1CA4A8A4"/>
    <w:rsid w:val="1CF3E646"/>
    <w:rsid w:val="1CF6EE06"/>
    <w:rsid w:val="1D22A528"/>
    <w:rsid w:val="1DFCB480"/>
    <w:rsid w:val="1F842BF7"/>
    <w:rsid w:val="1F8B78F5"/>
    <w:rsid w:val="1FCDB44D"/>
    <w:rsid w:val="1FE7201C"/>
    <w:rsid w:val="200724CD"/>
    <w:rsid w:val="201E11F2"/>
    <w:rsid w:val="2054A201"/>
    <w:rsid w:val="2068909B"/>
    <w:rsid w:val="20824F3B"/>
    <w:rsid w:val="21004D31"/>
    <w:rsid w:val="2117AC32"/>
    <w:rsid w:val="218AE88A"/>
    <w:rsid w:val="21D806AE"/>
    <w:rsid w:val="226212F6"/>
    <w:rsid w:val="22C6C622"/>
    <w:rsid w:val="22D26919"/>
    <w:rsid w:val="23737E36"/>
    <w:rsid w:val="23775B02"/>
    <w:rsid w:val="23D3E676"/>
    <w:rsid w:val="23D7E7C4"/>
    <w:rsid w:val="23F4A736"/>
    <w:rsid w:val="2404DE7C"/>
    <w:rsid w:val="244B1800"/>
    <w:rsid w:val="2475FDC2"/>
    <w:rsid w:val="2477D81A"/>
    <w:rsid w:val="2533FCA4"/>
    <w:rsid w:val="25355C18"/>
    <w:rsid w:val="256FDFE8"/>
    <w:rsid w:val="2607E891"/>
    <w:rsid w:val="260D6105"/>
    <w:rsid w:val="26728C51"/>
    <w:rsid w:val="267ACD30"/>
    <w:rsid w:val="26A86472"/>
    <w:rsid w:val="278AA2AB"/>
    <w:rsid w:val="279801A4"/>
    <w:rsid w:val="28BD3958"/>
    <w:rsid w:val="29BB027F"/>
    <w:rsid w:val="2A1298AE"/>
    <w:rsid w:val="2A223236"/>
    <w:rsid w:val="2A83BA57"/>
    <w:rsid w:val="2B829089"/>
    <w:rsid w:val="2C2167B0"/>
    <w:rsid w:val="2C4E9220"/>
    <w:rsid w:val="2DC00B09"/>
    <w:rsid w:val="2E19E7F2"/>
    <w:rsid w:val="2E2BD213"/>
    <w:rsid w:val="2E3191B2"/>
    <w:rsid w:val="2E59C198"/>
    <w:rsid w:val="2E7CD46E"/>
    <w:rsid w:val="2E90EF7D"/>
    <w:rsid w:val="2ECDACCC"/>
    <w:rsid w:val="2EE20B58"/>
    <w:rsid w:val="2F3292FB"/>
    <w:rsid w:val="2FEF93AF"/>
    <w:rsid w:val="2FF5E027"/>
    <w:rsid w:val="302CF0FF"/>
    <w:rsid w:val="308D3F3B"/>
    <w:rsid w:val="3138B271"/>
    <w:rsid w:val="31953A07"/>
    <w:rsid w:val="31A31F3B"/>
    <w:rsid w:val="32A815BC"/>
    <w:rsid w:val="3301EC0B"/>
    <w:rsid w:val="3303E09E"/>
    <w:rsid w:val="331B4CC3"/>
    <w:rsid w:val="333B0DE4"/>
    <w:rsid w:val="335FF579"/>
    <w:rsid w:val="33621FD7"/>
    <w:rsid w:val="33901416"/>
    <w:rsid w:val="33D11BB8"/>
    <w:rsid w:val="34A029FB"/>
    <w:rsid w:val="34C8EB86"/>
    <w:rsid w:val="352C5ED9"/>
    <w:rsid w:val="352F6D8E"/>
    <w:rsid w:val="353156C2"/>
    <w:rsid w:val="35BB3B90"/>
    <w:rsid w:val="36593880"/>
    <w:rsid w:val="36CAF86E"/>
    <w:rsid w:val="36EFC5E9"/>
    <w:rsid w:val="374D0031"/>
    <w:rsid w:val="37A79F2C"/>
    <w:rsid w:val="37AF7243"/>
    <w:rsid w:val="37F59B5D"/>
    <w:rsid w:val="38124115"/>
    <w:rsid w:val="38465C51"/>
    <w:rsid w:val="387306EB"/>
    <w:rsid w:val="38B112E9"/>
    <w:rsid w:val="3938DD1A"/>
    <w:rsid w:val="39CB4B46"/>
    <w:rsid w:val="39DAF180"/>
    <w:rsid w:val="3A5EC926"/>
    <w:rsid w:val="3A611986"/>
    <w:rsid w:val="3A83AEB5"/>
    <w:rsid w:val="3A966C87"/>
    <w:rsid w:val="3B41FE44"/>
    <w:rsid w:val="3BF1FB8A"/>
    <w:rsid w:val="3BFC5F40"/>
    <w:rsid w:val="3C105C0E"/>
    <w:rsid w:val="3C968B9C"/>
    <w:rsid w:val="3CCE5DAC"/>
    <w:rsid w:val="3CD3A60D"/>
    <w:rsid w:val="3CD62460"/>
    <w:rsid w:val="3DBDEB2A"/>
    <w:rsid w:val="3E3680C4"/>
    <w:rsid w:val="3E6C7FE0"/>
    <w:rsid w:val="3E7E4D6E"/>
    <w:rsid w:val="3F48EB4C"/>
    <w:rsid w:val="3F597696"/>
    <w:rsid w:val="3F8A4AE6"/>
    <w:rsid w:val="3FB266DD"/>
    <w:rsid w:val="3FF46C29"/>
    <w:rsid w:val="40C48002"/>
    <w:rsid w:val="40D58B67"/>
    <w:rsid w:val="40D6E69F"/>
    <w:rsid w:val="4124A621"/>
    <w:rsid w:val="4147A01B"/>
    <w:rsid w:val="4240D870"/>
    <w:rsid w:val="42AE2E81"/>
    <w:rsid w:val="42D042CE"/>
    <w:rsid w:val="42D1DA25"/>
    <w:rsid w:val="42D76EF5"/>
    <w:rsid w:val="433324FF"/>
    <w:rsid w:val="4371E0E4"/>
    <w:rsid w:val="43BA0B2C"/>
    <w:rsid w:val="43C225BE"/>
    <w:rsid w:val="44BA96D4"/>
    <w:rsid w:val="44EA4C6B"/>
    <w:rsid w:val="458286D9"/>
    <w:rsid w:val="45A5AD54"/>
    <w:rsid w:val="4670B6B9"/>
    <w:rsid w:val="46932779"/>
    <w:rsid w:val="470E3D49"/>
    <w:rsid w:val="47663556"/>
    <w:rsid w:val="47B5FDAE"/>
    <w:rsid w:val="486485AE"/>
    <w:rsid w:val="486EBC7B"/>
    <w:rsid w:val="48B4C738"/>
    <w:rsid w:val="4905BDD8"/>
    <w:rsid w:val="4983954B"/>
    <w:rsid w:val="49A247F5"/>
    <w:rsid w:val="4A91495A"/>
    <w:rsid w:val="4AA0FAC1"/>
    <w:rsid w:val="4ABACBB7"/>
    <w:rsid w:val="4B262403"/>
    <w:rsid w:val="4BE1DA57"/>
    <w:rsid w:val="4CBF1C02"/>
    <w:rsid w:val="4D093436"/>
    <w:rsid w:val="4D1B54A2"/>
    <w:rsid w:val="4D2AF4C9"/>
    <w:rsid w:val="4DA09D59"/>
    <w:rsid w:val="4E4C48C1"/>
    <w:rsid w:val="4EB7BCBD"/>
    <w:rsid w:val="4F0D06D3"/>
    <w:rsid w:val="4F130352"/>
    <w:rsid w:val="4F1A27DF"/>
    <w:rsid w:val="4F293E4E"/>
    <w:rsid w:val="4F82942B"/>
    <w:rsid w:val="501AB04C"/>
    <w:rsid w:val="509AD6C7"/>
    <w:rsid w:val="50BA8B0F"/>
    <w:rsid w:val="5129280E"/>
    <w:rsid w:val="5136F50B"/>
    <w:rsid w:val="519A8F1F"/>
    <w:rsid w:val="51AD7141"/>
    <w:rsid w:val="51AEA250"/>
    <w:rsid w:val="51DA088C"/>
    <w:rsid w:val="52055D78"/>
    <w:rsid w:val="5261D15A"/>
    <w:rsid w:val="52AEE560"/>
    <w:rsid w:val="52AFD917"/>
    <w:rsid w:val="52D3BD3E"/>
    <w:rsid w:val="532B3DF6"/>
    <w:rsid w:val="5332487D"/>
    <w:rsid w:val="5339AD27"/>
    <w:rsid w:val="5371BB6B"/>
    <w:rsid w:val="53A2D021"/>
    <w:rsid w:val="54220419"/>
    <w:rsid w:val="543F4541"/>
    <w:rsid w:val="54687DA1"/>
    <w:rsid w:val="5491AC5C"/>
    <w:rsid w:val="54967B65"/>
    <w:rsid w:val="553EB8BA"/>
    <w:rsid w:val="55B49A29"/>
    <w:rsid w:val="55D1293C"/>
    <w:rsid w:val="55F9837B"/>
    <w:rsid w:val="563A6F63"/>
    <w:rsid w:val="568D943D"/>
    <w:rsid w:val="56D1146F"/>
    <w:rsid w:val="5750BEB2"/>
    <w:rsid w:val="576EA6CB"/>
    <w:rsid w:val="581C4044"/>
    <w:rsid w:val="582B23C5"/>
    <w:rsid w:val="596AF39E"/>
    <w:rsid w:val="59A29D4C"/>
    <w:rsid w:val="5AABC06F"/>
    <w:rsid w:val="5B2ACCA6"/>
    <w:rsid w:val="5B2BA8DA"/>
    <w:rsid w:val="5B679E93"/>
    <w:rsid w:val="5BC2A7C1"/>
    <w:rsid w:val="5BEB8D86"/>
    <w:rsid w:val="5BF4D1D2"/>
    <w:rsid w:val="5C0DC6EA"/>
    <w:rsid w:val="5C46AB79"/>
    <w:rsid w:val="5C516416"/>
    <w:rsid w:val="5C558B00"/>
    <w:rsid w:val="5C56F61B"/>
    <w:rsid w:val="5C5CF758"/>
    <w:rsid w:val="5C701046"/>
    <w:rsid w:val="5CB1E027"/>
    <w:rsid w:val="5D31CBD1"/>
    <w:rsid w:val="5D783038"/>
    <w:rsid w:val="5DCFE22A"/>
    <w:rsid w:val="5E0D99E4"/>
    <w:rsid w:val="5EA2B545"/>
    <w:rsid w:val="5EBD9681"/>
    <w:rsid w:val="5F134922"/>
    <w:rsid w:val="5F165C00"/>
    <w:rsid w:val="5F2D2FA7"/>
    <w:rsid w:val="5FCF9FD0"/>
    <w:rsid w:val="6017A17F"/>
    <w:rsid w:val="601D8190"/>
    <w:rsid w:val="60976A98"/>
    <w:rsid w:val="60B17E44"/>
    <w:rsid w:val="60E2BC78"/>
    <w:rsid w:val="6119E5DA"/>
    <w:rsid w:val="6132753F"/>
    <w:rsid w:val="614B1615"/>
    <w:rsid w:val="61A3D028"/>
    <w:rsid w:val="61F97195"/>
    <w:rsid w:val="6295C9A1"/>
    <w:rsid w:val="62A625AF"/>
    <w:rsid w:val="62C8E495"/>
    <w:rsid w:val="634AF442"/>
    <w:rsid w:val="637F542E"/>
    <w:rsid w:val="63A9288E"/>
    <w:rsid w:val="63B3907D"/>
    <w:rsid w:val="65E4CA74"/>
    <w:rsid w:val="66B1365B"/>
    <w:rsid w:val="66F5402D"/>
    <w:rsid w:val="6703546B"/>
    <w:rsid w:val="67563F10"/>
    <w:rsid w:val="67F7E288"/>
    <w:rsid w:val="682120BE"/>
    <w:rsid w:val="6835A081"/>
    <w:rsid w:val="68416378"/>
    <w:rsid w:val="685F23B7"/>
    <w:rsid w:val="68A991C3"/>
    <w:rsid w:val="68DA308D"/>
    <w:rsid w:val="693866C5"/>
    <w:rsid w:val="6A54ABA8"/>
    <w:rsid w:val="6A996A55"/>
    <w:rsid w:val="6ABB5359"/>
    <w:rsid w:val="6BA48F39"/>
    <w:rsid w:val="6BC245AA"/>
    <w:rsid w:val="6BCE2EA6"/>
    <w:rsid w:val="6C3389DF"/>
    <w:rsid w:val="6D40FC17"/>
    <w:rsid w:val="6D621552"/>
    <w:rsid w:val="6D77417F"/>
    <w:rsid w:val="6D99EA5E"/>
    <w:rsid w:val="6DFC10D7"/>
    <w:rsid w:val="6E6D56E7"/>
    <w:rsid w:val="6E7A8399"/>
    <w:rsid w:val="6E8231A3"/>
    <w:rsid w:val="6F4C43B5"/>
    <w:rsid w:val="6FADC0D2"/>
    <w:rsid w:val="6FB3BAB7"/>
    <w:rsid w:val="6FB613FD"/>
    <w:rsid w:val="7136191D"/>
    <w:rsid w:val="715B81D2"/>
    <w:rsid w:val="7186322B"/>
    <w:rsid w:val="71CC645D"/>
    <w:rsid w:val="71D5F749"/>
    <w:rsid w:val="71DECFBC"/>
    <w:rsid w:val="71E47DB3"/>
    <w:rsid w:val="72092888"/>
    <w:rsid w:val="728D4E0D"/>
    <w:rsid w:val="7296FDAB"/>
    <w:rsid w:val="734CCAB5"/>
    <w:rsid w:val="736F444F"/>
    <w:rsid w:val="73AE7065"/>
    <w:rsid w:val="73C63CFB"/>
    <w:rsid w:val="73D1258A"/>
    <w:rsid w:val="73E08950"/>
    <w:rsid w:val="741EDE90"/>
    <w:rsid w:val="74CA8F46"/>
    <w:rsid w:val="74D3443E"/>
    <w:rsid w:val="7588219F"/>
    <w:rsid w:val="75C96E0B"/>
    <w:rsid w:val="75CE5BF9"/>
    <w:rsid w:val="75E4CF69"/>
    <w:rsid w:val="7610A123"/>
    <w:rsid w:val="7694768D"/>
    <w:rsid w:val="7702D278"/>
    <w:rsid w:val="77B7B47A"/>
    <w:rsid w:val="77C47B10"/>
    <w:rsid w:val="782C5DD0"/>
    <w:rsid w:val="786772EF"/>
    <w:rsid w:val="7887F9BA"/>
    <w:rsid w:val="78F51FF4"/>
    <w:rsid w:val="78FF2DA2"/>
    <w:rsid w:val="7920E22B"/>
    <w:rsid w:val="792A0D4A"/>
    <w:rsid w:val="799C39EC"/>
    <w:rsid w:val="7A221A20"/>
    <w:rsid w:val="7A2AD0F2"/>
    <w:rsid w:val="7A320B85"/>
    <w:rsid w:val="7A3D745F"/>
    <w:rsid w:val="7AA11E97"/>
    <w:rsid w:val="7AE3E856"/>
    <w:rsid w:val="7B01C106"/>
    <w:rsid w:val="7B98EEBC"/>
    <w:rsid w:val="7BD6AE52"/>
    <w:rsid w:val="7C9E422E"/>
    <w:rsid w:val="7D5E2909"/>
    <w:rsid w:val="7D666A42"/>
    <w:rsid w:val="7F38A522"/>
    <w:rsid w:val="7F3CF604"/>
    <w:rsid w:val="7F53C0E1"/>
    <w:rsid w:val="7F7C7F48"/>
    <w:rsid w:val="7FAE5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C320"/>
  <w15:chartTrackingRefBased/>
  <w15:docId w15:val="{7DB5D223-C9F6-4D8E-ABE2-5C42B690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DAD2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DAD2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DAD2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DAD20F5"/>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DAD20F5"/>
    <w:pPr>
      <w:ind w:left="720"/>
      <w:contextualSpacing/>
    </w:pPr>
  </w:style>
  <w:style w:type="paragraph" w:styleId="Header">
    <w:name w:val="header"/>
    <w:basedOn w:val="Normal"/>
    <w:uiPriority w:val="99"/>
    <w:unhideWhenUsed/>
    <w:rsid w:val="0DAD20F5"/>
    <w:pPr>
      <w:tabs>
        <w:tab w:val="center" w:pos="4680"/>
        <w:tab w:val="right" w:pos="9360"/>
      </w:tabs>
      <w:spacing w:after="0" w:line="240" w:lineRule="auto"/>
    </w:pPr>
  </w:style>
  <w:style w:type="paragraph" w:styleId="Footer">
    <w:name w:val="footer"/>
    <w:basedOn w:val="Normal"/>
    <w:uiPriority w:val="99"/>
    <w:unhideWhenUsed/>
    <w:rsid w:val="0DAD20F5"/>
    <w:pPr>
      <w:tabs>
        <w:tab w:val="center" w:pos="4680"/>
        <w:tab w:val="right" w:pos="9360"/>
      </w:tabs>
      <w:spacing w:after="0" w:line="240" w:lineRule="auto"/>
    </w:pPr>
  </w:style>
  <w:style w:type="character" w:styleId="Hyperlink">
    <w:name w:val="Hyperlink"/>
    <w:basedOn w:val="DefaultParagraphFont"/>
    <w:uiPriority w:val="99"/>
    <w:unhideWhenUsed/>
    <w:rsid w:val="0DAD20F5"/>
    <w:rPr>
      <w:color w:val="467886"/>
      <w:u w:val="single"/>
    </w:rPr>
  </w:style>
  <w:style w:type="paragraph" w:styleId="Quote">
    <w:name w:val="Quote"/>
    <w:basedOn w:val="Normal"/>
    <w:next w:val="Normal"/>
    <w:uiPriority w:val="29"/>
    <w:qFormat/>
    <w:rsid w:val="0DAD20F5"/>
    <w:pPr>
      <w:spacing w:before="160"/>
      <w:jc w:val="center"/>
    </w:pPr>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tenseQuote">
    <w:name w:val="Intense Quote"/>
    <w:basedOn w:val="Normal"/>
    <w:next w:val="Normal"/>
    <w:link w:val="IntenseQuoteChar"/>
    <w:uiPriority w:val="30"/>
    <w:qFormat/>
    <w:rsid w:val="0555A8FC"/>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555A8FC"/>
    <w:rPr>
      <w:i/>
      <w:iCs/>
      <w:color w:val="0F4761" w:themeColor="accent1" w:themeShade="BF"/>
    </w:rPr>
  </w:style>
  <w:style w:type="character" w:styleId="SubtleReference">
    <w:name w:val="Subtle Reference"/>
    <w:basedOn w:val="DefaultParagraphFont"/>
    <w:uiPriority w:val="31"/>
    <w:qFormat/>
    <w:rsid w:val="0555A8FC"/>
    <w:rPr>
      <w:smallCaps/>
      <w:color w:val="5A5A5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oftware.strategy.com/strategyai/governance-and-trus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oftware.strategy.com/strategymosaic" TargetMode="External"/><Relationship Id="rId12" Type="http://schemas.openxmlformats.org/officeDocument/2006/relationships/hyperlink" Target="https://software.strategy.com/blog/what-is-a-universal-semantic-layer"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19" Type="http://schemas.microsoft.com/office/2020/10/relationships/intelligence" Target="intelligence2.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Ratanpal, Tanmay</dc:creator>
  <cp:keywords/>
  <dc:description/>
  <cp:lastModifiedBy>Behrens, Ashley</cp:lastModifiedBy>
  <cp:revision>2</cp:revision>
  <dcterms:created xsi:type="dcterms:W3CDTF">2026-06-25T09:27:00Z</dcterms:created>
  <dcterms:modified xsi:type="dcterms:W3CDTF">2026-07-02T18:33:00Z</dcterms:modified>
</cp:coreProperties>
</file>