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BFBFBF" w:themeColor="background1" w:themeShade="BF"/>
  <w:body>
    <w:p>
      <w:r>
        <w:rPr>
          <w:rFonts w:hint="default"/>
        </w:rPr>
        <w:t>JOWIH CREDITS — OPERATIONAL FRAMEWORK (FULLY UPDATED)</w:t>
      </w:r>
    </w:p>
    <w:p>
      <w:r>
        <w:pict>
          <v:rect id="_x0000_i102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CORE PRINCIPLE</w:t>
      </w:r>
    </w:p>
    <w:p>
      <w:r>
        <w:rPr>
          <w:rFonts w:hint="default"/>
        </w:rPr>
        <w:t>"Credits are a bridge — not a currency. They never enter the domestic economy. Auto-Conversion is default. Holding is optional. Partners convert. Foundation holds the bridge. Credits may be invisible to the customer (Credit-Routed FX), held as a balance (Holding Mode), or transferred directly (Wallet Transfer) — depending on the transaction mode. But they are never a parallel domestic currency."</w:t>
      </w:r>
    </w:p>
    <w:p>
      <w:pPr>
        <w:rPr>
          <w:rFonts w:hint="default"/>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STRATEGIC POSITIONING — OUR CLEAR LANE</w:t>
      </w:r>
    </w:p>
    <w:p>
      <w:pPr>
        <w:rPr>
          <w:rFonts w:hint="default"/>
        </w:rPr>
      </w:pPr>
      <w:r>
        <w:rPr>
          <w:rFonts w:hint="default"/>
        </w:rPr>
        <w:t>The Simple Truth</w:t>
      </w:r>
    </w:p>
    <w:p>
      <w:r>
        <w:rPr>
          <w:rFonts w:hint="default"/>
        </w:rPr>
        <w:t>"We specialize in the most active, daily, high-friction layer of global finance — and we make it move better. We create and aggregate high-frequency cross-border flows. Traditional FX settles what we create. Execution done by partners. Different roles. Same system."</w:t>
      </w:r>
    </w:p>
    <w:p>
      <w:pPr>
        <w:rPr>
          <w:rFonts w:hint="default"/>
        </w:rPr>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The Dual-Engine Model</w:t>
      </w:r>
    </w:p>
    <w:tbl>
      <w:tblPr>
        <w:tblStyle w:val="11"/>
        <w:tblW w:w="13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548"/>
        <w:gridCol w:w="6587"/>
        <w:gridCol w:w="2586"/>
        <w:gridCol w:w="269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54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Engine</w:t>
            </w:r>
          </w:p>
        </w:tc>
        <w:tc>
          <w:tcPr>
            <w:tcW w:w="658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What It Does</w:t>
            </w:r>
          </w:p>
        </w:tc>
        <w:tc>
          <w:tcPr>
            <w:tcW w:w="258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 Partners Earn</w:t>
            </w:r>
          </w:p>
        </w:tc>
        <w:tc>
          <w:tcPr>
            <w:tcW w:w="269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 Foundation Earns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Flow Engine</w:t>
            </w:r>
          </w:p>
        </w:tc>
        <w:tc>
          <w:tcPr>
            <w:tcW w:w="658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Partners handle transactions — remittances, SME trade, platform payments</w:t>
            </w:r>
          </w:p>
        </w:tc>
        <w:tc>
          <w:tcPr>
            <w:tcW w:w="25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Transaction fees (0% – 1.5%)</w:t>
            </w:r>
          </w:p>
        </w:tc>
        <w:tc>
          <w:tcPr>
            <w:tcW w:w="2699" w:type="dxa"/>
            <w:shd w:val="clear" w:color="auto" w:fill="auto"/>
            <w:tcMar>
              <w:top w:w="150" w:type="dxa"/>
              <w:left w:w="240" w:type="dxa"/>
              <w:bottom w:w="150" w:type="dxa"/>
              <w:right w:w="0" w:type="dxa"/>
            </w:tcMar>
            <w:vAlign w:val="center"/>
          </w:tcPr>
          <w:p>
            <w:pPr>
              <w:rPr>
                <w:rFonts w:hint="default"/>
              </w:rPr>
            </w:pPr>
            <w:r>
              <w:rPr>
                <w:rFonts w:hint="default"/>
                <w:lang w:val="en-US" w:eastAsia="zh-CN"/>
              </w:rPr>
              <w:t>❌ Does not earn from fees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Treasury Engine</w:t>
            </w:r>
          </w:p>
        </w:tc>
        <w:tc>
          <w:tcPr>
            <w:tcW w:w="658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Credits held in Foundation Treasury — gov</w:t>
            </w:r>
            <w:bookmarkStart w:id="0" w:name="_GoBack"/>
            <w:bookmarkEnd w:id="0"/>
            <w:r>
              <w:rPr>
                <w:rFonts w:hint="default"/>
                <w:lang w:val="en-US" w:eastAsia="zh-CN"/>
              </w:rPr>
              <w:t>ernments, institutions, multiplayers hold because it's stable</w:t>
            </w:r>
          </w:p>
        </w:tc>
        <w:tc>
          <w:tcPr>
            <w:tcW w:w="25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Float value + asset backing</w:t>
            </w:r>
          </w:p>
        </w:tc>
        <w:tc>
          <w:tcPr>
            <w:tcW w:w="2699" w:type="dxa"/>
            <w:shd w:val="clear" w:color="auto" w:fill="auto"/>
            <w:tcMar>
              <w:top w:w="150" w:type="dxa"/>
              <w:left w:w="240" w:type="dxa"/>
              <w:bottom w:w="150" w:type="dxa"/>
              <w:right w:w="0" w:type="dxa"/>
            </w:tcMar>
            <w:vAlign w:val="center"/>
          </w:tcPr>
          <w:p>
            <w:pPr>
              <w:rPr>
                <w:rFonts w:hint="default"/>
              </w:rPr>
            </w:pPr>
            <w:r>
              <w:rPr>
                <w:rFonts w:hint="default"/>
                <w:lang w:val="en-US" w:eastAsia="zh-CN"/>
              </w:rPr>
              <w:t>✅ Earns from float investments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5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Wallet Transfers</w:t>
            </w:r>
          </w:p>
        </w:tc>
        <w:tc>
          <w:tcPr>
            <w:tcW w:w="658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Partners handle wallet transfers</w:t>
            </w:r>
          </w:p>
        </w:tc>
        <w:tc>
          <w:tcPr>
            <w:tcW w:w="25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w:t>
            </w:r>
          </w:p>
        </w:tc>
        <w:tc>
          <w:tcPr>
            <w:tcW w:w="2699" w:type="dxa"/>
            <w:shd w:val="clear" w:color="auto" w:fill="auto"/>
            <w:tcMar>
              <w:top w:w="150" w:type="dxa"/>
              <w:left w:w="240" w:type="dxa"/>
              <w:bottom w:w="150" w:type="dxa"/>
              <w:right w:w="0" w:type="dxa"/>
            </w:tcMar>
            <w:vAlign w:val="center"/>
          </w:tcPr>
          <w:p>
            <w:pPr>
              <w:rPr>
                <w:rFonts w:hint="default"/>
              </w:rPr>
            </w:pPr>
            <w:r>
              <w:rPr>
                <w:rFonts w:hint="default"/>
                <w:lang w:val="en-US" w:eastAsia="zh-CN"/>
              </w:rPr>
              <w:t>❌ Does not earn from fees</w:t>
            </w:r>
          </w:p>
        </w:tc>
      </w:tr>
    </w:tbl>
    <w:p>
      <w:pPr>
        <w:rPr>
          <w:rFonts w:hint="default"/>
        </w:rPr>
      </w:pPr>
      <w:r>
        <w:rPr>
          <w:rFonts w:hint="default"/>
        </w:rPr>
        <w:t>Foundation Revenue Model: The Foundation does not earn from transaction fees. Its primary economic model is the Treasury Engine — holding Credits and investing the float generated by held Credits in mission-aligned projects, with all returns flowing to the Mission Fund.</w:t>
      </w:r>
    </w:p>
    <w:p>
      <w:pPr>
        <w:rPr>
          <w:rFonts w:hint="default"/>
        </w:rPr>
      </w:pPr>
      <w:r>
        <w:rPr>
          <w:rFonts w:hint="default"/>
        </w:rPr>
        <w:pict>
          <v:rect id="_x0000_i102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Our Focus — Flow Creation</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995"/>
        <w:gridCol w:w="728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995"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What We Help Handle</w:t>
            </w:r>
          </w:p>
        </w:tc>
        <w:tc>
          <w:tcPr>
            <w:tcW w:w="728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What Tier 1 Partners Handle (larger FX market)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95"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Remittances</w:t>
            </w:r>
          </w:p>
        </w:tc>
        <w:tc>
          <w:tcPr>
            <w:tcW w:w="7284" w:type="dxa"/>
            <w:shd w:val="clear" w:color="auto" w:fill="auto"/>
            <w:tcMar>
              <w:top w:w="150" w:type="dxa"/>
              <w:left w:w="240" w:type="dxa"/>
              <w:bottom w:w="150" w:type="dxa"/>
              <w:right w:w="0" w:type="dxa"/>
            </w:tcMar>
            <w:vAlign w:val="center"/>
          </w:tcPr>
          <w:p>
            <w:pPr>
              <w:rPr>
                <w:rFonts w:hint="default"/>
              </w:rPr>
            </w:pPr>
            <w:r>
              <w:rPr>
                <w:rFonts w:hint="default"/>
                <w:lang w:val="en-US" w:eastAsia="zh-CN"/>
              </w:rPr>
              <w:t>Ultra-large sovereign flows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95" w:type="dxa"/>
            <w:shd w:val="clear" w:color="auto" w:fill="auto"/>
            <w:tcMar>
              <w:top w:w="150" w:type="dxa"/>
              <w:left w:w="0" w:type="dxa"/>
              <w:bottom w:w="150" w:type="dxa"/>
              <w:right w:w="240" w:type="dxa"/>
            </w:tcMar>
            <w:vAlign w:val="center"/>
          </w:tcPr>
          <w:p>
            <w:pPr>
              <w:rPr>
                <w:rFonts w:hint="default"/>
              </w:rPr>
            </w:pPr>
            <w:r>
              <w:rPr>
                <w:rFonts w:hint="default"/>
                <w:lang w:val="en-US" w:eastAsia="zh-CN"/>
              </w:rPr>
              <w:t>SME trade</w:t>
            </w:r>
          </w:p>
        </w:tc>
        <w:tc>
          <w:tcPr>
            <w:tcW w:w="7284" w:type="dxa"/>
            <w:shd w:val="clear" w:color="auto" w:fill="auto"/>
            <w:tcMar>
              <w:top w:w="150" w:type="dxa"/>
              <w:left w:w="240" w:type="dxa"/>
              <w:bottom w:w="150" w:type="dxa"/>
              <w:right w:w="0" w:type="dxa"/>
            </w:tcMar>
            <w:vAlign w:val="center"/>
          </w:tcPr>
          <w:p>
            <w:pPr>
              <w:rPr>
                <w:rFonts w:hint="default"/>
              </w:rPr>
            </w:pPr>
            <w:r>
              <w:rPr>
                <w:rFonts w:hint="default"/>
                <w:lang w:val="en-US" w:eastAsia="zh-CN"/>
              </w:rPr>
              <w:t>Central bank-level liquidity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95"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Cross-border payments</w:t>
            </w:r>
          </w:p>
        </w:tc>
        <w:tc>
          <w:tcPr>
            <w:tcW w:w="7284"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Trillion-scale settlements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95" w:type="dxa"/>
            <w:shd w:val="clear" w:color="auto" w:fill="auto"/>
            <w:tcMar>
              <w:top w:w="150" w:type="dxa"/>
              <w:left w:w="0" w:type="dxa"/>
              <w:bottom w:w="150" w:type="dxa"/>
              <w:right w:w="240" w:type="dxa"/>
            </w:tcMar>
            <w:vAlign w:val="center"/>
          </w:tcPr>
          <w:p>
            <w:pPr>
              <w:rPr>
                <w:rFonts w:hint="default"/>
              </w:rPr>
            </w:pPr>
            <w:r>
              <w:rPr>
                <w:rFonts w:hint="default"/>
                <w:lang w:val="en-US" w:eastAsia="zh-CN"/>
              </w:rPr>
              <w:t>Digital platform payments</w:t>
            </w:r>
          </w:p>
        </w:tc>
        <w:tc>
          <w:tcPr>
            <w:tcW w:w="7284"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Deep FX liquidity provisioning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95"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Informal → formal flows</w:t>
            </w:r>
          </w:p>
        </w:tc>
        <w:tc>
          <w:tcPr>
            <w:tcW w:w="7284"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Complex derivatives and hedging</w:t>
            </w:r>
          </w:p>
        </w:tc>
      </w:tr>
    </w:tbl>
    <w:p>
      <w:pPr>
        <w:rPr>
          <w:rFonts w:hint="default"/>
        </w:rPr>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The Jowih Credits and Traditional FX Market Scale Boundary</w:t>
      </w:r>
    </w:p>
    <w:tbl>
      <w:tblPr>
        <w:tblStyle w:val="11"/>
        <w:tblW w:w="1342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86"/>
        <w:gridCol w:w="3378"/>
        <w:gridCol w:w="4612"/>
        <w:gridCol w:w="1534"/>
        <w:gridCol w:w="20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886"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Layer</w:t>
            </w:r>
          </w:p>
        </w:tc>
        <w:tc>
          <w:tcPr>
            <w:tcW w:w="337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Handled By</w:t>
            </w:r>
          </w:p>
        </w:tc>
        <w:tc>
          <w:tcPr>
            <w:tcW w:w="461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Typical Size</w:t>
            </w:r>
          </w:p>
        </w:tc>
        <w:tc>
          <w:tcPr>
            <w:tcW w:w="153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201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Role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86" w:type="dxa"/>
            <w:shd w:val="clear" w:color="auto" w:fill="auto"/>
            <w:tcMar>
              <w:top w:w="150" w:type="dxa"/>
              <w:left w:w="0" w:type="dxa"/>
              <w:bottom w:w="150" w:type="dxa"/>
              <w:right w:w="240" w:type="dxa"/>
            </w:tcMar>
            <w:vAlign w:val="center"/>
          </w:tcPr>
          <w:p>
            <w:pPr>
              <w:rPr>
                <w:rFonts w:hint="default"/>
              </w:rPr>
            </w:pPr>
            <w:r>
              <w:rPr>
                <w:rFonts w:hint="default"/>
                <w:lang w:val="en-US" w:eastAsia="zh-CN"/>
              </w:rPr>
              <w:t>Ultra-Large / Sovereign</w:t>
            </w:r>
          </w:p>
        </w:tc>
        <w:tc>
          <w:tcPr>
            <w:tcW w:w="337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Tier 1 Partners — FX Market (Banks, FX, Hedge Funds)</w:t>
            </w:r>
          </w:p>
        </w:tc>
        <w:tc>
          <w:tcPr>
            <w:tcW w:w="46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$100M+</w:t>
            </w:r>
          </w:p>
        </w:tc>
        <w:tc>
          <w:tcPr>
            <w:tcW w:w="153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Low</w:t>
            </w:r>
          </w:p>
        </w:tc>
        <w:tc>
          <w:tcPr>
            <w:tcW w:w="2011"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Settlement anchors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86" w:type="dxa"/>
            <w:shd w:val="clear" w:color="auto" w:fill="auto"/>
            <w:tcMar>
              <w:top w:w="150" w:type="dxa"/>
              <w:left w:w="0" w:type="dxa"/>
              <w:bottom w:w="150" w:type="dxa"/>
              <w:right w:w="240" w:type="dxa"/>
            </w:tcMar>
            <w:vAlign w:val="center"/>
          </w:tcPr>
          <w:p>
            <w:pPr>
              <w:rPr>
                <w:rFonts w:hint="default"/>
              </w:rPr>
            </w:pPr>
            <w:r>
              <w:rPr>
                <w:rFonts w:hint="default"/>
                <w:lang w:val="en-US" w:eastAsia="zh-CN"/>
              </w:rPr>
              <w:t>Wholesale</w:t>
            </w:r>
          </w:p>
        </w:tc>
        <w:tc>
          <w:tcPr>
            <w:tcW w:w="337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Large Partners (with capacity)</w:t>
            </w:r>
          </w:p>
        </w:tc>
        <w:tc>
          <w:tcPr>
            <w:tcW w:w="46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$1M — $200M (cap for Jowih Credits FX-classified settlements per transaction)</w:t>
            </w:r>
          </w:p>
        </w:tc>
        <w:tc>
          <w:tcPr>
            <w:tcW w:w="153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Medium</w:t>
            </w:r>
          </w:p>
        </w:tc>
        <w:tc>
          <w:tcPr>
            <w:tcW w:w="2011" w:type="dxa"/>
            <w:shd w:val="clear" w:color="auto" w:fill="auto"/>
            <w:tcMar>
              <w:top w:w="150" w:type="dxa"/>
              <w:left w:w="240" w:type="dxa"/>
              <w:bottom w:w="150" w:type="dxa"/>
              <w:right w:w="0" w:type="dxa"/>
            </w:tcMar>
            <w:vAlign w:val="center"/>
          </w:tcPr>
          <w:p>
            <w:pPr>
              <w:rPr>
                <w:rFonts w:hint="default"/>
              </w:rPr>
            </w:pPr>
            <w:r>
              <w:rPr>
                <w:rFonts w:hint="default"/>
                <w:lang w:val="en-US" w:eastAsia="zh-CN"/>
              </w:rPr>
              <w:t>Wholesale execution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86"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Retail / SME</w:t>
            </w:r>
          </w:p>
        </w:tc>
        <w:tc>
          <w:tcPr>
            <w:tcW w:w="337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Channels</w:t>
            </w:r>
          </w:p>
        </w:tc>
        <w:tc>
          <w:tcPr>
            <w:tcW w:w="461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 minimum</w:t>
            </w:r>
          </w:p>
        </w:tc>
        <w:tc>
          <w:tcPr>
            <w:tcW w:w="153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High</w:t>
            </w:r>
          </w:p>
        </w:tc>
        <w:tc>
          <w:tcPr>
            <w:tcW w:w="2011" w:type="dxa"/>
            <w:shd w:val="clear" w:color="auto" w:fill="auto"/>
            <w:tcMar>
              <w:top w:w="150" w:type="dxa"/>
              <w:left w:w="240" w:type="dxa"/>
              <w:bottom w:w="150" w:type="dxa"/>
              <w:right w:w="0" w:type="dxa"/>
            </w:tcMar>
            <w:vAlign w:val="center"/>
          </w:tcPr>
          <w:p>
            <w:pPr>
              <w:rPr>
                <w:rFonts w:hint="default"/>
              </w:rPr>
            </w:pPr>
            <w:r>
              <w:rPr>
                <w:rFonts w:hint="default"/>
                <w:lang w:val="en-US" w:eastAsia="zh-CN"/>
              </w:rPr>
              <w:t>Flow engine</w:t>
            </w:r>
          </w:p>
        </w:tc>
      </w:tr>
    </w:tbl>
    <w:p>
      <w:pPr>
        <w:rPr>
          <w:rFonts w:hint="default"/>
        </w:rPr>
      </w:pPr>
      <w:r>
        <w:rPr>
          <w:rFonts w:hint="default"/>
        </w:rPr>
        <w:t>Clarification: The $200M cap applies only to FX-classified wallet transfers (different currency bases). Same-currency wallet transfers are uncapped. Transactions exceeding the cap may be split into multiple compliant sizes or routed to Tier 1 partners.</w:t>
      </w:r>
    </w:p>
    <w:p>
      <w:pPr>
        <w:rPr>
          <w:rFonts w:hint="default"/>
        </w:rPr>
      </w:pPr>
      <w:r>
        <w:rPr>
          <w:rFonts w:hint="default"/>
        </w:rPr>
        <w:pict>
          <v:rect id="_x0000_i103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 THE THREE WALLETS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048"/>
        <w:gridCol w:w="1605"/>
        <w:gridCol w:w="76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04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Wallet</w:t>
            </w:r>
          </w:p>
        </w:tc>
        <w:tc>
          <w:tcPr>
            <w:tcW w:w="160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Owner</w:t>
            </w:r>
          </w:p>
        </w:tc>
        <w:tc>
          <w:tcPr>
            <w:tcW w:w="762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0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User Wallet</w:t>
            </w:r>
          </w:p>
        </w:tc>
        <w:tc>
          <w:tcPr>
            <w:tcW w:w="16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User</w:t>
            </w:r>
          </w:p>
        </w:tc>
        <w:tc>
          <w:tcPr>
            <w:tcW w:w="7626" w:type="dxa"/>
            <w:shd w:val="clear" w:color="auto" w:fill="auto"/>
            <w:tcMar>
              <w:top w:w="150" w:type="dxa"/>
              <w:left w:w="240" w:type="dxa"/>
              <w:bottom w:w="150" w:type="dxa"/>
              <w:right w:w="0" w:type="dxa"/>
            </w:tcMar>
            <w:vAlign w:val="center"/>
          </w:tcPr>
          <w:p>
            <w:pPr>
              <w:rPr>
                <w:rFonts w:hint="default"/>
              </w:rPr>
            </w:pPr>
            <w:r>
              <w:rPr>
                <w:rFonts w:hint="default"/>
                <w:lang w:val="en-US" w:eastAsia="zh-CN"/>
              </w:rPr>
              <w:t>Holds user's Credits. Integrated into partner system but owned by user.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0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Wallet</w:t>
            </w:r>
          </w:p>
        </w:tc>
        <w:tc>
          <w:tcPr>
            <w:tcW w:w="16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w:t>
            </w:r>
          </w:p>
        </w:tc>
        <w:tc>
          <w:tcPr>
            <w:tcW w:w="7626" w:type="dxa"/>
            <w:shd w:val="clear" w:color="auto" w:fill="auto"/>
            <w:tcMar>
              <w:top w:w="150" w:type="dxa"/>
              <w:left w:w="240" w:type="dxa"/>
              <w:bottom w:w="150" w:type="dxa"/>
              <w:right w:w="0" w:type="dxa"/>
            </w:tcMar>
            <w:vAlign w:val="center"/>
          </w:tcPr>
          <w:p>
            <w:pPr>
              <w:rPr>
                <w:rFonts w:hint="default"/>
              </w:rPr>
            </w:pPr>
            <w:r>
              <w:rPr>
                <w:rFonts w:hint="default"/>
                <w:lang w:val="en-US" w:eastAsia="zh-CN"/>
              </w:rPr>
              <w:t>Holds partner's Credits (if they buy Credits for their own treasury, investment, or settlement).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048"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Foundation Treasury</w:t>
            </w:r>
          </w:p>
        </w:tc>
        <w:tc>
          <w:tcPr>
            <w:tcW w:w="16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w:t>
            </w:r>
          </w:p>
        </w:tc>
        <w:tc>
          <w:tcPr>
            <w:tcW w:w="7626"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Reserve backing. Liquidity provision. Dual-engine treasury layer.</w:t>
            </w:r>
          </w:p>
        </w:tc>
      </w:tr>
    </w:tbl>
    <w:p>
      <w:pPr>
        <w:rPr>
          <w:rFonts w:hint="default"/>
        </w:rPr>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2. WHERE CREDITS ARE HELD</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321"/>
        <w:gridCol w:w="1604"/>
        <w:gridCol w:w="73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32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Holder</w:t>
            </w:r>
          </w:p>
        </w:tc>
        <w:tc>
          <w:tcPr>
            <w:tcW w:w="160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Hold Credits?</w:t>
            </w:r>
          </w:p>
        </w:tc>
        <w:tc>
          <w:tcPr>
            <w:tcW w:w="735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Why / How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3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User</w:t>
            </w:r>
          </w:p>
        </w:tc>
        <w:tc>
          <w:tcPr>
            <w:tcW w:w="16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Yes</w:t>
            </w:r>
          </w:p>
        </w:tc>
        <w:tc>
          <w:tcPr>
            <w:tcW w:w="73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In their Jowih wallet (integrated into partner app or Super App PSPs)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3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(as Rail)</w:t>
            </w:r>
          </w:p>
        </w:tc>
        <w:tc>
          <w:tcPr>
            <w:tcW w:w="16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No</w:t>
            </w:r>
          </w:p>
        </w:tc>
        <w:tc>
          <w:tcPr>
            <w:tcW w:w="73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They do NOT hold user Credits. They are an execution rail.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3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(as Client)</w:t>
            </w:r>
          </w:p>
        </w:tc>
        <w:tc>
          <w:tcPr>
            <w:tcW w:w="16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Yes</w:t>
            </w:r>
          </w:p>
        </w:tc>
        <w:tc>
          <w:tcPr>
            <w:tcW w:w="73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Holds Credits in their own Jowih wallet after buying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3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Institution/Corporate</w:t>
            </w:r>
          </w:p>
        </w:tc>
        <w:tc>
          <w:tcPr>
            <w:tcW w:w="16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Yes</w:t>
            </w:r>
          </w:p>
        </w:tc>
        <w:tc>
          <w:tcPr>
            <w:tcW w:w="73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Holds Credits in their Jowih wallet accounts after buying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3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Foundation Treasury</w:t>
            </w:r>
          </w:p>
        </w:tc>
        <w:tc>
          <w:tcPr>
            <w:tcW w:w="160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 Yes</w:t>
            </w:r>
          </w:p>
        </w:tc>
        <w:tc>
          <w:tcPr>
            <w:tcW w:w="73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Reserve backing. Liquidity provision. Stable store of value for governments, institutions, and multiplayers.</w:t>
            </w:r>
          </w:p>
        </w:tc>
      </w:tr>
    </w:tbl>
    <w:p>
      <w:pPr>
        <w:rPr>
          <w:rFonts w:hint="default"/>
        </w:rPr>
      </w:pPr>
      <w:r>
        <w:rPr>
          <w:rFonts w:hint="default"/>
        </w:rPr>
        <w:t>Key Distinction:</w:t>
      </w:r>
    </w:p>
    <w:p/>
    <w:p>
      <w:r>
        <w:rPr>
          <w:rFonts w:hint="default"/>
        </w:rPr>
        <w:t>Partner as Rail = Facilitates conversion. Does NOT hold Credits.</w:t>
      </w:r>
    </w:p>
    <w:p/>
    <w:p/>
    <w:p>
      <w:r>
        <w:rPr>
          <w:rFonts w:hint="default"/>
        </w:rPr>
        <w:t>Partner as Client = Buys Credits for own use. HOLDS Credits in their own partner wallet.</w:t>
      </w:r>
    </w:p>
    <w:p/>
    <w:p>
      <w:pPr>
        <w:rPr>
          <w:rFonts w:hint="default"/>
        </w:rPr>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3. TRANSACTION-MODE DISTINCTION</w:t>
      </w:r>
    </w:p>
    <w:p>
      <w:pPr>
        <w:rPr>
          <w:rFonts w:hint="default"/>
        </w:rPr>
      </w:pPr>
      <w:r>
        <w:rPr>
          <w:rFonts w:hint="default"/>
        </w:rPr>
        <w:t>Jowih Credits may perform two distinct functions within the Jowih financial infrastructure: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941"/>
        <w:gridCol w:w="5105"/>
        <w:gridCol w:w="32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94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Mode</w:t>
            </w:r>
          </w:p>
        </w:tc>
        <w:tc>
          <w:tcPr>
            <w:tcW w:w="510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What Happens</w:t>
            </w:r>
          </w:p>
        </w:tc>
        <w:tc>
          <w:tcPr>
            <w:tcW w:w="323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Customer Sees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41"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Credit-Routed FX</w:t>
            </w:r>
          </w:p>
        </w:tc>
        <w:tc>
          <w:tcPr>
            <w:tcW w:w="51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Credits operate as an underlying routing mechanism for currency conversion</w:t>
            </w:r>
          </w:p>
        </w:tc>
        <w:tc>
          <w:tcPr>
            <w:tcW w:w="32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 No — customer sees currency → currency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41"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Pay with Credits (Auto-Conversion)</w:t>
            </w:r>
          </w:p>
        </w:tc>
        <w:tc>
          <w:tcPr>
            <w:tcW w:w="51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Credits are used for payment and convert instantly to local currency</w:t>
            </w:r>
          </w:p>
        </w:tc>
        <w:tc>
          <w:tcPr>
            <w:tcW w:w="32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 Yes — user selects "Pay with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41"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 Wallet Transfer</w:t>
            </w:r>
          </w:p>
        </w:tc>
        <w:tc>
          <w:tcPr>
            <w:tcW w:w="51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Credits are directly held, transferred, or settled between wallets</w:t>
            </w:r>
          </w:p>
        </w:tc>
        <w:tc>
          <w:tcPr>
            <w:tcW w:w="32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 Yes — Credits move between wallets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41" w:type="dxa"/>
            <w:shd w:val="clear" w:color="auto" w:fill="auto"/>
            <w:tcMar>
              <w:top w:w="150" w:type="dxa"/>
              <w:left w:w="0" w:type="dxa"/>
              <w:bottom w:w="150" w:type="dxa"/>
              <w:right w:w="240" w:type="dxa"/>
            </w:tcMar>
            <w:vAlign w:val="center"/>
          </w:tcPr>
          <w:p>
            <w:pPr>
              <w:rPr>
                <w:rFonts w:hint="default"/>
              </w:rPr>
            </w:pPr>
            <w:r>
              <w:rPr>
                <w:rFonts w:hint="default"/>
                <w:lang w:val="en-US" w:eastAsia="zh-CN"/>
              </w:rPr>
              <w:t>Holding Mode</w:t>
            </w:r>
          </w:p>
        </w:tc>
        <w:tc>
          <w:tcPr>
            <w:tcW w:w="51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Credits are held for future use</w:t>
            </w:r>
          </w:p>
        </w:tc>
        <w:tc>
          <w:tcPr>
            <w:tcW w:w="32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 Yes — user holds Credits</w:t>
            </w:r>
          </w:p>
        </w:tc>
      </w:tr>
    </w:tbl>
    <w:p>
      <w:pPr>
        <w:rPr>
          <w:rFonts w:hint="default"/>
        </w:rPr>
      </w:pPr>
      <w:r>
        <w:rPr>
          <w:rFonts w:hint="default"/>
        </w:rPr>
        <w:t>Core Principle: The use of Credits within the underlying infrastructure shall not, by itself, require a customer-facing transaction to be denominated or settled in Credits.</w:t>
      </w:r>
    </w:p>
    <w:p>
      <w:pPr>
        <w:rPr>
          <w:rFonts w:hint="default"/>
        </w:rPr>
      </w:pPr>
      <w:r>
        <w:rPr>
          <w:rFonts w:hint="default"/>
        </w:rPr>
        <w:pict>
          <v:rect id="_x0000_i103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4. MARKET STRUCTURE — PARTNER-ONLY EXECUTION</w:t>
      </w:r>
    </w:p>
    <w:p>
      <w:pPr>
        <w:rPr>
          <w:rFonts w:hint="default"/>
        </w:rPr>
      </w:pPr>
      <w:r>
        <w:rPr>
          <w:rFonts w:hint="default"/>
        </w:rPr>
        <w:t>4.1 Overview</w:t>
      </w:r>
    </w:p>
    <w:p>
      <w:pPr>
        <w:rPr>
          <w:rFonts w:hint="default"/>
        </w:rPr>
      </w:pPr>
      <w:r>
        <w:rPr>
          <w:rFonts w:hint="default"/>
        </w:rPr>
        <w:t>Jowih Credits operates through a partner-only execution model. The Foundation issues and holds the credit. Partners handle ALL conversions.</w:t>
      </w:r>
    </w:p>
    <w:tbl>
      <w:tblPr>
        <w:tblStyle w:val="11"/>
        <w:tblW w:w="13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591"/>
        <w:gridCol w:w="1640"/>
        <w:gridCol w:w="2648"/>
        <w:gridCol w:w="2689"/>
        <w:gridCol w:w="38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59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Tier</w:t>
            </w:r>
          </w:p>
        </w:tc>
        <w:tc>
          <w:tcPr>
            <w:tcW w:w="164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Channel</w:t>
            </w:r>
          </w:p>
        </w:tc>
        <w:tc>
          <w:tcPr>
            <w:tcW w:w="264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Users</w:t>
            </w:r>
          </w:p>
        </w:tc>
        <w:tc>
          <w:tcPr>
            <w:tcW w:w="268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Transaction Range</w:t>
            </w:r>
          </w:p>
        </w:tc>
        <w:tc>
          <w:tcPr>
            <w:tcW w:w="385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Who Handles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91"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Retail</w:t>
            </w:r>
          </w:p>
        </w:tc>
        <w:tc>
          <w:tcPr>
            <w:tcW w:w="164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Channels</w:t>
            </w:r>
          </w:p>
        </w:tc>
        <w:tc>
          <w:tcPr>
            <w:tcW w:w="26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Individuals, SMEs, everyday users</w:t>
            </w:r>
          </w:p>
        </w:tc>
        <w:tc>
          <w:tcPr>
            <w:tcW w:w="268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 minimum</w:t>
            </w:r>
          </w:p>
        </w:tc>
        <w:tc>
          <w:tcPr>
            <w:tcW w:w="3852"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91" w:type="dxa"/>
            <w:shd w:val="clear" w:color="auto" w:fill="auto"/>
            <w:tcMar>
              <w:top w:w="150" w:type="dxa"/>
              <w:left w:w="0" w:type="dxa"/>
              <w:bottom w:w="150" w:type="dxa"/>
              <w:right w:w="240" w:type="dxa"/>
            </w:tcMar>
            <w:vAlign w:val="center"/>
          </w:tcPr>
          <w:p>
            <w:pPr>
              <w:rPr>
                <w:rFonts w:hint="default"/>
              </w:rPr>
            </w:pPr>
            <w:r>
              <w:rPr>
                <w:rFonts w:hint="default"/>
                <w:lang w:val="en-US" w:eastAsia="zh-CN"/>
              </w:rPr>
              <w:t>Wholesale (Credits cap per FX transaction is $200M)</w:t>
            </w:r>
          </w:p>
        </w:tc>
        <w:tc>
          <w:tcPr>
            <w:tcW w:w="164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Large Partners</w:t>
            </w:r>
          </w:p>
        </w:tc>
        <w:tc>
          <w:tcPr>
            <w:tcW w:w="26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Governments, corporations, institutions</w:t>
            </w:r>
          </w:p>
        </w:tc>
        <w:tc>
          <w:tcPr>
            <w:tcW w:w="268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$1M — $200M</w:t>
            </w:r>
          </w:p>
        </w:tc>
        <w:tc>
          <w:tcPr>
            <w:tcW w:w="3852"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591" w:type="dxa"/>
            <w:shd w:val="clear" w:color="auto" w:fill="auto"/>
            <w:tcMar>
              <w:top w:w="150" w:type="dxa"/>
              <w:left w:w="0" w:type="dxa"/>
              <w:bottom w:w="150" w:type="dxa"/>
              <w:right w:w="240" w:type="dxa"/>
            </w:tcMar>
            <w:vAlign w:val="center"/>
          </w:tcPr>
          <w:p>
            <w:pPr>
              <w:rPr>
                <w:rFonts w:hint="default"/>
              </w:rPr>
            </w:pPr>
            <w:r>
              <w:rPr>
                <w:rFonts w:hint="default"/>
                <w:lang w:val="en-US" w:eastAsia="zh-CN"/>
              </w:rPr>
              <w:t>Ultra-Large (Traditional FX Market)</w:t>
            </w:r>
          </w:p>
        </w:tc>
        <w:tc>
          <w:tcPr>
            <w:tcW w:w="164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Tier 1 Partners</w:t>
            </w:r>
          </w:p>
        </w:tc>
        <w:tc>
          <w:tcPr>
            <w:tcW w:w="26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Banks, FX institutions</w:t>
            </w:r>
          </w:p>
        </w:tc>
        <w:tc>
          <w:tcPr>
            <w:tcW w:w="268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All amounts above $200M cap on Jowih Credits</w:t>
            </w:r>
          </w:p>
        </w:tc>
        <w:tc>
          <w:tcPr>
            <w:tcW w:w="3852"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Partners route to Tier 1 partners. Traditional FX Market. (Credits don't handle above this)</w:t>
            </w:r>
          </w:p>
        </w:tc>
      </w:tr>
    </w:tbl>
    <w:p>
      <w:pPr>
        <w:rPr>
          <w:rFonts w:hint="default"/>
        </w:rPr>
      </w:pPr>
      <w:r>
        <w:rPr>
          <w:rFonts w:hint="default"/>
        </w:rPr>
        <w:t>The Foundation does not operate any exchange, conversion, or execution service. Partners handle all conversions.</w:t>
      </w:r>
    </w:p>
    <w:p>
      <w:pPr>
        <w:rPr>
          <w:rFonts w:hint="default"/>
        </w:rPr>
      </w:pPr>
      <w:r>
        <w:rPr>
          <w:rFonts w:hint="default"/>
        </w:rPr>
        <w:t>4.2 Partner Flexibility</w:t>
      </w:r>
    </w:p>
    <w:p>
      <w:pPr>
        <w:rPr>
          <w:rFonts w:hint="default"/>
        </w:rPr>
      </w:pPr>
      <w:r>
        <w:rPr>
          <w:rFonts w:hint="default"/>
        </w:rPr>
        <w:t>Partners are not restricted to a single tier. Large or hybrid partners may operate across both retail and wholesale channels. Partners may define their own operational thresholds and:</w:t>
      </w:r>
    </w:p>
    <w:p/>
    <w:p>
      <w:r>
        <w:rPr>
          <w:rFonts w:hint="default"/>
        </w:rPr>
        <w:t>Execute transactions directly; or</w:t>
      </w:r>
    </w:p>
    <w:p/>
    <w:p/>
    <w:p>
      <w:r>
        <w:rPr>
          <w:rFonts w:hint="default"/>
        </w:rPr>
        <w:t>Route flows to Tier 1 institutions based on capacity or strategy</w:t>
      </w:r>
    </w:p>
    <w:p/>
    <w:p>
      <w:pPr>
        <w:rPr>
          <w:rFonts w:hint="default"/>
        </w:rPr>
      </w:pPr>
      <w:r>
        <w:rPr>
          <w:rFonts w:hint="default"/>
        </w:rPr>
        <w:t>4.3 Transaction Flow and Settlement Framework</w:t>
      </w:r>
    </w:p>
    <w:p>
      <w:pPr>
        <w:rPr>
          <w:rFonts w:hint="default"/>
        </w:rPr>
      </w:pPr>
      <w:r>
        <w:rPr>
          <w:rFonts w:hint="default"/>
        </w:rPr>
        <w:t>The Jowih structure operates through a distributed partner network supported by a centralized settlement layer.</w:t>
      </w:r>
    </w:p>
    <w:p>
      <w:pPr>
        <w:rPr>
          <w:rFonts w:hint="default"/>
        </w:rPr>
      </w:pPr>
      <w:r>
        <w:rPr>
          <w:rFonts w:hint="default"/>
        </w:rPr>
        <w:t>Participating partners — including institutional, wholesale, and hybrid operators — independently execute transactions based on their internal capabilities, external liquidity access, and operational models.</w:t>
      </w:r>
    </w:p>
    <w:p>
      <w:pPr>
        <w:rPr>
          <w:rFonts w:hint="default"/>
        </w:rPr>
      </w:pPr>
      <w:r>
        <w:rPr>
          <w:rFonts w:hint="default"/>
        </w:rPr>
        <w:t>The Foundation does not directly intermediate or execute transactions. Instead, it provides the underlying settlement infrastructure that ensures system-wide consistency, reconciliation, and stability.</w:t>
      </w:r>
    </w:p>
    <w:p>
      <w:pPr>
        <w:rPr>
          <w:rFonts w:hint="default"/>
        </w:rPr>
      </w:pPr>
      <w:r>
        <w:rPr>
          <w:rFonts w:hint="default"/>
        </w:rPr>
        <w:t>All transactions within the system are evaluated based on wallet currency state alignment, ensuring that any cross-currency movement of value is consistently identified and treated as an FX event regardless of transaction structure or routing path.</w:t>
      </w:r>
    </w:p>
    <w:p>
      <w:pPr>
        <w:rPr>
          <w:rFonts w:hint="default"/>
        </w:rPr>
      </w:pPr>
      <w:r>
        <w:rPr>
          <w:rFonts w:hint="default"/>
        </w:rPr>
        <w:t>4.4 Partner Execution Model</w:t>
      </w:r>
    </w:p>
    <w:p>
      <w:pPr>
        <w:rPr>
          <w:rFonts w:hint="default"/>
        </w:rPr>
      </w:pPr>
      <w:r>
        <w:rPr>
          <w:rFonts w:hint="default"/>
        </w:rPr>
        <w:t>Partners may process transactions through their own internal systems or in coordination with other network participants.</w:t>
      </w:r>
    </w:p>
    <w:p>
      <w:pPr>
        <w:rPr>
          <w:rFonts w:hint="default"/>
        </w:rPr>
      </w:pPr>
      <w:r>
        <w:rPr>
          <w:rFonts w:hint="default"/>
        </w:rPr>
        <w:t>A. Internal Execution</w:t>
      </w:r>
    </w:p>
    <w:p>
      <w:pPr>
        <w:rPr>
          <w:rFonts w:hint="default"/>
        </w:rPr>
      </w:pPr>
      <w:r>
        <w:rPr>
          <w:rFonts w:hint="default"/>
        </w:rPr>
        <w:t>Partners with sufficient external liquidity, infrastructure, and counterparty access may independently execute transactions within their own operational environment.</w:t>
      </w:r>
    </w:p>
    <w:p>
      <w:pPr>
        <w:rPr>
          <w:rFonts w:hint="default"/>
        </w:rPr>
      </w:pPr>
      <w:r>
        <w:rPr>
          <w:rFonts w:hint="default"/>
        </w:rPr>
        <w:t>Under this model:</w:t>
      </w:r>
    </w:p>
    <w:p/>
    <w:p>
      <w:r>
        <w:rPr>
          <w:rFonts w:hint="default"/>
        </w:rPr>
        <w:t>Transactions are processed entirely within the partner's internal system</w:t>
      </w:r>
    </w:p>
    <w:p/>
    <w:p/>
    <w:p>
      <w:r>
        <w:rPr>
          <w:rFonts w:hint="default"/>
        </w:rPr>
        <w:t>The partner retains control over execution, pricing, and FX handling</w:t>
      </w:r>
    </w:p>
    <w:p/>
    <w:p/>
    <w:p>
      <w:r>
        <w:rPr>
          <w:rFonts w:hint="default"/>
        </w:rPr>
        <w:t>Currency conversion (where applicable) is handled through the partner's own FX channels</w:t>
      </w:r>
    </w:p>
    <w:p/>
    <w:p/>
    <w:p>
      <w:r>
        <w:rPr>
          <w:rFonts w:hint="default"/>
        </w:rPr>
        <w:t>No direct operational involvement from the Foundation is required during execution</w:t>
      </w:r>
    </w:p>
    <w:p/>
    <w:p/>
    <w:p>
      <w:r>
        <w:rPr>
          <w:rFonts w:hint="default"/>
        </w:rPr>
        <w:t>The Foundation participates only at the settlement stage</w:t>
      </w:r>
    </w:p>
    <w:p/>
    <w:p>
      <w:pPr>
        <w:rPr>
          <w:rFonts w:hint="default"/>
        </w:rPr>
      </w:pPr>
      <w:r>
        <w:rPr>
          <w:rFonts w:hint="default"/>
        </w:rPr>
        <w:t>B. Network-Enabled Execution</w:t>
      </w:r>
    </w:p>
    <w:p>
      <w:pPr>
        <w:rPr>
          <w:rFonts w:hint="default"/>
        </w:rPr>
      </w:pPr>
      <w:r>
        <w:rPr>
          <w:rFonts w:hint="default"/>
        </w:rPr>
        <w:t>Where internal execution is not optimal, partners may coordinate with other participants or route transactions across the partner network.</w:t>
      </w:r>
    </w:p>
    <w:p>
      <w:pPr>
        <w:rPr>
          <w:rFonts w:hint="default"/>
        </w:rPr>
      </w:pPr>
      <w:r>
        <w:rPr>
          <w:rFonts w:hint="default"/>
        </w:rPr>
        <w:t>Under this model:</w:t>
      </w:r>
    </w:p>
    <w:p/>
    <w:p>
      <w:r>
        <w:rPr>
          <w:rFonts w:hint="default"/>
        </w:rPr>
        <w:t>Transactions are fulfilled through inter-partner collaboration</w:t>
      </w:r>
    </w:p>
    <w:p/>
    <w:p/>
    <w:p>
      <w:r>
        <w:rPr>
          <w:rFonts w:hint="default"/>
        </w:rPr>
        <w:t>Execution responsibilities may be distributed across multiple entities</w:t>
      </w:r>
    </w:p>
    <w:p/>
    <w:p/>
    <w:p>
      <w:r>
        <w:rPr>
          <w:rFonts w:hint="default"/>
        </w:rPr>
        <w:t>Partners maintain flexibility in sourcing external liquidity and counterparties</w:t>
      </w:r>
    </w:p>
    <w:p/>
    <w:p/>
    <w:p>
      <w:r>
        <w:rPr>
          <w:rFonts w:hint="default"/>
        </w:rPr>
        <w:t>Cross-currency outcomes remain subject to FX classification based on wallet currency state mismatch</w:t>
      </w:r>
    </w:p>
    <w:p/>
    <w:p>
      <w:pPr>
        <w:rPr>
          <w:rFonts w:hint="default"/>
        </w:rPr>
      </w:pPr>
      <w:r>
        <w:rPr>
          <w:rFonts w:hint="default"/>
        </w:rPr>
        <w:t>4.5 Partner Routing Framework</w:t>
      </w:r>
    </w:p>
    <w:p>
      <w:pPr>
        <w:rPr>
          <w:rFonts w:hint="default"/>
        </w:rPr>
      </w:pPr>
      <w:r>
        <w:rPr>
          <w:rFonts w:hint="default"/>
        </w:rPr>
        <w:t>Partners may choose between two execution pathways:</w:t>
      </w:r>
    </w:p>
    <w:p>
      <w:pPr>
        <w:rPr>
          <w:rFonts w:hint="default"/>
        </w:rPr>
      </w:pPr>
      <w:r>
        <w:rPr>
          <w:rFonts w:hint="default"/>
        </w:rPr>
        <w:t>1. Internal Execution:</w:t>
      </w:r>
    </w:p>
    <w:p/>
    <w:p>
      <w:r>
        <w:rPr>
          <w:rFonts w:hint="default"/>
        </w:rPr>
        <w:t>Transactions are executed using the partner's own liquidity sources, banking relationships, or FX providers</w:t>
      </w:r>
    </w:p>
    <w:p/>
    <w:p/>
    <w:p>
      <w:r>
        <w:rPr>
          <w:rFonts w:hint="default"/>
        </w:rPr>
        <w:t>Jowih Credits are used only for post-execution settlement recording</w:t>
      </w:r>
    </w:p>
    <w:p/>
    <w:p/>
    <w:p>
      <w:r>
        <w:rPr>
          <w:rFonts w:hint="default"/>
        </w:rPr>
        <w:t>The partner retains full execution margin</w:t>
      </w:r>
    </w:p>
    <w:p/>
    <w:p>
      <w:pPr>
        <w:rPr>
          <w:rFonts w:hint="default"/>
        </w:rPr>
      </w:pPr>
      <w:r>
        <w:rPr>
          <w:rFonts w:hint="default"/>
        </w:rPr>
        <w:t>2. Routed Execution:</w:t>
      </w:r>
    </w:p>
    <w:p/>
    <w:p>
      <w:r>
        <w:rPr>
          <w:rFonts w:hint="default"/>
        </w:rPr>
        <w:t>Transactions are forwarded to another partner or Tier 1 institution</w:t>
      </w:r>
    </w:p>
    <w:p/>
    <w:p/>
    <w:p>
      <w:r>
        <w:rPr>
          <w:rFonts w:hint="default"/>
        </w:rPr>
        <w:t>Execution occurs externally within the network or traditional FX markets</w:t>
      </w:r>
    </w:p>
    <w:p/>
    <w:p/>
    <w:p>
      <w:r>
        <w:rPr>
          <w:rFonts w:hint="default"/>
        </w:rPr>
        <w:t>The originating partner earns a routing or facilitation margin</w:t>
      </w:r>
    </w:p>
    <w:p/>
    <w:p>
      <w:pPr>
        <w:rPr>
          <w:rFonts w:hint="default"/>
        </w:rPr>
      </w:pPr>
      <w:r>
        <w:rPr>
          <w:rFonts w:hint="default"/>
        </w:rPr>
        <w:t>4.6 Mandatory System Rule</w:t>
      </w:r>
    </w:p>
    <w:p>
      <w:pPr>
        <w:rPr>
          <w:rFonts w:hint="default"/>
        </w:rPr>
      </w:pPr>
      <w:r>
        <w:rPr>
          <w:rFonts w:hint="default"/>
        </w:rPr>
        <w:t>All transactions, regardless of execution path, must be recorded and reconciled through the Foundation's credit ledger. Final external settlement occurs in the applicable local or foreign currency through licensed execution partners.</w:t>
      </w:r>
    </w:p>
    <w:p>
      <w:pPr>
        <w:rPr>
          <w:rFonts w:hint="default"/>
        </w:rPr>
      </w:pPr>
      <w:r>
        <w:rPr>
          <w:rFonts w:hint="default"/>
        </w:rPr>
        <w:t>This ensures:</w:t>
      </w:r>
    </w:p>
    <w:p/>
    <w:p>
      <w:r>
        <w:rPr>
          <w:rFonts w:hint="default"/>
        </w:rPr>
        <w:t>A single, unified accounting layer</w:t>
      </w:r>
    </w:p>
    <w:p/>
    <w:p/>
    <w:p>
      <w:r>
        <w:rPr>
          <w:rFonts w:hint="default"/>
        </w:rPr>
        <w:t>No bypass of system reconciliation</w:t>
      </w:r>
    </w:p>
    <w:p/>
    <w:p/>
    <w:p>
      <w:r>
        <w:rPr>
          <w:rFonts w:hint="default"/>
        </w:rPr>
        <w:t>Consistent value representation across all participants</w:t>
      </w:r>
    </w:p>
    <w:p/>
    <w:p/>
    <w:p>
      <w:r>
        <w:rPr>
          <w:rFonts w:hint="default"/>
        </w:rPr>
        <w:t>Preservation of system integrity without restricting execution flexibility</w:t>
      </w:r>
    </w:p>
    <w:p/>
    <w:p>
      <w:pPr>
        <w:rPr>
          <w:rFonts w:hint="default"/>
        </w:rPr>
      </w:pPr>
      <w:r>
        <w:rPr>
          <w:rFonts w:hint="default"/>
        </w:rPr>
        <w:t>Additionally:</w:t>
      </w:r>
    </w:p>
    <w:p>
      <w:r>
        <w:rPr>
          <w:rFonts w:hint="default"/>
        </w:rPr>
        <w:t>"Any transfer resulting in a currency difference between originating and receiving wallets is classified as an FX event, independent of execution path or transaction structure."</w:t>
      </w:r>
    </w:p>
    <w:p>
      <w:pPr>
        <w:rPr>
          <w:rFonts w:hint="default"/>
        </w:rPr>
      </w:pPr>
      <w:r>
        <w:rPr>
          <w:rFonts w:hint="default"/>
        </w:rPr>
        <w:t>4.7 Division of Labor</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147"/>
        <w:gridCol w:w="3362"/>
        <w:gridCol w:w="27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14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Layer</w:t>
            </w:r>
          </w:p>
        </w:tc>
        <w:tc>
          <w:tcPr>
            <w:tcW w:w="336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w:t>
            </w:r>
          </w:p>
        </w:tc>
        <w:tc>
          <w:tcPr>
            <w:tcW w:w="276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 Issuance</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Treasury / Holding</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Retail Conversion</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Wholesale Conversion</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Routing to Tier 1</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1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Domestic Spending</w:t>
            </w:r>
          </w:p>
        </w:tc>
        <w:tc>
          <w:tcPr>
            <w:tcW w:w="336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76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bl>
    <w:p>
      <w:pPr>
        <w:rPr>
          <w:rFonts w:hint="default"/>
        </w:rPr>
      </w:pPr>
      <w:r>
        <w:rPr>
          <w:rFonts w:hint="default"/>
        </w:rPr>
        <w:t>The Foundation does not compete with partners at any level. Partners handle all execution. The Foundation is the credit layer only.</w:t>
      </w:r>
    </w:p>
    <w:p>
      <w:pPr>
        <w:rPr>
          <w:rFonts w:hint="default"/>
        </w:rPr>
      </w:pPr>
      <w:r>
        <w:rPr>
          <w:rFonts w:hint="default"/>
        </w:rPr>
        <w:t>4.8 Non-Competition Commitment</w:t>
      </w:r>
    </w:p>
    <w:p>
      <w:pPr>
        <w:rPr>
          <w:rFonts w:hint="default"/>
        </w:rPr>
      </w:pPr>
      <w:r>
        <w:rPr>
          <w:rFonts w:hint="default"/>
        </w:rPr>
        <w:t>The Foundation shall not operate retail or wholesale fiat on-ramp or off-ramp services in any market where licensed partners are actively offering conversion services.</w:t>
      </w:r>
    </w:p>
    <w:p>
      <w:pPr>
        <w:rPr>
          <w:rFonts w:hint="default"/>
        </w:rPr>
      </w:pPr>
      <w:r>
        <w:rPr>
          <w:rFonts w:hint="default"/>
        </w:rPr>
        <w:t>The Foundation's role is limited to:</w:t>
      </w:r>
    </w:p>
    <w:p/>
    <w:p>
      <w:r>
        <w:rPr>
          <w:rFonts w:hint="default"/>
        </w:rPr>
        <w:t>The bridge layer (Jowih Credits issuance, holding, and transfer)</w:t>
      </w:r>
    </w:p>
    <w:p/>
    <w:p/>
    <w:p>
      <w:r>
        <w:rPr>
          <w:rFonts w:hint="default"/>
        </w:rPr>
        <w:t>The stable credit layer (treasury, reserve backing)</w:t>
      </w:r>
    </w:p>
    <w:p/>
    <w:p>
      <w:pPr>
        <w:rPr>
          <w:rFonts w:hint="default"/>
        </w:rPr>
      </w:pPr>
      <w:r>
        <w:rPr>
          <w:rFonts w:hint="default"/>
        </w:rPr>
        <w:t>All conversions — retail and wholesale — are handled exclusively by partners.</w:t>
      </w:r>
    </w:p>
    <w:p>
      <w:pPr>
        <w:rPr>
          <w:rFonts w:hint="default"/>
        </w:rPr>
      </w:pPr>
      <w:r>
        <w:rPr>
          <w:rFonts w:hint="default"/>
        </w:rPr>
        <w:t>Partners with wholesale capacity may handle conversions at their discretion. Partners may also route flows to Tier 1 institutions at their discretion.</w:t>
      </w:r>
    </w:p>
    <w:p>
      <w:pPr>
        <w:rPr>
          <w:rFonts w:hint="default"/>
        </w:rPr>
      </w:pPr>
      <w:r>
        <w:rPr>
          <w:rFonts w:hint="default"/>
        </w:rPr>
        <w:t>This commitment ensures partners remain the default face of the Jowih Wallet and the backbone for all conversions. The Foundation is not a competitor — it is an enabler.</w:t>
      </w:r>
    </w:p>
    <w:p>
      <w:pPr>
        <w:rPr>
          <w:rFonts w:hint="default"/>
        </w:rPr>
      </w:pPr>
      <w:r>
        <w:rPr>
          <w:rFonts w:hint="default"/>
        </w:rPr>
        <w:pict>
          <v:rect id="_x0000_i103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5. FEE SCHEDULE</w:t>
      </w:r>
    </w:p>
    <w:p>
      <w:pPr>
        <w:rPr>
          <w:rFonts w:hint="default"/>
        </w:rPr>
      </w:pPr>
      <w:r>
        <w:rPr>
          <w:rFonts w:hint="default"/>
        </w:rPr>
        <w:t>5.1 Overview</w:t>
      </w:r>
    </w:p>
    <w:p>
      <w:pPr>
        <w:rPr>
          <w:rFonts w:hint="default"/>
        </w:rPr>
      </w:pPr>
      <w:r>
        <w:rPr>
          <w:rFonts w:hint="default"/>
        </w:rPr>
        <w:t>The Foundation does not charge any transaction fees. Partners set their own pricing based on the government tax base and their own margins.</w:t>
      </w:r>
    </w:p>
    <w:tbl>
      <w:tblPr>
        <w:tblStyle w:val="11"/>
        <w:tblW w:w="134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53"/>
        <w:gridCol w:w="1982"/>
        <w:gridCol w:w="2111"/>
        <w:gridCol w:w="1882"/>
        <w:gridCol w:w="1883"/>
        <w:gridCol w:w="19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65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Type</w:t>
            </w:r>
          </w:p>
        </w:tc>
        <w:tc>
          <w:tcPr>
            <w:tcW w:w="198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Fee</w:t>
            </w:r>
          </w:p>
        </w:tc>
        <w:tc>
          <w:tcPr>
            <w:tcW w:w="211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88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Base</w:t>
            </w:r>
          </w:p>
        </w:tc>
        <w:tc>
          <w:tcPr>
            <w:tcW w:w="188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190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User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Wallet-to-Wallet Transfer</w:t>
            </w:r>
          </w:p>
        </w:tc>
        <w:tc>
          <w:tcPr>
            <w:tcW w:w="19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211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8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88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w:t>
            </w:r>
          </w:p>
        </w:tc>
        <w:tc>
          <w:tcPr>
            <w:tcW w:w="190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 – 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On/Off-Ramp (Standard)</w:t>
            </w:r>
          </w:p>
        </w:tc>
        <w:tc>
          <w:tcPr>
            <w:tcW w:w="19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211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8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88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190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0.25% – 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On/Off-Ramp (B2B/High-Volume)</w:t>
            </w:r>
          </w:p>
        </w:tc>
        <w:tc>
          <w:tcPr>
            <w:tcW w:w="19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211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0.15%</w:t>
            </w:r>
          </w:p>
        </w:tc>
        <w:tc>
          <w:tcPr>
            <w:tcW w:w="18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0.15%</w:t>
            </w:r>
          </w:p>
        </w:tc>
        <w:tc>
          <w:tcPr>
            <w:tcW w:w="188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190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0.05% – 1.65%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53" w:type="dxa"/>
            <w:shd w:val="clear" w:color="auto" w:fill="auto"/>
            <w:tcMar>
              <w:top w:w="150" w:type="dxa"/>
              <w:left w:w="0" w:type="dxa"/>
              <w:bottom w:w="150" w:type="dxa"/>
              <w:right w:w="240" w:type="dxa"/>
            </w:tcMar>
            <w:vAlign w:val="center"/>
          </w:tcPr>
          <w:p>
            <w:pPr>
              <w:rPr>
                <w:rFonts w:hint="default"/>
              </w:rPr>
            </w:pPr>
            <w:r>
              <w:rPr>
                <w:rFonts w:hint="default"/>
                <w:lang w:val="en-US" w:eastAsia="zh-CN"/>
              </w:rPr>
              <w:t>Local Transaction (Pay with Credits)</w:t>
            </w:r>
          </w:p>
        </w:tc>
        <w:tc>
          <w:tcPr>
            <w:tcW w:w="19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2111"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0.30%</w:t>
            </w:r>
          </w:p>
        </w:tc>
        <w:tc>
          <w:tcPr>
            <w:tcW w:w="188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0.30%</w:t>
            </w:r>
          </w:p>
        </w:tc>
        <w:tc>
          <w:tcPr>
            <w:tcW w:w="188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0.1% – 1%</w:t>
            </w:r>
          </w:p>
        </w:tc>
        <w:tc>
          <w:tcPr>
            <w:tcW w:w="190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0.15% – 1.30%</w:t>
            </w:r>
          </w:p>
        </w:tc>
      </w:tr>
    </w:tbl>
    <w:p>
      <w:pPr>
        <w:rPr>
          <w:rFonts w:hint="default"/>
        </w:rPr>
      </w:pPr>
      <w:r>
        <w:rPr>
          <w:rFonts w:hint="default"/>
        </w:rPr>
        <w:t>Notes:</w:t>
      </w:r>
    </w:p>
    <w:p/>
    <w:p>
      <w:r>
        <w:rPr>
          <w:rFonts w:hint="default"/>
        </w:rPr>
        <w:t>The Foundation does not charge any transaction fees.</w:t>
      </w:r>
    </w:p>
    <w:p/>
    <w:p/>
    <w:p>
      <w:r>
        <w:rPr>
          <w:rFonts w:hint="default"/>
        </w:rPr>
        <w:t>Government tax is jurisdiction-aware and negotiable per country, per corridor, per segment.</w:t>
      </w:r>
    </w:p>
    <w:p/>
    <w:p/>
    <w:p>
      <w:r>
        <w:rPr>
          <w:rFonts w:hint="default"/>
        </w:rPr>
        <w:t>B2B/High-Volume rates apply to transactions above $1M equivalent or partners processing high annual volumes, subject to agreement with host governments.</w:t>
      </w:r>
    </w:p>
    <w:p/>
    <w:p/>
    <w:p>
      <w:r>
        <w:rPr>
          <w:rFonts w:hint="default"/>
        </w:rPr>
        <w:t>Partners set their own margins within the defined maximums.</w:t>
      </w:r>
    </w:p>
    <w:p/>
    <w:p>
      <w:pPr>
        <w:rPr>
          <w:rFonts w:hint="default"/>
        </w:rPr>
      </w:pPr>
      <w:r>
        <w:rPr>
          <w:rFonts w:hint="default"/>
        </w:rPr>
        <w:t>5.2 Wallet-to-Wallet Transfers</w:t>
      </w:r>
    </w:p>
    <w:tbl>
      <w:tblPr>
        <w:tblStyle w:val="11"/>
        <w:tblW w:w="683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93"/>
        <w:gridCol w:w="1343"/>
        <w:gridCol w:w="2159"/>
        <w:gridCol w:w="13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99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Channel</w:t>
            </w:r>
          </w:p>
        </w:tc>
        <w:tc>
          <w:tcPr>
            <w:tcW w:w="134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Fee</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34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Super App Native</w:t>
            </w:r>
          </w:p>
        </w:tc>
        <w:tc>
          <w:tcPr>
            <w:tcW w:w="134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343" w:type="dxa"/>
            <w:shd w:val="clear" w:color="auto" w:fill="auto"/>
            <w:tcMar>
              <w:top w:w="150" w:type="dxa"/>
              <w:left w:w="240" w:type="dxa"/>
              <w:bottom w:w="150" w:type="dxa"/>
              <w:right w:w="0" w:type="dxa"/>
            </w:tcMar>
            <w:vAlign w:val="center"/>
          </w:tcPr>
          <w:p>
            <w:pPr>
              <w:rPr>
                <w:rFonts w:hint="default"/>
              </w:rPr>
            </w:pPr>
            <w:r>
              <w:rPr>
                <w:rFonts w:hint="default"/>
                <w:lang w:val="en-US" w:eastAsia="zh-CN"/>
              </w:rPr>
              <w:t>0% – 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Wallet</w:t>
            </w:r>
          </w:p>
        </w:tc>
        <w:tc>
          <w:tcPr>
            <w:tcW w:w="134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343" w:type="dxa"/>
            <w:shd w:val="clear" w:color="auto" w:fill="auto"/>
            <w:tcMar>
              <w:top w:w="150" w:type="dxa"/>
              <w:left w:w="240" w:type="dxa"/>
              <w:bottom w:w="150" w:type="dxa"/>
              <w:right w:w="0" w:type="dxa"/>
            </w:tcMar>
            <w:vAlign w:val="center"/>
          </w:tcPr>
          <w:p>
            <w:pPr>
              <w:rPr>
                <w:rFonts w:hint="default"/>
              </w:rPr>
            </w:pPr>
            <w:r>
              <w:rPr>
                <w:rFonts w:hint="default"/>
                <w:lang w:val="en-US" w:eastAsia="zh-CN"/>
              </w:rPr>
              <w:t>0% – 1%</w:t>
            </w:r>
          </w:p>
        </w:tc>
      </w:tr>
    </w:tbl>
    <w:p>
      <w:pPr>
        <w:rPr>
          <w:rFonts w:hint="default"/>
        </w:rPr>
      </w:pPr>
      <w:r>
        <w:rPr>
          <w:rFonts w:hint="default"/>
        </w:rPr>
        <w:t>Notes:</w:t>
      </w:r>
    </w:p>
    <w:p/>
    <w:p>
      <w:r>
        <w:rPr>
          <w:rFonts w:hint="default"/>
        </w:rPr>
        <w:t>No government tax as there is no realization event.</w:t>
      </w:r>
    </w:p>
    <w:p/>
    <w:p/>
    <w:p>
      <w:r>
        <w:rPr>
          <w:rFonts w:hint="default"/>
        </w:rPr>
        <w:t>This is a pure transfer of Credits between wallets.</w:t>
      </w:r>
    </w:p>
    <w:p/>
    <w:p/>
    <w:p>
      <w:r>
        <w:rPr>
          <w:rFonts w:hint="default"/>
        </w:rPr>
        <w:t>The Credits remain in the bridge layer.</w:t>
      </w:r>
    </w:p>
    <w:p/>
    <w:p/>
    <w:p>
      <w:r>
        <w:rPr>
          <w:rFonts w:hint="default"/>
        </w:rPr>
        <w:t>Partners earn the fee they set.</w:t>
      </w:r>
    </w:p>
    <w:p/>
    <w:p>
      <w:pPr>
        <w:rPr>
          <w:rFonts w:hint="default"/>
        </w:rPr>
      </w:pPr>
      <w:r>
        <w:rPr>
          <w:rFonts w:hint="default"/>
        </w:rPr>
        <w:t>5.3 On-Ramp and Off-Ramp — Africa</w:t>
      </w:r>
    </w:p>
    <w:tbl>
      <w:tblPr>
        <w:tblStyle w:val="11"/>
        <w:tblW w:w="99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2030"/>
        <w:gridCol w:w="1968"/>
        <w:gridCol w:w="2159"/>
        <w:gridCol w:w="19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76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Direction</w:t>
            </w:r>
          </w:p>
        </w:tc>
        <w:tc>
          <w:tcPr>
            <w:tcW w:w="203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Fee</w:t>
            </w:r>
          </w:p>
        </w:tc>
        <w:tc>
          <w:tcPr>
            <w:tcW w:w="19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97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68" w:type="dxa"/>
            <w:shd w:val="clear" w:color="auto" w:fill="auto"/>
            <w:tcMar>
              <w:top w:w="150" w:type="dxa"/>
              <w:left w:w="0" w:type="dxa"/>
              <w:bottom w:w="150" w:type="dxa"/>
              <w:right w:w="240" w:type="dxa"/>
            </w:tcMar>
            <w:vAlign w:val="center"/>
          </w:tcPr>
          <w:p>
            <w:pPr>
              <w:rPr>
                <w:rFonts w:hint="default"/>
              </w:rPr>
            </w:pPr>
            <w:r>
              <w:rPr>
                <w:rFonts w:hint="default"/>
                <w:lang w:val="en-US" w:eastAsia="zh-CN"/>
              </w:rPr>
              <w:t>Local → Credits</w:t>
            </w:r>
          </w:p>
        </w:tc>
        <w:tc>
          <w:tcPr>
            <w:tcW w:w="20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9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0.25% – 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68"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Credits → Local</w:t>
            </w:r>
          </w:p>
        </w:tc>
        <w:tc>
          <w:tcPr>
            <w:tcW w:w="20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9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0.25% – 1.80%</w:t>
            </w:r>
          </w:p>
        </w:tc>
      </w:tr>
    </w:tbl>
    <w:p>
      <w:pPr>
        <w:rPr>
          <w:rFonts w:hint="default"/>
        </w:rPr>
      </w:pPr>
      <w:r>
        <w:rPr>
          <w:rFonts w:hint="default"/>
        </w:rPr>
        <w:t>Examples:</w:t>
      </w:r>
    </w:p>
    <w:tbl>
      <w:tblPr>
        <w:tblStyle w:val="11"/>
        <w:tblW w:w="83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747"/>
        <w:gridCol w:w="1968"/>
        <w:gridCol w:w="2159"/>
        <w:gridCol w:w="14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74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Scenario</w:t>
            </w:r>
          </w:p>
        </w:tc>
        <w:tc>
          <w:tcPr>
            <w:tcW w:w="19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49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(Low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0.75%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(Medium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(High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1.75%</w:t>
            </w:r>
          </w:p>
        </w:tc>
      </w:tr>
    </w:tbl>
    <w:p>
      <w:pPr>
        <w:rPr>
          <w:rFonts w:hint="default"/>
        </w:rPr>
      </w:pPr>
      <w:r>
        <w:rPr>
          <w:rFonts w:hint="default"/>
        </w:rPr>
        <w:t>5.4 On-Ramp and Off-Ramp — Global</w:t>
      </w:r>
    </w:p>
    <w:tbl>
      <w:tblPr>
        <w:tblStyle w:val="11"/>
        <w:tblW w:w="101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997"/>
        <w:gridCol w:w="2029"/>
        <w:gridCol w:w="1968"/>
        <w:gridCol w:w="2159"/>
        <w:gridCol w:w="197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99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Direction</w:t>
            </w:r>
          </w:p>
        </w:tc>
        <w:tc>
          <w:tcPr>
            <w:tcW w:w="202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Fee</w:t>
            </w:r>
          </w:p>
        </w:tc>
        <w:tc>
          <w:tcPr>
            <w:tcW w:w="19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97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Foreign → Credits</w:t>
            </w:r>
          </w:p>
        </w:tc>
        <w:tc>
          <w:tcPr>
            <w:tcW w:w="20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978" w:type="dxa"/>
            <w:shd w:val="clear" w:color="auto" w:fill="auto"/>
            <w:tcMar>
              <w:top w:w="150" w:type="dxa"/>
              <w:left w:w="240" w:type="dxa"/>
              <w:bottom w:w="150" w:type="dxa"/>
              <w:right w:w="0" w:type="dxa"/>
            </w:tcMar>
            <w:vAlign w:val="center"/>
          </w:tcPr>
          <w:p>
            <w:pPr>
              <w:rPr>
                <w:rFonts w:hint="default"/>
              </w:rPr>
            </w:pPr>
            <w:r>
              <w:rPr>
                <w:rFonts w:hint="default"/>
                <w:lang w:val="en-US" w:eastAsia="zh-CN"/>
              </w:rPr>
              <w:t>0.25% – 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9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Credits → Foreign</w:t>
            </w:r>
          </w:p>
        </w:tc>
        <w:tc>
          <w:tcPr>
            <w:tcW w:w="20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1978" w:type="dxa"/>
            <w:shd w:val="clear" w:color="auto" w:fill="auto"/>
            <w:tcMar>
              <w:top w:w="150" w:type="dxa"/>
              <w:left w:w="240" w:type="dxa"/>
              <w:bottom w:w="150" w:type="dxa"/>
              <w:right w:w="0" w:type="dxa"/>
            </w:tcMar>
            <w:vAlign w:val="center"/>
          </w:tcPr>
          <w:p>
            <w:pPr>
              <w:rPr>
                <w:rFonts w:hint="default"/>
              </w:rPr>
            </w:pPr>
            <w:r>
              <w:rPr>
                <w:rFonts w:hint="default"/>
                <w:lang w:val="en-US" w:eastAsia="zh-CN"/>
              </w:rPr>
              <w:t>0.25% – 1.80%</w:t>
            </w:r>
          </w:p>
        </w:tc>
      </w:tr>
    </w:tbl>
    <w:p>
      <w:pPr>
        <w:rPr>
          <w:rFonts w:hint="default"/>
        </w:rPr>
      </w:pPr>
      <w:r>
        <w:rPr>
          <w:rFonts w:hint="default"/>
        </w:rPr>
        <w:t>Examples:</w:t>
      </w:r>
    </w:p>
    <w:tbl>
      <w:tblPr>
        <w:tblStyle w:val="11"/>
        <w:tblW w:w="83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747"/>
        <w:gridCol w:w="1968"/>
        <w:gridCol w:w="2159"/>
        <w:gridCol w:w="14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74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Scenario</w:t>
            </w:r>
          </w:p>
        </w:tc>
        <w:tc>
          <w:tcPr>
            <w:tcW w:w="19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49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(Low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0.75%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(Medium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747"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(High Margin)</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w:t>
            </w:r>
          </w:p>
        </w:tc>
        <w:tc>
          <w:tcPr>
            <w:tcW w:w="1491" w:type="dxa"/>
            <w:shd w:val="clear" w:color="auto" w:fill="auto"/>
            <w:tcMar>
              <w:top w:w="150" w:type="dxa"/>
              <w:left w:w="240" w:type="dxa"/>
              <w:bottom w:w="150" w:type="dxa"/>
              <w:right w:w="0" w:type="dxa"/>
            </w:tcMar>
            <w:vAlign w:val="center"/>
          </w:tcPr>
          <w:p>
            <w:pPr>
              <w:rPr>
                <w:rFonts w:hint="default"/>
              </w:rPr>
            </w:pPr>
            <w:r>
              <w:rPr>
                <w:rFonts w:hint="default"/>
                <w:lang w:val="en-US" w:eastAsia="zh-CN"/>
              </w:rPr>
              <w:t>1.75%</w:t>
            </w:r>
          </w:p>
        </w:tc>
      </w:tr>
    </w:tbl>
    <w:p>
      <w:pPr>
        <w:rPr>
          <w:rFonts w:hint="default"/>
        </w:rPr>
      </w:pPr>
      <w:r>
        <w:rPr>
          <w:rFonts w:hint="default"/>
        </w:rPr>
        <w:t>5.5 B2B/High-Volume On-Ramp and Off-Ramp</w:t>
      </w:r>
    </w:p>
    <w:tbl>
      <w:tblPr>
        <w:tblStyle w:val="11"/>
        <w:tblW w:w="990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68"/>
        <w:gridCol w:w="2030"/>
        <w:gridCol w:w="1968"/>
        <w:gridCol w:w="2159"/>
        <w:gridCol w:w="19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76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Direction</w:t>
            </w:r>
          </w:p>
        </w:tc>
        <w:tc>
          <w:tcPr>
            <w:tcW w:w="203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Fee</w:t>
            </w:r>
          </w:p>
        </w:tc>
        <w:tc>
          <w:tcPr>
            <w:tcW w:w="19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21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w:t>
            </w:r>
          </w:p>
        </w:tc>
        <w:tc>
          <w:tcPr>
            <w:tcW w:w="197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68" w:type="dxa"/>
            <w:shd w:val="clear" w:color="auto" w:fill="auto"/>
            <w:tcMar>
              <w:top w:w="150" w:type="dxa"/>
              <w:left w:w="0" w:type="dxa"/>
              <w:bottom w:w="150" w:type="dxa"/>
              <w:right w:w="240" w:type="dxa"/>
            </w:tcMar>
            <w:vAlign w:val="center"/>
          </w:tcPr>
          <w:p>
            <w:pPr>
              <w:rPr>
                <w:rFonts w:hint="default"/>
              </w:rPr>
            </w:pPr>
            <w:r>
              <w:rPr>
                <w:rFonts w:hint="default"/>
                <w:lang w:val="en-US" w:eastAsia="zh-CN"/>
              </w:rPr>
              <w:t>Local → Credits</w:t>
            </w:r>
          </w:p>
        </w:tc>
        <w:tc>
          <w:tcPr>
            <w:tcW w:w="20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0.15%</w:t>
            </w:r>
          </w:p>
        </w:tc>
        <w:tc>
          <w:tcPr>
            <w:tcW w:w="19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0.05% – 1.65%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68"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Credits → Local</w:t>
            </w:r>
          </w:p>
        </w:tc>
        <w:tc>
          <w:tcPr>
            <w:tcW w:w="203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19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 – 1.5%</w:t>
            </w:r>
          </w:p>
        </w:tc>
        <w:tc>
          <w:tcPr>
            <w:tcW w:w="215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0.15%</w:t>
            </w:r>
          </w:p>
        </w:tc>
        <w:tc>
          <w:tcPr>
            <w:tcW w:w="19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0.05% – 1.65%</w:t>
            </w:r>
          </w:p>
        </w:tc>
      </w:tr>
    </w:tbl>
    <w:p>
      <w:pPr>
        <w:rPr>
          <w:rFonts w:hint="default"/>
        </w:rPr>
      </w:pPr>
      <w:r>
        <w:rPr>
          <w:rFonts w:hint="default"/>
        </w:rPr>
        <w:t>Note: B2B rates apply to transactions above $1M equivalent or for partners processing high annual volumes, subject to agreement with host governments.</w:t>
      </w:r>
    </w:p>
    <w:p>
      <w:pPr>
        <w:rPr>
          <w:rFonts w:hint="default"/>
        </w:rPr>
      </w:pPr>
      <w:r>
        <w:rPr>
          <w:rFonts w:hint="default"/>
        </w:rPr>
        <w:t>5.6 Local Transactions Using Credits (Auto-Convert)</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593"/>
        <w:gridCol w:w="3358"/>
        <w:gridCol w:w="43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59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Fee Component</w:t>
            </w:r>
          </w:p>
        </w:tc>
        <w:tc>
          <w:tcPr>
            <w:tcW w:w="335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Rate</w:t>
            </w:r>
          </w:p>
        </w:tc>
        <w:tc>
          <w:tcPr>
            <w:tcW w:w="432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Recipient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Foundation Fee</w:t>
            </w:r>
          </w:p>
        </w:tc>
        <w:tc>
          <w:tcPr>
            <w:tcW w:w="335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w:t>
            </w:r>
          </w:p>
        </w:tc>
        <w:tc>
          <w:tcPr>
            <w:tcW w:w="43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Foundation Treasury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Processing</w:t>
            </w:r>
          </w:p>
        </w:tc>
        <w:tc>
          <w:tcPr>
            <w:tcW w:w="335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0.1% – 1%</w:t>
            </w:r>
          </w:p>
        </w:tc>
        <w:tc>
          <w:tcPr>
            <w:tcW w:w="43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 Rail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Government Tax</w:t>
            </w:r>
          </w:p>
        </w:tc>
        <w:tc>
          <w:tcPr>
            <w:tcW w:w="335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0.30%</w:t>
            </w:r>
          </w:p>
        </w:tc>
        <w:tc>
          <w:tcPr>
            <w:tcW w:w="43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Local Government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93" w:type="dxa"/>
            <w:shd w:val="clear" w:color="auto" w:fill="auto"/>
            <w:tcMar>
              <w:top w:w="150" w:type="dxa"/>
              <w:left w:w="0" w:type="dxa"/>
              <w:bottom w:w="150" w:type="dxa"/>
              <w:right w:w="240" w:type="dxa"/>
            </w:tcMar>
            <w:vAlign w:val="center"/>
          </w:tcPr>
          <w:p>
            <w:pPr>
              <w:rPr>
                <w:rFonts w:hint="default"/>
              </w:rPr>
            </w:pPr>
            <w:r>
              <w:rPr>
                <w:rFonts w:hint="default"/>
                <w:lang w:val="en-US" w:eastAsia="zh-CN"/>
              </w:rPr>
              <w:t>Total</w:t>
            </w:r>
          </w:p>
        </w:tc>
        <w:tc>
          <w:tcPr>
            <w:tcW w:w="335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0.15% – 1.30%</w:t>
            </w:r>
          </w:p>
        </w:tc>
        <w:tc>
          <w:tcPr>
            <w:tcW w:w="43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bl>
    <w:p>
      <w:pPr>
        <w:rPr>
          <w:rFonts w:hint="default"/>
        </w:rPr>
      </w:pPr>
      <w:r>
        <w:rPr>
          <w:rFonts w:hint="default"/>
        </w:rPr>
        <w:t>Critical Clarification:</w:t>
      </w:r>
    </w:p>
    <w:p>
      <w:r>
        <w:rPr>
          <w:rFonts w:hint="default"/>
        </w:rPr>
        <w:t>"When a user selects Credits for a local transaction, Credits convert instantly to local currency in the background. Merchants and billers receive only local currency. Credits are never accepted directly by any merchant, biller, or service provider within the domestic economy. The user sees a simple 'Pay with Credits' option, but the settlement is always in local currency. This ensures Credits remain a bridge layer and never function as a parallel currency."</w:t>
      </w:r>
    </w:p>
    <w:p>
      <w:pPr>
        <w:rPr>
          <w:rFonts w:hint="default"/>
        </w:rPr>
      </w:pPr>
      <w:r>
        <w:rPr>
          <w:rFonts w:hint="default"/>
        </w:rPr>
        <w:t>Notes:</w:t>
      </w:r>
    </w:p>
    <w:p/>
    <w:p>
      <w:r>
        <w:rPr>
          <w:rFonts w:hint="default"/>
        </w:rPr>
        <w:t>This applies when a user pays a bill, buys groceries, or makes any local purchase using Credits.</w:t>
      </w:r>
    </w:p>
    <w:p/>
    <w:p/>
    <w:p>
      <w:r>
        <w:rPr>
          <w:rFonts w:hint="default"/>
        </w:rPr>
        <w:t>Credits convert instantly to local currency in the background.</w:t>
      </w:r>
    </w:p>
    <w:p/>
    <w:p/>
    <w:p>
      <w:r>
        <w:rPr>
          <w:rFonts w:hint="default"/>
        </w:rPr>
        <w:t>The user sees a simple payment — the conversion is invisible.</w:t>
      </w:r>
    </w:p>
    <w:p/>
    <w:p>
      <w:pPr>
        <w:rPr>
          <w:rFonts w:hint="default"/>
        </w:rPr>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6. PARTNER MARGIN GUIDELINES</w:t>
      </w:r>
    </w:p>
    <w:p>
      <w:pPr>
        <w:rPr>
          <w:rFonts w:hint="default"/>
        </w:rPr>
      </w:pPr>
      <w:r>
        <w:rPr>
          <w:rFonts w:hint="default"/>
        </w:rPr>
        <w:t>6.1 Overview</w:t>
      </w:r>
    </w:p>
    <w:p>
      <w:pPr>
        <w:rPr>
          <w:rFonts w:hint="default"/>
        </w:rPr>
      </w:pPr>
      <w:r>
        <w:rPr>
          <w:rFonts w:hint="default"/>
        </w:rPr>
        <w:t>Partners may add a margin on top of the government tax base for conversions. This margin is how partners earn revenue from the Jowih Credits ecosystem.</w:t>
      </w:r>
    </w:p>
    <w:p>
      <w:pPr>
        <w:rPr>
          <w:rFonts w:hint="default"/>
        </w:rPr>
      </w:pPr>
      <w:r>
        <w:rPr>
          <w:rFonts w:hint="default"/>
        </w:rPr>
        <w:t>Partners have flexibility to structure their margins across different transaction amounts, user tiers, or market conditions. This allows them to compete effectively, attract different user segments, and optimize their revenue.</w:t>
      </w:r>
    </w:p>
    <w:p>
      <w:pPr>
        <w:rPr>
          <w:rFonts w:hint="default"/>
        </w:rPr>
      </w:pPr>
      <w:r>
        <w:rPr>
          <w:rFonts w:hint="default"/>
        </w:rPr>
        <w:t>6.2 Maximum Margin</w:t>
      </w:r>
    </w:p>
    <w:p>
      <w:pPr>
        <w:rPr>
          <w:rFonts w:hint="default"/>
        </w:rPr>
      </w:pPr>
      <w:r>
        <w:rPr>
          <w:rFonts w:hint="default"/>
        </w:rPr>
        <w:t>The maximum partner margin is:</w:t>
      </w:r>
    </w:p>
    <w:p/>
    <w:p>
      <w:r>
        <w:rPr>
          <w:rFonts w:hint="default"/>
        </w:rPr>
        <w:t>On-ramp/Off-ramp: 1.5% per transaction leg</w:t>
      </w:r>
    </w:p>
    <w:p/>
    <w:p/>
    <w:p>
      <w:r>
        <w:rPr>
          <w:rFonts w:hint="default"/>
        </w:rPr>
        <w:t>Local Transactions: 0.1% – 1%</w:t>
      </w:r>
    </w:p>
    <w:p/>
    <w:p/>
    <w:p>
      <w:r>
        <w:rPr>
          <w:rFonts w:hint="default"/>
        </w:rPr>
        <w:t>Wallet-to-Wallet Transfers: 0% – 1%</w:t>
      </w:r>
    </w:p>
    <w:p/>
    <w:p>
      <w:pPr>
        <w:rPr>
          <w:rFonts w:hint="default"/>
        </w:rPr>
      </w:pPr>
      <w:r>
        <w:rPr>
          <w:rFonts w:hint="default"/>
        </w:rPr>
        <w:t>Partners may not exceed these maximums under any circumstance.</w:t>
      </w:r>
    </w:p>
    <w:p>
      <w:pPr>
        <w:rPr>
          <w:rFonts w:hint="default"/>
        </w:rPr>
      </w:pPr>
      <w:r>
        <w:rPr>
          <w:rFonts w:hint="default"/>
        </w:rPr>
        <w:t>6.3 Margin Structuring — Flexibility</w:t>
      </w:r>
    </w:p>
    <w:p>
      <w:pPr>
        <w:rPr>
          <w:rFonts w:hint="default"/>
        </w:rPr>
      </w:pPr>
      <w:r>
        <w:rPr>
          <w:rFonts w:hint="default"/>
        </w:rPr>
        <w:t>Partners may structure their margins in one or more of the following ways:</w:t>
      </w:r>
    </w:p>
    <w:p>
      <w:pPr>
        <w:rPr>
          <w:rFonts w:hint="default"/>
        </w:rPr>
      </w:pPr>
      <w:r>
        <w:rPr>
          <w:rFonts w:hint="default"/>
        </w:rPr>
        <w:t>(a) Tiered by Transaction Amount:</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092"/>
        <w:gridCol w:w="3555"/>
        <w:gridCol w:w="36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09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Amount</w:t>
            </w:r>
          </w:p>
        </w:tc>
        <w:tc>
          <w:tcPr>
            <w:tcW w:w="355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363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User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0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$0 – $100</w:t>
            </w:r>
          </w:p>
        </w:tc>
        <w:tc>
          <w:tcPr>
            <w:tcW w:w="355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3631"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0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$101 – $1,000</w:t>
            </w:r>
          </w:p>
        </w:tc>
        <w:tc>
          <w:tcPr>
            <w:tcW w:w="355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0.8%</w:t>
            </w:r>
          </w:p>
        </w:tc>
        <w:tc>
          <w:tcPr>
            <w:tcW w:w="3631"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0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$1,001 – $10,000</w:t>
            </w:r>
          </w:p>
        </w:tc>
        <w:tc>
          <w:tcPr>
            <w:tcW w:w="355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0.5%</w:t>
            </w:r>
          </w:p>
        </w:tc>
        <w:tc>
          <w:tcPr>
            <w:tcW w:w="3631"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092" w:type="dxa"/>
            <w:shd w:val="clear" w:color="auto" w:fill="auto"/>
            <w:tcMar>
              <w:top w:w="150" w:type="dxa"/>
              <w:left w:w="0" w:type="dxa"/>
              <w:bottom w:w="150" w:type="dxa"/>
              <w:right w:w="240" w:type="dxa"/>
            </w:tcMar>
            <w:vAlign w:val="center"/>
          </w:tcPr>
          <w:p>
            <w:pPr>
              <w:rPr>
                <w:rFonts w:hint="default"/>
              </w:rPr>
            </w:pPr>
            <w:r>
              <w:rPr>
                <w:rFonts w:hint="default"/>
                <w:lang w:val="en-US" w:eastAsia="zh-CN"/>
              </w:rPr>
              <w:t>$10,001+</w:t>
            </w:r>
          </w:p>
        </w:tc>
        <w:tc>
          <w:tcPr>
            <w:tcW w:w="355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0.3%</w:t>
            </w:r>
          </w:p>
        </w:tc>
        <w:tc>
          <w:tcPr>
            <w:tcW w:w="3631"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+ 0.3%</w:t>
            </w:r>
          </w:p>
        </w:tc>
      </w:tr>
    </w:tbl>
    <w:p>
      <w:pPr>
        <w:rPr>
          <w:rFonts w:hint="default"/>
        </w:rPr>
      </w:pPr>
      <w:r>
        <w:rPr>
          <w:rFonts w:hint="default"/>
        </w:rPr>
        <w:t>This example is illustrative. Partners may set their own tiers within the maximum.</w:t>
      </w:r>
    </w:p>
    <w:p>
      <w:pPr>
        <w:rPr>
          <w:rFonts w:hint="default"/>
        </w:rPr>
      </w:pPr>
      <w:r>
        <w:rPr>
          <w:rFonts w:hint="default"/>
        </w:rPr>
        <w:t>(b) Tiered by User Type: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578"/>
        <w:gridCol w:w="3315"/>
        <w:gridCol w:w="33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57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User Type</w:t>
            </w:r>
          </w:p>
        </w:tc>
        <w:tc>
          <w:tcPr>
            <w:tcW w:w="331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338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User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Individual (Standard)</w:t>
            </w:r>
          </w:p>
        </w:tc>
        <w:tc>
          <w:tcPr>
            <w:tcW w:w="33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Individual (High Volume)</w:t>
            </w:r>
          </w:p>
        </w:tc>
        <w:tc>
          <w:tcPr>
            <w:tcW w:w="33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0.5%</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SME / Business</w:t>
            </w:r>
          </w:p>
        </w:tc>
        <w:tc>
          <w:tcPr>
            <w:tcW w:w="33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0.4%</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Corporate</w:t>
            </w:r>
          </w:p>
        </w:tc>
        <w:tc>
          <w:tcPr>
            <w:tcW w:w="33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0.3%</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+ 0.3%</w:t>
            </w:r>
          </w:p>
        </w:tc>
      </w:tr>
    </w:tbl>
    <w:p>
      <w:pPr>
        <w:rPr>
          <w:rFonts w:hint="default"/>
        </w:rPr>
      </w:pPr>
      <w:r>
        <w:rPr>
          <w:rFonts w:hint="default"/>
        </w:rPr>
        <w:t>This example is illustrative. Partners may set their own user tiers within the maximum.</w:t>
      </w:r>
    </w:p>
    <w:p>
      <w:pPr>
        <w:rPr>
          <w:rFonts w:hint="default"/>
        </w:rPr>
      </w:pPr>
      <w:r>
        <w:rPr>
          <w:rFonts w:hint="default"/>
        </w:rPr>
        <w:t>(c) Tiered by Market Conditions: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944"/>
        <w:gridCol w:w="3629"/>
        <w:gridCol w:w="37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944"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Market Condition</w:t>
            </w:r>
          </w:p>
        </w:tc>
        <w:tc>
          <w:tcPr>
            <w:tcW w:w="362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370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User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44" w:type="dxa"/>
            <w:shd w:val="clear" w:color="auto" w:fill="auto"/>
            <w:tcMar>
              <w:top w:w="150" w:type="dxa"/>
              <w:left w:w="0" w:type="dxa"/>
              <w:bottom w:w="150" w:type="dxa"/>
              <w:right w:w="240" w:type="dxa"/>
            </w:tcMar>
            <w:vAlign w:val="center"/>
          </w:tcPr>
          <w:p>
            <w:pPr>
              <w:rPr>
                <w:rFonts w:hint="default"/>
              </w:rPr>
            </w:pPr>
            <w:r>
              <w:rPr>
                <w:rFonts w:hint="default"/>
                <w:lang w:val="en-US" w:eastAsia="zh-CN"/>
              </w:rPr>
              <w:t>Standard</w:t>
            </w:r>
          </w:p>
        </w:tc>
        <w:tc>
          <w:tcPr>
            <w:tcW w:w="36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1.0%</w:t>
            </w:r>
          </w:p>
        </w:tc>
        <w:tc>
          <w:tcPr>
            <w:tcW w:w="37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44" w:type="dxa"/>
            <w:shd w:val="clear" w:color="auto" w:fill="auto"/>
            <w:tcMar>
              <w:top w:w="150" w:type="dxa"/>
              <w:left w:w="0" w:type="dxa"/>
              <w:bottom w:w="150" w:type="dxa"/>
              <w:right w:w="240" w:type="dxa"/>
            </w:tcMar>
            <w:vAlign w:val="center"/>
          </w:tcPr>
          <w:p>
            <w:pPr>
              <w:rPr>
                <w:rFonts w:hint="default"/>
              </w:rPr>
            </w:pPr>
            <w:r>
              <w:rPr>
                <w:rFonts w:hint="default"/>
                <w:lang w:val="en-US" w:eastAsia="zh-CN"/>
              </w:rPr>
              <w:t>Promotional Period</w:t>
            </w:r>
          </w:p>
        </w:tc>
        <w:tc>
          <w:tcPr>
            <w:tcW w:w="36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0.5%</w:t>
            </w:r>
          </w:p>
        </w:tc>
        <w:tc>
          <w:tcPr>
            <w:tcW w:w="37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44" w:type="dxa"/>
            <w:shd w:val="clear" w:color="auto" w:fill="auto"/>
            <w:tcMar>
              <w:top w:w="150" w:type="dxa"/>
              <w:left w:w="0" w:type="dxa"/>
              <w:bottom w:w="150" w:type="dxa"/>
              <w:right w:w="240" w:type="dxa"/>
            </w:tcMar>
            <w:vAlign w:val="center"/>
          </w:tcPr>
          <w:p>
            <w:pPr>
              <w:rPr>
                <w:rFonts w:hint="default"/>
              </w:rPr>
            </w:pPr>
            <w:r>
              <w:rPr>
                <w:rFonts w:hint="default"/>
                <w:lang w:val="en-US" w:eastAsia="zh-CN"/>
              </w:rPr>
              <w:t>High Competition</w:t>
            </w:r>
          </w:p>
        </w:tc>
        <w:tc>
          <w:tcPr>
            <w:tcW w:w="36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0.3%</w:t>
            </w:r>
          </w:p>
        </w:tc>
        <w:tc>
          <w:tcPr>
            <w:tcW w:w="37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44" w:type="dxa"/>
            <w:shd w:val="clear" w:color="auto" w:fill="auto"/>
            <w:tcMar>
              <w:top w:w="150" w:type="dxa"/>
              <w:left w:w="0" w:type="dxa"/>
              <w:bottom w:w="150" w:type="dxa"/>
              <w:right w:w="240" w:type="dxa"/>
            </w:tcMar>
            <w:vAlign w:val="center"/>
          </w:tcPr>
          <w:p>
            <w:pPr>
              <w:rPr>
                <w:rFonts w:hint="default"/>
              </w:rPr>
            </w:pPr>
            <w:r>
              <w:rPr>
                <w:rFonts w:hint="default"/>
                <w:lang w:val="en-US" w:eastAsia="zh-CN"/>
              </w:rPr>
              <w:t>Peak Demand</w:t>
            </w:r>
          </w:p>
        </w:tc>
        <w:tc>
          <w:tcPr>
            <w:tcW w:w="36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1.2%</w:t>
            </w:r>
          </w:p>
        </w:tc>
        <w:tc>
          <w:tcPr>
            <w:tcW w:w="3706"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+ 1.2%</w:t>
            </w:r>
          </w:p>
        </w:tc>
      </w:tr>
    </w:tbl>
    <w:p>
      <w:pPr>
        <w:rPr>
          <w:rFonts w:hint="default"/>
        </w:rPr>
      </w:pPr>
      <w:r>
        <w:rPr>
          <w:rFonts w:hint="default"/>
        </w:rPr>
        <w:t>This example is illustrative. Partners may set their own market-based margins within the maximum.</w:t>
      </w:r>
    </w:p>
    <w:p>
      <w:pPr>
        <w:rPr>
          <w:rFonts w:hint="default"/>
        </w:rPr>
      </w:pPr>
      <w:r>
        <w:rPr>
          <w:rFonts w:hint="default"/>
        </w:rPr>
        <w:t>(d) Flat Margin:</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134"/>
        <w:gridCol w:w="4029"/>
        <w:gridCol w:w="41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134"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Partner Type</w:t>
            </w:r>
          </w:p>
        </w:tc>
        <w:tc>
          <w:tcPr>
            <w:tcW w:w="402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Partner Margin</w:t>
            </w:r>
          </w:p>
        </w:tc>
        <w:tc>
          <w:tcPr>
            <w:tcW w:w="411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Total User Cost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1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M-Pesa</w:t>
            </w:r>
          </w:p>
        </w:tc>
        <w:tc>
          <w:tcPr>
            <w:tcW w:w="40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0.8%</w:t>
            </w:r>
          </w:p>
        </w:tc>
        <w:tc>
          <w:tcPr>
            <w:tcW w:w="41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1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Bank</w:t>
            </w:r>
          </w:p>
        </w:tc>
        <w:tc>
          <w:tcPr>
            <w:tcW w:w="40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0.6%</w:t>
            </w:r>
          </w:p>
        </w:tc>
        <w:tc>
          <w:tcPr>
            <w:tcW w:w="41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134"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PayPal</w:t>
            </w:r>
          </w:p>
        </w:tc>
        <w:tc>
          <w:tcPr>
            <w:tcW w:w="402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0.7%</w:t>
            </w:r>
          </w:p>
        </w:tc>
        <w:tc>
          <w:tcPr>
            <w:tcW w:w="41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Base + 0.7%</w:t>
            </w:r>
          </w:p>
        </w:tc>
      </w:tr>
    </w:tbl>
    <w:p>
      <w:pPr>
        <w:rPr>
          <w:rFonts w:hint="default"/>
        </w:rPr>
      </w:pPr>
      <w:r>
        <w:rPr>
          <w:rFonts w:hint="default"/>
        </w:rPr>
        <w:t>This example is illustrative. Partners may set their own flat margins within the maximum.</w:t>
      </w:r>
    </w:p>
    <w:p>
      <w:pPr>
        <w:rPr>
          <w:rFonts w:hint="default"/>
        </w:rPr>
      </w:pPr>
      <w:r>
        <w:rPr>
          <w:rFonts w:hint="default"/>
        </w:rPr>
        <w:t>All tiered structures must be clearly documented and disclosed to users.</w:t>
      </w:r>
    </w:p>
    <w:p>
      <w:pPr>
        <w:rPr>
          <w:rFonts w:hint="default"/>
        </w:rPr>
      </w:pPr>
      <w:r>
        <w:rPr>
          <w:rFonts w:hint="default"/>
        </w:rPr>
        <w:t>6.4 Margin Changes</w:t>
      </w:r>
    </w:p>
    <w:p>
      <w:pPr>
        <w:rPr>
          <w:rFonts w:hint="default"/>
        </w:rPr>
      </w:pPr>
      <w:r>
        <w:rPr>
          <w:rFonts w:hint="default"/>
        </w:rPr>
        <w:t>Partners may adjust their margin structure at any time, subject to:</w:t>
      </w:r>
    </w:p>
    <w:p/>
    <w:p>
      <w:r>
        <w:rPr>
          <w:rFonts w:hint="default"/>
        </w:rPr>
        <w:t>10 business days' notice to the Foundation</w:t>
      </w:r>
    </w:p>
    <w:p/>
    <w:p/>
    <w:p>
      <w:r>
        <w:rPr>
          <w:rFonts w:hint="default"/>
        </w:rPr>
        <w:t>5 business days' notice to users before any changes take effect</w:t>
      </w:r>
    </w:p>
    <w:p/>
    <w:p/>
    <w:p>
      <w:r>
        <w:rPr>
          <w:rFonts w:hint="default"/>
        </w:rPr>
        <w:t>The new structure remains within the applicable maximums</w:t>
      </w:r>
    </w:p>
    <w:p/>
    <w:p>
      <w:pPr>
        <w:rPr>
          <w:rFonts w:hint="default"/>
        </w:rPr>
      </w:pPr>
      <w:r>
        <w:rPr>
          <w:rFonts w:hint="default"/>
        </w:rPr>
        <w:t>6.5 Disclosure</w:t>
      </w:r>
    </w:p>
    <w:p>
      <w:pPr>
        <w:rPr>
          <w:rFonts w:hint="default"/>
        </w:rPr>
      </w:pPr>
      <w:r>
        <w:rPr>
          <w:rFonts w:hint="default"/>
        </w:rPr>
        <w:t>Partners must clearly display their margin to users before conversion. The display must include:</w:t>
      </w:r>
    </w:p>
    <w:p/>
    <w:p>
      <w:r>
        <w:rPr>
          <w:rFonts w:hint="default"/>
        </w:rPr>
        <w:t>Government Tax Base</w:t>
      </w:r>
    </w:p>
    <w:p/>
    <w:p/>
    <w:p>
      <w:r>
        <w:rPr>
          <w:rFonts w:hint="default"/>
        </w:rPr>
        <w:t>Partner Margin (and tier details if applicable)</w:t>
      </w:r>
    </w:p>
    <w:p/>
    <w:p/>
    <w:p>
      <w:r>
        <w:rPr>
          <w:rFonts w:hint="default"/>
        </w:rPr>
        <w:t>Total Cost</w:t>
      </w:r>
    </w:p>
    <w:p/>
    <w:p>
      <w:pPr>
        <w:rPr>
          <w:rFonts w:hint="default"/>
        </w:rPr>
      </w:pPr>
      <w:r>
        <w:rPr>
          <w:rFonts w:hint="default"/>
        </w:rPr>
        <w:t>6.6 Transparency Requirement</w:t>
      </w:r>
    </w:p>
    <w:p>
      <w:pPr>
        <w:rPr>
          <w:rFonts w:hint="default"/>
        </w:rPr>
      </w:pPr>
      <w:r>
        <w:rPr>
          <w:rFonts w:hint="default"/>
        </w:rPr>
        <w:t>Partners must ensure that:</w:t>
      </w:r>
    </w:p>
    <w:p/>
    <w:p>
      <w:r>
        <w:rPr>
          <w:rFonts w:hint="default"/>
        </w:rPr>
        <w:t>Users see the total cost before confirming</w:t>
      </w:r>
    </w:p>
    <w:p/>
    <w:p/>
    <w:p>
      <w:r>
        <w:rPr>
          <w:rFonts w:hint="default"/>
        </w:rPr>
        <w:t>The breakdown of fees is clearly shown</w:t>
      </w:r>
    </w:p>
    <w:p/>
    <w:p/>
    <w:p>
      <w:r>
        <w:rPr>
          <w:rFonts w:hint="default"/>
        </w:rPr>
        <w:t>Users can compare rates across partners</w:t>
      </w:r>
    </w:p>
    <w:p/>
    <w:p/>
    <w:p>
      <w:r>
        <w:rPr>
          <w:rFonts w:hint="default"/>
        </w:rPr>
        <w:t>Users are notified of any changes to margins</w:t>
      </w:r>
    </w:p>
    <w:p/>
    <w:p>
      <w:pPr>
        <w:rPr>
          <w:rFonts w:hint="default"/>
        </w:rPr>
      </w:pPr>
      <w:r>
        <w:pict>
          <v:rect id="_x0000_i103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7. DOMESTIC SPENDING — AUTO-CONVERSION</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3"/>
        <w:gridCol w:w="3208"/>
        <w:gridCol w:w="72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77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320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729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Select payment method</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Choose "Pay with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Conversion</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convert instantly to local currency in the background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Settlement</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Merchant receives local currency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Confirmation</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 receives confirmation of payment</w:t>
            </w:r>
          </w:p>
        </w:tc>
      </w:tr>
    </w:tbl>
    <w:p>
      <w:pPr>
        <w:rPr>
          <w:rFonts w:hint="default"/>
        </w:rPr>
      </w:pPr>
      <w:r>
        <w:rPr>
          <w:rFonts w:hint="default"/>
        </w:rPr>
        <w:t>Critical Clarification:</w:t>
      </w:r>
    </w:p>
    <w:p>
      <w:r>
        <w:rPr>
          <w:rFonts w:hint="default"/>
        </w:rPr>
        <w:t>"Credits are never accepted directly by merchants, billers, or service providers. When a user selects 'Pay with Credits,' the Credits convert instantly to local currency in the background. The merchant, biller, or service provider receives only local currency. This ensures Credits remain a bridge layer and never function as a parallel currency within any domestic economy."</w:t>
      </w:r>
    </w:p>
    <w:p>
      <w:pPr>
        <w:rPr>
          <w:rFonts w:hint="default"/>
        </w:rPr>
      </w:pPr>
      <w:r>
        <w:rPr>
          <w:rFonts w:hint="default"/>
        </w:rPr>
        <w:t>Note: The conversion is invisible to the user. They see a simple payment. Credits never enter the domestic economy.</w:t>
      </w:r>
    </w:p>
    <w:p>
      <w:pPr>
        <w:rPr>
          <w:rFonts w:hint="default"/>
        </w:rPr>
      </w:pPr>
      <w:r>
        <w:rPr>
          <w:rFonts w:hint="default"/>
        </w:rPr>
        <w:pict>
          <v:rect id="_x0000_i103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8. HOLDING PERIOD</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042"/>
        <w:gridCol w:w="62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04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Period</w:t>
            </w:r>
          </w:p>
        </w:tc>
        <w:tc>
          <w:tcPr>
            <w:tcW w:w="623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0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0 – 6 months</w:t>
            </w:r>
          </w:p>
        </w:tc>
        <w:tc>
          <w:tcPr>
            <w:tcW w:w="62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Normal holding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0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6 months</w:t>
            </w:r>
          </w:p>
        </w:tc>
        <w:tc>
          <w:tcPr>
            <w:tcW w:w="62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Notification to convert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0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6 months + 1 week</w:t>
            </w:r>
          </w:p>
        </w:tc>
        <w:tc>
          <w:tcPr>
            <w:tcW w:w="62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Grace period</w:t>
            </w:r>
          </w:p>
        </w:tc>
      </w:tr>
    </w:tbl>
    <w:p>
      <w:pPr>
        <w:rPr>
          <w:rFonts w:hint="default"/>
        </w:rPr>
      </w:pPr>
      <w:r>
        <w:rPr>
          <w:rFonts w:hint="default"/>
        </w:rPr>
        <w:t>Institutional Extensions: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5"/>
        <w:gridCol w:w="3699"/>
        <w:gridCol w:w="37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815"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Category</w:t>
            </w:r>
          </w:p>
        </w:tc>
        <w:tc>
          <w:tcPr>
            <w:tcW w:w="369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Extended Period</w:t>
            </w:r>
          </w:p>
        </w:tc>
        <w:tc>
          <w:tcPr>
            <w:tcW w:w="376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Conditions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Governments</w:t>
            </w:r>
          </w:p>
        </w:tc>
        <w:tc>
          <w:tcPr>
            <w:tcW w:w="36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Up to 24 months</w:t>
            </w:r>
          </w:p>
        </w:tc>
        <w:tc>
          <w:tcPr>
            <w:tcW w:w="3764"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Development purposes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Banks and Financial Institutions</w:t>
            </w:r>
          </w:p>
        </w:tc>
        <w:tc>
          <w:tcPr>
            <w:tcW w:w="36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Up to 18 months</w:t>
            </w:r>
          </w:p>
        </w:tc>
        <w:tc>
          <w:tcPr>
            <w:tcW w:w="3764" w:type="dxa"/>
            <w:shd w:val="clear" w:color="auto" w:fill="auto"/>
            <w:tcMar>
              <w:top w:w="150" w:type="dxa"/>
              <w:left w:w="240" w:type="dxa"/>
              <w:bottom w:w="150" w:type="dxa"/>
              <w:right w:w="0" w:type="dxa"/>
            </w:tcMar>
            <w:vAlign w:val="center"/>
          </w:tcPr>
          <w:p>
            <w:pPr>
              <w:rPr>
                <w:rFonts w:hint="default"/>
              </w:rPr>
            </w:pPr>
            <w:r>
              <w:rPr>
                <w:rFonts w:hint="default"/>
                <w:lang w:val="en-US" w:eastAsia="zh-CN"/>
              </w:rPr>
              <w:t>Liquidity management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ADFA Contractors</w:t>
            </w:r>
          </w:p>
        </w:tc>
        <w:tc>
          <w:tcPr>
            <w:tcW w:w="36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Project duration + 3 months</w:t>
            </w:r>
          </w:p>
        </w:tc>
        <w:tc>
          <w:tcPr>
            <w:tcW w:w="3764" w:type="dxa"/>
            <w:shd w:val="clear" w:color="auto" w:fill="auto"/>
            <w:tcMar>
              <w:top w:w="150" w:type="dxa"/>
              <w:left w:w="240" w:type="dxa"/>
              <w:bottom w:w="150" w:type="dxa"/>
              <w:right w:w="0" w:type="dxa"/>
            </w:tcMar>
            <w:vAlign w:val="center"/>
          </w:tcPr>
          <w:p>
            <w:pPr>
              <w:rPr>
                <w:rFonts w:hint="default"/>
              </w:rPr>
            </w:pPr>
            <w:r>
              <w:rPr>
                <w:rFonts w:hint="default"/>
                <w:lang w:val="en-US" w:eastAsia="zh-CN"/>
              </w:rPr>
              <w:t>Project-related payments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Institutional Investors</w:t>
            </w:r>
          </w:p>
        </w:tc>
        <w:tc>
          <w:tcPr>
            <w:tcW w:w="36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Up to 18 months</w:t>
            </w:r>
          </w:p>
        </w:tc>
        <w:tc>
          <w:tcPr>
            <w:tcW w:w="3764" w:type="dxa"/>
            <w:shd w:val="clear" w:color="auto" w:fill="auto"/>
            <w:tcMar>
              <w:top w:w="150" w:type="dxa"/>
              <w:left w:w="240" w:type="dxa"/>
              <w:bottom w:w="150" w:type="dxa"/>
              <w:right w:w="0" w:type="dxa"/>
            </w:tcMar>
            <w:vAlign w:val="center"/>
          </w:tcPr>
          <w:p>
            <w:pPr>
              <w:rPr>
                <w:rFonts w:hint="default"/>
              </w:rPr>
            </w:pPr>
            <w:r>
              <w:rPr>
                <w:rFonts w:hint="default"/>
                <w:lang w:val="en-US" w:eastAsia="zh-CN"/>
              </w:rPr>
              <w:t>Subject to use case approval</w:t>
            </w:r>
          </w:p>
        </w:tc>
      </w:tr>
    </w:tbl>
    <w:p>
      <w:pPr>
        <w:rPr>
          <w:rFonts w:hint="default"/>
        </w:rPr>
      </w:pPr>
      <w:r>
        <w:pict>
          <v:rect id="_x0000_i103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9. CREDIT-ROUTED FX — DEFINITION</w:t>
      </w:r>
    </w:p>
    <w:p>
      <w:pPr>
        <w:rPr>
          <w:rFonts w:hint="default"/>
        </w:rPr>
      </w:pPr>
      <w:r>
        <w:rPr>
          <w:rFonts w:hint="default"/>
        </w:rPr>
        <w:t>Credit-Routed FX is the Foundation's FX routing mechanism through which Jowih Credits serve as the underlying routing unit between two currencies.</w:t>
      </w:r>
    </w:p>
    <w:p>
      <w:pPr>
        <w:rPr>
          <w:rFonts w:hint="default"/>
        </w:rPr>
      </w:pPr>
      <w:r>
        <w:rPr>
          <w:rFonts w:hint="default"/>
        </w:rPr>
        <w:t>Under Credit-Routed FX, a currency conversion may be processed through the Jowih Credit infrastructure without requiring the customer to acquire or retain Jowih Credits as a visible balance.</w:t>
      </w:r>
    </w:p>
    <w:p>
      <w:pPr>
        <w:rPr>
          <w:rFonts w:hint="default"/>
        </w:rPr>
      </w:pPr>
      <w:r>
        <w:rPr>
          <w:rFonts w:hint="default"/>
        </w:rPr>
        <w:t>The general routing structure is:</w:t>
      </w:r>
    </w:p>
    <w:p>
      <w:r>
        <w:rPr>
          <w:rFonts w:hint="default"/>
        </w:rPr>
        <w:t>Currency A → Jowih Credit Routing Layer → Currency B</w:t>
      </w:r>
    </w:p>
    <w:p>
      <w:pPr>
        <w:rPr>
          <w:rFonts w:hint="default"/>
        </w:rPr>
      </w:pPr>
      <w:r>
        <w:rPr>
          <w:rFonts w:hint="default"/>
        </w:rPr>
        <w:t>The customer-facing transaction may therefore begin and end in the respective local currencies, while Jowih Credits perform the underlying routing function within the system.</w:t>
      </w:r>
    </w:p>
    <w:p>
      <w:pPr>
        <w:rPr>
          <w:rFonts w:hint="default"/>
        </w:rPr>
      </w:pPr>
      <w:r>
        <w:rPr>
          <w:rFonts w:hint="default"/>
        </w:rPr>
        <w:t>Credit-Routed FX is intended to provide an alternative to traditional FX execution for transactions within the applicable Jowih transaction ceiling ($200M per FX-classified transaction).</w:t>
      </w:r>
    </w:p>
    <w:p>
      <w:pPr>
        <w:rPr>
          <w:rFonts w:hint="default"/>
        </w:rPr>
      </w:pPr>
      <w:r>
        <w:rPr>
          <w:rFonts w:hint="default"/>
        </w:rPr>
        <w:pict>
          <v:rect id="_x0000_i103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10. RESERVE MANAGEMENT PROCEDURES</w:t>
      </w:r>
    </w:p>
    <w:p>
      <w:pPr>
        <w:rPr>
          <w:rFonts w:hint="default"/>
        </w:rPr>
      </w:pPr>
      <w:r>
        <w:rPr>
          <w:rFonts w:hint="default"/>
        </w:rPr>
        <w:t>10.1 Reserve Composition</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21"/>
        <w:gridCol w:w="1777"/>
        <w:gridCol w:w="688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62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Reserve Type</w:t>
            </w:r>
          </w:p>
        </w:tc>
        <w:tc>
          <w:tcPr>
            <w:tcW w:w="177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Allocation</w:t>
            </w:r>
          </w:p>
        </w:tc>
        <w:tc>
          <w:tcPr>
            <w:tcW w:w="688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Assets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High-Liquid Reserves</w:t>
            </w:r>
          </w:p>
        </w:tc>
        <w:tc>
          <w:tcPr>
            <w:tcW w:w="177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30% – 50%</w:t>
            </w:r>
          </w:p>
        </w:tc>
        <w:tc>
          <w:tcPr>
            <w:tcW w:w="688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Cash, gold, short-term government securities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Foundation Assets</w:t>
            </w:r>
          </w:p>
        </w:tc>
        <w:tc>
          <w:tcPr>
            <w:tcW w:w="177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50% – 70%</w:t>
            </w:r>
          </w:p>
        </w:tc>
        <w:tc>
          <w:tcPr>
            <w:tcW w:w="6881"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Revenue streams, companies, real estate, ADFA projects</w:t>
            </w:r>
          </w:p>
        </w:tc>
      </w:tr>
    </w:tbl>
    <w:p>
      <w:pPr>
        <w:rPr>
          <w:rFonts w:hint="default"/>
        </w:rPr>
      </w:pPr>
      <w:r>
        <w:rPr>
          <w:rFonts w:hint="default"/>
        </w:rPr>
        <w:t>10.2 Rebalancing</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65"/>
        <w:gridCol w:w="4098"/>
        <w:gridCol w:w="33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865"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Trigger</w:t>
            </w:r>
          </w:p>
        </w:tc>
        <w:tc>
          <w:tcPr>
            <w:tcW w:w="409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331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High-Liquid below 30%</w:t>
            </w:r>
          </w:p>
        </w:tc>
        <w:tc>
          <w:tcPr>
            <w:tcW w:w="409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Rebalance to 30% minimum</w:t>
            </w:r>
          </w:p>
        </w:tc>
        <w:tc>
          <w:tcPr>
            <w:tcW w:w="33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 or as needed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Foundation Assets above 70%</w:t>
            </w:r>
          </w:p>
        </w:tc>
        <w:tc>
          <w:tcPr>
            <w:tcW w:w="409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Rebalance to 70% maximum</w:t>
            </w:r>
          </w:p>
        </w:tc>
        <w:tc>
          <w:tcPr>
            <w:tcW w:w="33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 or as needed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8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Market conditions</w:t>
            </w:r>
          </w:p>
        </w:tc>
        <w:tc>
          <w:tcPr>
            <w:tcW w:w="409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Adjust allocation within range</w:t>
            </w:r>
          </w:p>
        </w:tc>
        <w:tc>
          <w:tcPr>
            <w:tcW w:w="3315" w:type="dxa"/>
            <w:shd w:val="clear" w:color="auto" w:fill="auto"/>
            <w:tcMar>
              <w:top w:w="150" w:type="dxa"/>
              <w:left w:w="240" w:type="dxa"/>
              <w:bottom w:w="150" w:type="dxa"/>
              <w:right w:w="0" w:type="dxa"/>
            </w:tcMar>
            <w:vAlign w:val="center"/>
          </w:tcPr>
          <w:p>
            <w:pPr>
              <w:rPr>
                <w:rFonts w:hint="default"/>
              </w:rPr>
            </w:pPr>
            <w:r>
              <w:rPr>
                <w:rFonts w:hint="default"/>
                <w:lang w:val="en-US" w:eastAsia="zh-CN"/>
              </w:rPr>
              <w:t>As needed</w:t>
            </w:r>
          </w:p>
        </w:tc>
      </w:tr>
    </w:tbl>
    <w:p>
      <w:pPr>
        <w:rPr>
          <w:rFonts w:hint="default"/>
        </w:rPr>
      </w:pPr>
      <w:r>
        <w:rPr>
          <w:rFonts w:hint="default"/>
        </w:rPr>
        <w:t>10.3 Valuation</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287"/>
        <w:gridCol w:w="4405"/>
        <w:gridCol w:w="25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28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Asset Type</w:t>
            </w:r>
          </w:p>
        </w:tc>
        <w:tc>
          <w:tcPr>
            <w:tcW w:w="440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Valuation Method</w:t>
            </w:r>
          </w:p>
        </w:tc>
        <w:tc>
          <w:tcPr>
            <w:tcW w:w="258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Cash</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Actual balance</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Daily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Gold</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Market price</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Daily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Government Securities</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Market price</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Daily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All Revenue Streams</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Discounted cash flow</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Companies</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Market comparables</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Real Estate / TND City</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Appraisal</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Annually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ADFA Projects</w:t>
            </w:r>
          </w:p>
        </w:tc>
        <w:tc>
          <w:tcPr>
            <w:tcW w:w="440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Net present value</w:t>
            </w:r>
          </w:p>
        </w:tc>
        <w:tc>
          <w:tcPr>
            <w:tcW w:w="2587"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bl>
    <w:p>
      <w:pPr>
        <w:rPr>
          <w:rFonts w:hint="default"/>
        </w:rPr>
      </w:pPr>
      <w:r>
        <w:rPr>
          <w:rFonts w:hint="default"/>
        </w:rPr>
        <w:t>10.4 Audit</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46"/>
        <w:gridCol w:w="4465"/>
        <w:gridCol w:w="41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646"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Audit Type</w:t>
            </w:r>
          </w:p>
        </w:tc>
        <w:tc>
          <w:tcPr>
            <w:tcW w:w="446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416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Auditor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46"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Internal Audit</w:t>
            </w:r>
          </w:p>
        </w:tc>
        <w:tc>
          <w:tcPr>
            <w:tcW w:w="44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4167" w:type="dxa"/>
            <w:shd w:val="clear" w:color="auto" w:fill="auto"/>
            <w:tcMar>
              <w:top w:w="150" w:type="dxa"/>
              <w:left w:w="240" w:type="dxa"/>
              <w:bottom w:w="150" w:type="dxa"/>
              <w:right w:w="0" w:type="dxa"/>
            </w:tcMar>
            <w:vAlign w:val="center"/>
          </w:tcPr>
          <w:p>
            <w:pPr>
              <w:rPr>
                <w:rFonts w:hint="default"/>
              </w:rPr>
            </w:pPr>
            <w:r>
              <w:rPr>
                <w:rFonts w:hint="default"/>
                <w:lang w:val="en-US" w:eastAsia="zh-CN"/>
              </w:rPr>
              <w:t>IAG Departments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46" w:type="dxa"/>
            <w:shd w:val="clear" w:color="auto" w:fill="auto"/>
            <w:tcMar>
              <w:top w:w="150" w:type="dxa"/>
              <w:left w:w="0" w:type="dxa"/>
              <w:bottom w:w="150" w:type="dxa"/>
              <w:right w:w="240" w:type="dxa"/>
            </w:tcMar>
            <w:vAlign w:val="center"/>
          </w:tcPr>
          <w:p>
            <w:pPr>
              <w:rPr>
                <w:rFonts w:hint="default"/>
              </w:rPr>
            </w:pPr>
            <w:r>
              <w:rPr>
                <w:rFonts w:hint="default"/>
                <w:lang w:val="en-US" w:eastAsia="zh-CN"/>
              </w:rPr>
              <w:t>External Audit</w:t>
            </w:r>
          </w:p>
        </w:tc>
        <w:tc>
          <w:tcPr>
            <w:tcW w:w="44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Annually</w:t>
            </w:r>
          </w:p>
        </w:tc>
        <w:tc>
          <w:tcPr>
            <w:tcW w:w="4167" w:type="dxa"/>
            <w:shd w:val="clear" w:color="auto" w:fill="auto"/>
            <w:tcMar>
              <w:top w:w="150" w:type="dxa"/>
              <w:left w:w="240" w:type="dxa"/>
              <w:bottom w:w="150" w:type="dxa"/>
              <w:right w:w="0" w:type="dxa"/>
            </w:tcMar>
            <w:vAlign w:val="center"/>
          </w:tcPr>
          <w:p>
            <w:pPr>
              <w:rPr>
                <w:rFonts w:hint="default"/>
              </w:rPr>
            </w:pPr>
            <w:r>
              <w:rPr>
                <w:rFonts w:hint="default"/>
                <w:lang w:val="en-US" w:eastAsia="zh-CN"/>
              </w:rPr>
              <w:t>External Auditor Firm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46" w:type="dxa"/>
            <w:shd w:val="clear" w:color="auto" w:fill="auto"/>
            <w:tcMar>
              <w:top w:w="150" w:type="dxa"/>
              <w:left w:w="0" w:type="dxa"/>
              <w:bottom w:w="150" w:type="dxa"/>
              <w:right w:w="240" w:type="dxa"/>
            </w:tcMar>
            <w:vAlign w:val="center"/>
          </w:tcPr>
          <w:p>
            <w:pPr>
              <w:rPr>
                <w:rFonts w:hint="default"/>
              </w:rPr>
            </w:pPr>
            <w:r>
              <w:rPr>
                <w:rFonts w:hint="default"/>
                <w:lang w:val="en-US" w:eastAsia="zh-CN"/>
              </w:rPr>
              <w:t>Publication</w:t>
            </w:r>
          </w:p>
        </w:tc>
        <w:tc>
          <w:tcPr>
            <w:tcW w:w="44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Within 30 days of audit</w:t>
            </w:r>
          </w:p>
        </w:tc>
        <w:tc>
          <w:tcPr>
            <w:tcW w:w="4167" w:type="dxa"/>
            <w:shd w:val="clear" w:color="auto" w:fill="auto"/>
            <w:tcMar>
              <w:top w:w="150" w:type="dxa"/>
              <w:left w:w="240" w:type="dxa"/>
              <w:bottom w:w="150" w:type="dxa"/>
              <w:right w:w="0" w:type="dxa"/>
            </w:tcMar>
            <w:vAlign w:val="center"/>
          </w:tcPr>
          <w:p>
            <w:pPr>
              <w:rPr>
                <w:rFonts w:hint="default"/>
              </w:rPr>
            </w:pPr>
            <w:r>
              <w:rPr>
                <w:rFonts w:hint="default"/>
                <w:lang w:val="en-US" w:eastAsia="zh-CN"/>
              </w:rPr>
              <w:t>Public Dashboard</w:t>
            </w:r>
          </w:p>
        </w:tc>
      </w:tr>
    </w:tbl>
    <w:p>
      <w:pPr>
        <w:rPr>
          <w:rFonts w:hint="default"/>
        </w:rPr>
      </w:pPr>
      <w:r>
        <w:pict>
          <v:rect id="_x0000_i104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11. LIQUIDITY PROTOCOLS</w:t>
      </w:r>
    </w:p>
    <w:p>
      <w:pPr>
        <w:rPr>
          <w:rFonts w:hint="default"/>
        </w:rPr>
      </w:pPr>
      <w:r>
        <w:rPr>
          <w:rFonts w:hint="default"/>
        </w:rPr>
        <w:t>11.1 Off-Ramp Liquidity Pools</w:t>
      </w:r>
    </w:p>
    <w:p>
      <w:pPr>
        <w:rPr>
          <w:rFonts w:hint="default"/>
        </w:rPr>
      </w:pPr>
      <w:r>
        <w:rPr>
          <w:rFonts w:hint="default"/>
        </w:rPr>
        <w:t>The Foundation maintains Off-Ramp Liquidity Pools in major African currencies and other major currencies to ensure instant conversion at all times.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38"/>
        <w:gridCol w:w="4654"/>
        <w:gridCol w:w="33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23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Currency</w:t>
            </w:r>
          </w:p>
        </w:tc>
        <w:tc>
          <w:tcPr>
            <w:tcW w:w="465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Pool Size</w:t>
            </w:r>
          </w:p>
        </w:tc>
        <w:tc>
          <w:tcPr>
            <w:tcW w:w="338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Review Frequency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KES (Kenya)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NGN (Nigeria)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ZAR (South Africa)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GHS (Ghana)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XOF (West Africa)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XAF (Central Africa)</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38" w:type="dxa"/>
            <w:shd w:val="clear" w:color="auto" w:fill="auto"/>
            <w:tcMar>
              <w:top w:w="150" w:type="dxa"/>
              <w:left w:w="0" w:type="dxa"/>
              <w:bottom w:w="150" w:type="dxa"/>
              <w:right w:w="240" w:type="dxa"/>
            </w:tcMar>
            <w:vAlign w:val="center"/>
          </w:tcPr>
          <w:p>
            <w:pPr>
              <w:rPr>
                <w:rFonts w:hint="default"/>
              </w:rPr>
            </w:pPr>
            <w:r>
              <w:rPr>
                <w:rFonts w:hint="default"/>
                <w:lang w:val="en-US" w:eastAsia="zh-CN"/>
              </w:rPr>
              <w:t>EGP (Egypt)</w:t>
            </w:r>
          </w:p>
        </w:tc>
        <w:tc>
          <w:tcPr>
            <w:tcW w:w="465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Based on historical volume</w:t>
            </w:r>
          </w:p>
        </w:tc>
        <w:tc>
          <w:tcPr>
            <w:tcW w:w="3386" w:type="dxa"/>
            <w:shd w:val="clear" w:color="auto" w:fill="auto"/>
            <w:tcMar>
              <w:top w:w="150" w:type="dxa"/>
              <w:left w:w="240" w:type="dxa"/>
              <w:bottom w:w="150" w:type="dxa"/>
              <w:right w:w="0" w:type="dxa"/>
            </w:tcMar>
            <w:vAlign w:val="center"/>
          </w:tcPr>
          <w:p>
            <w:pPr>
              <w:rPr>
                <w:rFonts w:hint="default"/>
              </w:rPr>
            </w:pPr>
            <w:r>
              <w:rPr>
                <w:rFonts w:hint="default"/>
                <w:lang w:val="en-US" w:eastAsia="zh-CN"/>
              </w:rPr>
              <w:t>Quarterly</w:t>
            </w:r>
          </w:p>
        </w:tc>
      </w:tr>
    </w:tbl>
    <w:p>
      <w:pPr>
        <w:rPr>
          <w:rFonts w:hint="default"/>
        </w:rPr>
      </w:pPr>
      <w:r>
        <w:rPr>
          <w:rFonts w:hint="default"/>
        </w:rPr>
        <w:t>11.2 Settlement Guarantee Fund</w:t>
      </w:r>
    </w:p>
    <w:p>
      <w:pPr>
        <w:rPr>
          <w:rFonts w:hint="default"/>
        </w:rPr>
      </w:pPr>
      <w:r>
        <w:rPr>
          <w:rFonts w:hint="default"/>
        </w:rPr>
        <w:t>The Foundation maintains a Settlement Guarantee Fund capitalized at 2% of average daily settlement volume.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462"/>
        <w:gridCol w:w="88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46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Element</w:t>
            </w:r>
          </w:p>
        </w:tc>
        <w:tc>
          <w:tcPr>
            <w:tcW w:w="881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Purpose</w:t>
            </w:r>
          </w:p>
        </w:tc>
        <w:tc>
          <w:tcPr>
            <w:tcW w:w="8817"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Ensure finality of cross-border trade settlements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2" w:type="dxa"/>
            <w:shd w:val="clear" w:color="auto" w:fill="auto"/>
            <w:tcMar>
              <w:top w:w="150" w:type="dxa"/>
              <w:left w:w="0" w:type="dxa"/>
              <w:bottom w:w="150" w:type="dxa"/>
              <w:right w:w="240" w:type="dxa"/>
            </w:tcMar>
            <w:vAlign w:val="center"/>
          </w:tcPr>
          <w:p>
            <w:pPr>
              <w:rPr>
                <w:rFonts w:hint="default"/>
              </w:rPr>
            </w:pPr>
            <w:r>
              <w:rPr>
                <w:rFonts w:hint="default"/>
                <w:lang w:val="en-US" w:eastAsia="zh-CN"/>
              </w:rPr>
              <w:t>Capitalization</w:t>
            </w:r>
          </w:p>
        </w:tc>
        <w:tc>
          <w:tcPr>
            <w:tcW w:w="8817" w:type="dxa"/>
            <w:shd w:val="clear" w:color="auto" w:fill="auto"/>
            <w:tcMar>
              <w:top w:w="150" w:type="dxa"/>
              <w:left w:w="240" w:type="dxa"/>
              <w:bottom w:w="150" w:type="dxa"/>
              <w:right w:w="0" w:type="dxa"/>
            </w:tcMar>
            <w:vAlign w:val="center"/>
          </w:tcPr>
          <w:p>
            <w:pPr>
              <w:rPr>
                <w:rFonts w:hint="default"/>
              </w:rPr>
            </w:pPr>
            <w:r>
              <w:rPr>
                <w:rFonts w:hint="default"/>
                <w:lang w:val="en-US" w:eastAsia="zh-CN"/>
              </w:rPr>
              <w:t>2% of average daily settlement volume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2" w:type="dxa"/>
            <w:shd w:val="clear" w:color="auto" w:fill="auto"/>
            <w:tcMar>
              <w:top w:w="150" w:type="dxa"/>
              <w:left w:w="0" w:type="dxa"/>
              <w:bottom w:w="150" w:type="dxa"/>
              <w:right w:w="240" w:type="dxa"/>
            </w:tcMar>
            <w:vAlign w:val="center"/>
          </w:tcPr>
          <w:p>
            <w:pPr>
              <w:rPr>
                <w:rFonts w:hint="default"/>
              </w:rPr>
            </w:pPr>
            <w:r>
              <w:rPr>
                <w:rFonts w:hint="default"/>
                <w:lang w:val="en-US" w:eastAsia="zh-CN"/>
              </w:rPr>
              <w:t>Held In</w:t>
            </w:r>
          </w:p>
        </w:tc>
        <w:tc>
          <w:tcPr>
            <w:tcW w:w="8817" w:type="dxa"/>
            <w:shd w:val="clear" w:color="auto" w:fill="auto"/>
            <w:tcMar>
              <w:top w:w="150" w:type="dxa"/>
              <w:left w:w="240" w:type="dxa"/>
              <w:bottom w:w="150" w:type="dxa"/>
              <w:right w:w="0" w:type="dxa"/>
            </w:tcMar>
            <w:vAlign w:val="center"/>
          </w:tcPr>
          <w:p>
            <w:pPr>
              <w:rPr>
                <w:rFonts w:hint="default"/>
              </w:rPr>
            </w:pPr>
            <w:r>
              <w:rPr>
                <w:rFonts w:hint="default"/>
                <w:lang w:val="en-US" w:eastAsia="zh-CN"/>
              </w:rPr>
              <w:t>High-Liquid Reserves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462"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Audit</w:t>
            </w:r>
          </w:p>
        </w:tc>
        <w:tc>
          <w:tcPr>
            <w:tcW w:w="8817" w:type="dxa"/>
            <w:shd w:val="clear" w:color="auto" w:fill="auto"/>
            <w:tcMar>
              <w:top w:w="150" w:type="dxa"/>
              <w:left w:w="240" w:type="dxa"/>
              <w:bottom w:w="150" w:type="dxa"/>
              <w:right w:w="0" w:type="dxa"/>
            </w:tcMar>
            <w:vAlign w:val="center"/>
          </w:tcPr>
          <w:p>
            <w:pPr>
              <w:rPr>
                <w:rFonts w:hint="default"/>
              </w:rPr>
            </w:pPr>
            <w:r>
              <w:rPr>
                <w:rFonts w:hint="default"/>
                <w:lang w:val="en-US" w:eastAsia="zh-CN"/>
              </w:rPr>
              <w:t>Subject to same audit requirements as main reserve</w:t>
            </w:r>
          </w:p>
        </w:tc>
      </w:tr>
    </w:tbl>
    <w:p>
      <w:pPr>
        <w:rPr>
          <w:rFonts w:hint="default"/>
        </w:rPr>
      </w:pPr>
      <w:r>
        <w:rPr>
          <w:rFonts w:hint="default"/>
        </w:rPr>
        <w:t>11.3 Liquidity Guarantee</w:t>
      </w:r>
    </w:p>
    <w:p>
      <w:r>
        <w:rPr>
          <w:rFonts w:hint="default"/>
        </w:rPr>
        <w:t>"The Foundation guarantees liquidity for all conversions through a combination of: (i) High-Liquid Reserves maintained at a minimum of 30% of total backing; (ii) Off-Ramp Liquidity Pools in major African currencies and Foreign currencies; (iii) a Settlement Guarantee Fund capitalized at 2% of average daily settlement volume; and (iv) access to Mission Fund backstop for extraordinary demand scenarios. In stress scenarios, the Combined Trusts Board may temporarily adjust pool allocations or draw from the Settlement Guarantee Fund to maintain continuous conversion capability."</w:t>
      </w:r>
    </w:p>
    <w:p>
      <w:pPr>
        <w:rPr>
          <w:rFonts w:hint="default"/>
        </w:rPr>
      </w:pPr>
      <w:r>
        <w:rPr>
          <w:rFonts w:hint="default"/>
        </w:rPr>
        <w:t>11.4 Emergency Liquidity</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82"/>
        <w:gridCol w:w="5117"/>
        <w:gridCol w:w="32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88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Scenario</w:t>
            </w:r>
          </w:p>
        </w:tc>
        <w:tc>
          <w:tcPr>
            <w:tcW w:w="511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327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Authority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Liquidity shortage</w:t>
            </w:r>
          </w:p>
        </w:tc>
        <w:tc>
          <w:tcPr>
            <w:tcW w:w="511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Draw from Settlement Guarantee Fund</w:t>
            </w:r>
          </w:p>
        </w:tc>
        <w:tc>
          <w:tcPr>
            <w:tcW w:w="32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Combined Trusts 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Market disruption</w:t>
            </w:r>
          </w:p>
        </w:tc>
        <w:tc>
          <w:tcPr>
            <w:tcW w:w="511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Temporary adjustment to pool sizes</w:t>
            </w:r>
          </w:p>
        </w:tc>
        <w:tc>
          <w:tcPr>
            <w:tcW w:w="32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Combined Trusts Board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Extraordinary demand</w:t>
            </w:r>
          </w:p>
        </w:tc>
        <w:tc>
          <w:tcPr>
            <w:tcW w:w="5117"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Additional allocation from Mission Fund</w:t>
            </w:r>
          </w:p>
        </w:tc>
        <w:tc>
          <w:tcPr>
            <w:tcW w:w="32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Combined Trusts Board</w:t>
            </w:r>
          </w:p>
        </w:tc>
      </w:tr>
    </w:tbl>
    <w:p>
      <w:pPr>
        <w:rPr>
          <w:rFonts w:hint="default"/>
        </w:rPr>
      </w:pPr>
      <w:r>
        <w:pict>
          <v:rect id="_x0000_i1041"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12. GOVERNMENT TAX REMITTANCE</w:t>
      </w:r>
    </w:p>
    <w:p>
      <w:pPr>
        <w:rPr>
          <w:rFonts w:hint="default"/>
        </w:rPr>
      </w:pPr>
      <w:r>
        <w:rPr>
          <w:rFonts w:hint="default"/>
        </w:rPr>
        <w:t>12.1 Overview</w:t>
      </w:r>
    </w:p>
    <w:p>
      <w:pPr>
        <w:rPr>
          <w:rFonts w:hint="default"/>
        </w:rPr>
      </w:pPr>
      <w:r>
        <w:rPr>
          <w:rFonts w:hint="default"/>
        </w:rPr>
        <w:t>The Foundation collects and remits government taxes on all on-ramp and off-ramp conversions. The tax rate is flexible: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665"/>
        <w:gridCol w:w="3122"/>
        <w:gridCol w:w="54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665"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Segment</w:t>
            </w:r>
          </w:p>
        </w:tc>
        <w:tc>
          <w:tcPr>
            <w:tcW w:w="312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Tax Range</w:t>
            </w:r>
          </w:p>
        </w:tc>
        <w:tc>
          <w:tcPr>
            <w:tcW w:w="549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Notes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Standard (Retail/SME)</w:t>
            </w:r>
          </w:p>
        </w:tc>
        <w:tc>
          <w:tcPr>
            <w:tcW w:w="312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0.25% – 0.30%</w:t>
            </w:r>
          </w:p>
        </w:tc>
        <w:tc>
          <w:tcPr>
            <w:tcW w:w="5492" w:type="dxa"/>
            <w:shd w:val="clear" w:color="auto" w:fill="auto"/>
            <w:tcMar>
              <w:top w:w="150" w:type="dxa"/>
              <w:left w:w="240" w:type="dxa"/>
              <w:bottom w:w="150" w:type="dxa"/>
              <w:right w:w="0" w:type="dxa"/>
            </w:tcMar>
            <w:vAlign w:val="center"/>
          </w:tcPr>
          <w:p>
            <w:pPr>
              <w:rPr>
                <w:rFonts w:hint="default"/>
              </w:rPr>
            </w:pPr>
            <w:r>
              <w:rPr>
                <w:rFonts w:hint="default"/>
                <w:lang w:val="en-US" w:eastAsia="zh-CN"/>
              </w:rPr>
              <w:t>Default 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B2B / High-Volume</w:t>
            </w:r>
          </w:p>
        </w:tc>
        <w:tc>
          <w:tcPr>
            <w:tcW w:w="312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0.15%</w:t>
            </w:r>
          </w:p>
        </w:tc>
        <w:tc>
          <w:tcPr>
            <w:tcW w:w="5492" w:type="dxa"/>
            <w:shd w:val="clear" w:color="auto" w:fill="auto"/>
            <w:tcMar>
              <w:top w:w="150" w:type="dxa"/>
              <w:left w:w="240" w:type="dxa"/>
              <w:bottom w:w="150" w:type="dxa"/>
              <w:right w:w="0" w:type="dxa"/>
            </w:tcMar>
            <w:vAlign w:val="center"/>
          </w:tcPr>
          <w:p>
            <w:pPr>
              <w:rPr>
                <w:rFonts w:hint="default"/>
              </w:rPr>
            </w:pPr>
            <w:r>
              <w:rPr>
                <w:rFonts w:hint="default"/>
                <w:lang w:val="en-US" w:eastAsia="zh-CN"/>
              </w:rPr>
              <w:t>Subject to agreement with host governments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665" w:type="dxa"/>
            <w:shd w:val="clear" w:color="auto" w:fill="auto"/>
            <w:tcMar>
              <w:top w:w="150" w:type="dxa"/>
              <w:left w:w="0" w:type="dxa"/>
              <w:bottom w:w="150" w:type="dxa"/>
              <w:right w:w="240" w:type="dxa"/>
            </w:tcMar>
            <w:vAlign w:val="center"/>
          </w:tcPr>
          <w:p>
            <w:pPr>
              <w:rPr>
                <w:rFonts w:hint="default"/>
              </w:rPr>
            </w:pPr>
            <w:r>
              <w:rPr>
                <w:rFonts w:hint="default"/>
                <w:lang w:val="en-US" w:eastAsia="zh-CN"/>
              </w:rPr>
              <w:t>Local Transactions</w:t>
            </w:r>
          </w:p>
        </w:tc>
        <w:tc>
          <w:tcPr>
            <w:tcW w:w="312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0.05% – 0.30%</w:t>
            </w:r>
          </w:p>
        </w:tc>
        <w:tc>
          <w:tcPr>
            <w:tcW w:w="5492" w:type="dxa"/>
            <w:shd w:val="clear" w:color="auto" w:fill="auto"/>
            <w:tcMar>
              <w:top w:w="150" w:type="dxa"/>
              <w:left w:w="240" w:type="dxa"/>
              <w:bottom w:w="150" w:type="dxa"/>
              <w:right w:w="0" w:type="dxa"/>
            </w:tcMar>
            <w:vAlign w:val="center"/>
          </w:tcPr>
          <w:p>
            <w:pPr>
              <w:rPr>
                <w:rFonts w:hint="default"/>
              </w:rPr>
            </w:pPr>
            <w:r>
              <w:rPr>
                <w:rFonts w:hint="default"/>
                <w:lang w:val="en-US" w:eastAsia="zh-CN"/>
              </w:rPr>
              <w:t>Jurisdiction-aware</w:t>
            </w:r>
          </w:p>
        </w:tc>
      </w:tr>
    </w:tbl>
    <w:p>
      <w:pPr>
        <w:rPr>
          <w:rFonts w:hint="default"/>
        </w:rPr>
      </w:pPr>
      <w:r>
        <w:rPr>
          <w:rFonts w:hint="default"/>
        </w:rPr>
        <w:t>Flexibility:</w:t>
      </w:r>
    </w:p>
    <w:p/>
    <w:p>
      <w:r>
        <w:rPr>
          <w:rFonts w:hint="default"/>
        </w:rPr>
        <w:t>Governments may negotiate rates within the defined ranges.</w:t>
      </w:r>
    </w:p>
    <w:p/>
    <w:p/>
    <w:p>
      <w:r>
        <w:rPr>
          <w:rFonts w:hint="default"/>
        </w:rPr>
        <w:t>B2B rates apply to transactions above $1M equivalent or for partners processing high annual volumes.</w:t>
      </w:r>
    </w:p>
    <w:p/>
    <w:p/>
    <w:p>
      <w:r>
        <w:rPr>
          <w:rFonts w:hint="default"/>
        </w:rPr>
        <w:t>The Combined Trusts Board shall maintain a schedule of approved rates in the Operational Framework.</w:t>
      </w:r>
    </w:p>
    <w:p/>
    <w:p>
      <w:pPr>
        <w:rPr>
          <w:rFonts w:hint="default"/>
        </w:rPr>
      </w:pPr>
      <w:r>
        <w:rPr>
          <w:rFonts w:hint="default"/>
        </w:rPr>
        <w:t>12.2 Tax Collection</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012"/>
        <w:gridCol w:w="2725"/>
        <w:gridCol w:w="554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01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Type</w:t>
            </w:r>
          </w:p>
        </w:tc>
        <w:tc>
          <w:tcPr>
            <w:tcW w:w="272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Who Collects</w:t>
            </w:r>
          </w:p>
        </w:tc>
        <w:tc>
          <w:tcPr>
            <w:tcW w:w="554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012" w:type="dxa"/>
            <w:shd w:val="clear" w:color="auto" w:fill="auto"/>
            <w:tcMar>
              <w:top w:w="150" w:type="dxa"/>
              <w:left w:w="0" w:type="dxa"/>
              <w:bottom w:w="150" w:type="dxa"/>
              <w:right w:w="240" w:type="dxa"/>
            </w:tcMar>
            <w:vAlign w:val="center"/>
          </w:tcPr>
          <w:p>
            <w:pPr>
              <w:rPr>
                <w:rFonts w:hint="default"/>
              </w:rPr>
            </w:pPr>
            <w:r>
              <w:rPr>
                <w:rFonts w:hint="default"/>
                <w:lang w:val="en-US" w:eastAsia="zh-CN"/>
              </w:rPr>
              <w:t>All Conversions</w:t>
            </w:r>
          </w:p>
        </w:tc>
        <w:tc>
          <w:tcPr>
            <w:tcW w:w="27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w:t>
            </w:r>
          </w:p>
        </w:tc>
        <w:tc>
          <w:tcPr>
            <w:tcW w:w="5542" w:type="dxa"/>
            <w:shd w:val="clear" w:color="auto" w:fill="auto"/>
            <w:tcMar>
              <w:top w:w="150" w:type="dxa"/>
              <w:left w:w="240" w:type="dxa"/>
              <w:bottom w:w="150" w:type="dxa"/>
              <w:right w:w="0" w:type="dxa"/>
            </w:tcMar>
            <w:vAlign w:val="center"/>
          </w:tcPr>
          <w:p>
            <w:pPr>
              <w:rPr>
                <w:rFonts w:hint="default"/>
              </w:rPr>
            </w:pPr>
            <w:r>
              <w:rPr>
                <w:rFonts w:hint="default"/>
                <w:lang w:val="en-US" w:eastAsia="zh-CN"/>
              </w:rPr>
              <w:t>Withheld at point of conversion</w:t>
            </w:r>
          </w:p>
        </w:tc>
      </w:tr>
    </w:tbl>
    <w:p>
      <w:pPr>
        <w:rPr>
          <w:rFonts w:hint="default"/>
        </w:rPr>
      </w:pPr>
      <w:r>
        <w:rPr>
          <w:rFonts w:hint="default"/>
        </w:rPr>
        <w:t>12.3 Tax Remittance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51"/>
        <w:gridCol w:w="942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85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Element</w:t>
            </w:r>
          </w:p>
        </w:tc>
        <w:tc>
          <w:tcPr>
            <w:tcW w:w="942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1" w:type="dxa"/>
            <w:shd w:val="clear" w:color="auto" w:fill="auto"/>
            <w:tcMar>
              <w:top w:w="150" w:type="dxa"/>
              <w:left w:w="0" w:type="dxa"/>
              <w:bottom w:w="150" w:type="dxa"/>
              <w:right w:w="240" w:type="dxa"/>
            </w:tcMar>
            <w:vAlign w:val="center"/>
          </w:tcPr>
          <w:p>
            <w:pPr>
              <w:rPr>
                <w:rFonts w:hint="default"/>
              </w:rPr>
            </w:pPr>
            <w:r>
              <w:rPr>
                <w:rFonts w:hint="default"/>
                <w:lang w:val="en-US" w:eastAsia="zh-CN"/>
              </w:rPr>
              <w:t>Frequency</w:t>
            </w:r>
          </w:p>
        </w:tc>
        <w:tc>
          <w:tcPr>
            <w:tcW w:w="94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Monthly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1" w:type="dxa"/>
            <w:shd w:val="clear" w:color="auto" w:fill="auto"/>
            <w:tcMar>
              <w:top w:w="150" w:type="dxa"/>
              <w:left w:w="0" w:type="dxa"/>
              <w:bottom w:w="150" w:type="dxa"/>
              <w:right w:w="240" w:type="dxa"/>
            </w:tcMar>
            <w:vAlign w:val="center"/>
          </w:tcPr>
          <w:p>
            <w:pPr>
              <w:rPr>
                <w:rFonts w:hint="default"/>
              </w:rPr>
            </w:pPr>
            <w:r>
              <w:rPr>
                <w:rFonts w:hint="default"/>
                <w:lang w:val="en-US" w:eastAsia="zh-CN"/>
              </w:rPr>
              <w:t>Method</w:t>
            </w:r>
          </w:p>
        </w:tc>
        <w:tc>
          <w:tcPr>
            <w:tcW w:w="94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Direct transfer to each government's designated account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1"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Reporting</w:t>
            </w:r>
          </w:p>
        </w:tc>
        <w:tc>
          <w:tcPr>
            <w:tcW w:w="94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Auditable reports provided to each government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51" w:type="dxa"/>
            <w:shd w:val="clear" w:color="auto" w:fill="auto"/>
            <w:tcMar>
              <w:top w:w="150" w:type="dxa"/>
              <w:left w:w="0" w:type="dxa"/>
              <w:bottom w:w="150" w:type="dxa"/>
              <w:right w:w="240" w:type="dxa"/>
            </w:tcMar>
            <w:vAlign w:val="center"/>
          </w:tcPr>
          <w:p>
            <w:pPr>
              <w:rPr>
                <w:rFonts w:hint="default"/>
              </w:rPr>
            </w:pPr>
            <w:r>
              <w:rPr>
                <w:rFonts w:hint="default"/>
                <w:lang w:val="en-US" w:eastAsia="zh-CN"/>
              </w:rPr>
              <w:t>Currency</w:t>
            </w:r>
          </w:p>
        </w:tc>
        <w:tc>
          <w:tcPr>
            <w:tcW w:w="9428"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converted to local currency at the time of remittance</w:t>
            </w:r>
          </w:p>
        </w:tc>
      </w:tr>
    </w:tbl>
    <w:p>
      <w:pPr>
        <w:rPr>
          <w:rFonts w:hint="default"/>
        </w:rPr>
      </w:pPr>
      <w:r>
        <w:rPr>
          <w:rFonts w:hint="default"/>
        </w:rPr>
        <w:t>12.4 Remittance Schedule</w:t>
      </w:r>
    </w:p>
    <w:tbl>
      <w:tblPr>
        <w:tblStyle w:val="11"/>
        <w:tblW w:w="714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79"/>
        <w:gridCol w:w="1686"/>
        <w:gridCol w:w="1633"/>
        <w:gridCol w:w="25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27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Period</w:t>
            </w:r>
          </w:p>
        </w:tc>
        <w:tc>
          <w:tcPr>
            <w:tcW w:w="168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Collection</w:t>
            </w:r>
          </w:p>
        </w:tc>
        <w:tc>
          <w:tcPr>
            <w:tcW w:w="163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Remittance</w:t>
            </w:r>
          </w:p>
        </w:tc>
        <w:tc>
          <w:tcPr>
            <w:tcW w:w="254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Deadline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January</w:t>
            </w:r>
          </w:p>
        </w:tc>
        <w:tc>
          <w:tcPr>
            <w:tcW w:w="16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Jan 1-31</w:t>
            </w:r>
          </w:p>
        </w:tc>
        <w:tc>
          <w:tcPr>
            <w:tcW w:w="163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February</w:t>
            </w:r>
          </w:p>
        </w:tc>
        <w:tc>
          <w:tcPr>
            <w:tcW w:w="2547" w:type="dxa"/>
            <w:shd w:val="clear" w:color="auto" w:fill="auto"/>
            <w:tcMar>
              <w:top w:w="150" w:type="dxa"/>
              <w:left w:w="240" w:type="dxa"/>
              <w:bottom w:w="150" w:type="dxa"/>
              <w:right w:w="0" w:type="dxa"/>
            </w:tcMar>
            <w:vAlign w:val="center"/>
          </w:tcPr>
          <w:p>
            <w:pPr>
              <w:rPr>
                <w:rFonts w:hint="default"/>
              </w:rPr>
            </w:pPr>
            <w:r>
              <w:rPr>
                <w:rFonts w:hint="default"/>
                <w:lang w:val="en-US" w:eastAsia="zh-CN"/>
              </w:rPr>
              <w:t>Last day of February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February</w:t>
            </w:r>
          </w:p>
        </w:tc>
        <w:tc>
          <w:tcPr>
            <w:tcW w:w="16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Feb 1-28/29</w:t>
            </w:r>
          </w:p>
        </w:tc>
        <w:tc>
          <w:tcPr>
            <w:tcW w:w="163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March</w:t>
            </w:r>
          </w:p>
        </w:tc>
        <w:tc>
          <w:tcPr>
            <w:tcW w:w="2547" w:type="dxa"/>
            <w:shd w:val="clear" w:color="auto" w:fill="auto"/>
            <w:tcMar>
              <w:top w:w="150" w:type="dxa"/>
              <w:left w:w="240" w:type="dxa"/>
              <w:bottom w:w="150" w:type="dxa"/>
              <w:right w:w="0" w:type="dxa"/>
            </w:tcMar>
            <w:vAlign w:val="center"/>
          </w:tcPr>
          <w:p>
            <w:pPr>
              <w:rPr>
                <w:rFonts w:hint="default"/>
              </w:rPr>
            </w:pPr>
            <w:r>
              <w:rPr>
                <w:rFonts w:hint="default"/>
                <w:lang w:val="en-US" w:eastAsia="zh-CN"/>
              </w:rPr>
              <w:t>Last day of March</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March</w:t>
            </w:r>
          </w:p>
        </w:tc>
        <w:tc>
          <w:tcPr>
            <w:tcW w:w="16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Mar 1-31</w:t>
            </w:r>
          </w:p>
        </w:tc>
        <w:tc>
          <w:tcPr>
            <w:tcW w:w="163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April</w:t>
            </w:r>
          </w:p>
        </w:tc>
        <w:tc>
          <w:tcPr>
            <w:tcW w:w="2547" w:type="dxa"/>
            <w:shd w:val="clear" w:color="auto" w:fill="auto"/>
            <w:tcMar>
              <w:top w:w="150" w:type="dxa"/>
              <w:left w:w="240" w:type="dxa"/>
              <w:bottom w:w="150" w:type="dxa"/>
              <w:right w:w="0" w:type="dxa"/>
            </w:tcMar>
            <w:vAlign w:val="center"/>
          </w:tcPr>
          <w:p>
            <w:pPr>
              <w:rPr>
                <w:rFonts w:hint="default"/>
              </w:rPr>
            </w:pPr>
            <w:r>
              <w:rPr>
                <w:rFonts w:hint="default"/>
                <w:lang w:val="en-US" w:eastAsia="zh-CN"/>
              </w:rPr>
              <w:t>Last day of April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w:t>
            </w:r>
          </w:p>
        </w:tc>
        <w:tc>
          <w:tcPr>
            <w:tcW w:w="16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163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2547"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279"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December</w:t>
            </w:r>
          </w:p>
        </w:tc>
        <w:tc>
          <w:tcPr>
            <w:tcW w:w="168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Dec 1-31</w:t>
            </w:r>
          </w:p>
        </w:tc>
        <w:tc>
          <w:tcPr>
            <w:tcW w:w="163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January</w:t>
            </w:r>
          </w:p>
        </w:tc>
        <w:tc>
          <w:tcPr>
            <w:tcW w:w="2547" w:type="dxa"/>
            <w:shd w:val="clear" w:color="auto" w:fill="auto"/>
            <w:tcMar>
              <w:top w:w="150" w:type="dxa"/>
              <w:left w:w="240" w:type="dxa"/>
              <w:bottom w:w="150" w:type="dxa"/>
              <w:right w:w="0" w:type="dxa"/>
            </w:tcMar>
            <w:vAlign w:val="center"/>
          </w:tcPr>
          <w:p>
            <w:pPr>
              <w:rPr>
                <w:rFonts w:hint="default"/>
              </w:rPr>
            </w:pPr>
            <w:r>
              <w:rPr>
                <w:rFonts w:hint="default"/>
                <w:lang w:val="en-US" w:eastAsia="zh-CN"/>
              </w:rPr>
              <w:t>Last day of January</w:t>
            </w:r>
          </w:p>
        </w:tc>
      </w:tr>
    </w:tbl>
    <w:p>
      <w:pPr>
        <w:rPr>
          <w:rFonts w:hint="default"/>
        </w:rPr>
      </w:pPr>
      <w:r>
        <w:rPr>
          <w:rFonts w:hint="default"/>
        </w:rPr>
        <w:t>12.5 Reporting</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282"/>
        <w:gridCol w:w="69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28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Report Content</w:t>
            </w:r>
          </w:p>
        </w:tc>
        <w:tc>
          <w:tcPr>
            <w:tcW w:w="699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Summary</w:t>
            </w:r>
          </w:p>
        </w:tc>
        <w:tc>
          <w:tcPr>
            <w:tcW w:w="69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Number of conversions, total value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Collected</w:t>
            </w:r>
          </w:p>
        </w:tc>
        <w:tc>
          <w:tcPr>
            <w:tcW w:w="69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Total tax by country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Remittance Details</w:t>
            </w:r>
          </w:p>
        </w:tc>
        <w:tc>
          <w:tcPr>
            <w:tcW w:w="69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Date, amount, method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82"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Audit Trail</w:t>
            </w:r>
          </w:p>
        </w:tc>
        <w:tc>
          <w:tcPr>
            <w:tcW w:w="69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Transaction-level data for audit</w:t>
            </w:r>
          </w:p>
        </w:tc>
      </w:tr>
    </w:tbl>
    <w:p>
      <w:pPr>
        <w:rPr>
          <w:rFonts w:hint="default"/>
        </w:rPr>
      </w:pPr>
      <w:r>
        <w:rPr>
          <w:rFonts w:hint="default"/>
        </w:rPr>
        <w:t>12.6 Governments Not Yet Active</w:t>
      </w:r>
    </w:p>
    <w:p>
      <w:pPr>
        <w:rPr>
          <w:rFonts w:hint="default"/>
        </w:rPr>
      </w:pPr>
      <w:r>
        <w:rPr>
          <w:rFonts w:hint="default"/>
        </w:rPr>
        <w:t>For governments not yet integrated with the Foundation's remittance system, taxes shall be held in a dedicated escrow account and remitted upon integration.</w:t>
      </w:r>
    </w:p>
    <w:p>
      <w:pPr>
        <w:rPr>
          <w:rFonts w:hint="default"/>
        </w:rPr>
      </w:pPr>
      <w:r>
        <w:rPr>
          <w:rFonts w:hint="default"/>
        </w:rPr>
        <w:pict>
          <v:rect id="_x0000_i1042"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13. PARTNER INTEGRATION STANDARDS</w:t>
      </w:r>
    </w:p>
    <w:p>
      <w:pPr>
        <w:rPr>
          <w:rFonts w:hint="default"/>
        </w:rPr>
      </w:pPr>
      <w:r>
        <w:rPr>
          <w:rFonts w:hint="default"/>
        </w:rPr>
        <w:t>13.1 Technical Requirements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07"/>
        <w:gridCol w:w="807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20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Requirement</w:t>
            </w:r>
          </w:p>
        </w:tc>
        <w:tc>
          <w:tcPr>
            <w:tcW w:w="807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0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API Integration</w:t>
            </w:r>
          </w:p>
        </w:tc>
        <w:tc>
          <w:tcPr>
            <w:tcW w:w="8072"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REST API with standard JSON payloads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07" w:type="dxa"/>
            <w:shd w:val="clear" w:color="auto" w:fill="auto"/>
            <w:tcMar>
              <w:top w:w="150" w:type="dxa"/>
              <w:left w:w="0" w:type="dxa"/>
              <w:bottom w:w="150" w:type="dxa"/>
              <w:right w:w="240" w:type="dxa"/>
            </w:tcMar>
            <w:vAlign w:val="center"/>
          </w:tcPr>
          <w:p>
            <w:pPr>
              <w:rPr>
                <w:rFonts w:hint="default"/>
              </w:rPr>
            </w:pPr>
            <w:r>
              <w:rPr>
                <w:rFonts w:hint="default"/>
                <w:lang w:val="en-US" w:eastAsia="zh-CN"/>
              </w:rPr>
              <w:t>Security</w:t>
            </w:r>
          </w:p>
        </w:tc>
        <w:tc>
          <w:tcPr>
            <w:tcW w:w="8072" w:type="dxa"/>
            <w:shd w:val="clear" w:color="auto" w:fill="auto"/>
            <w:tcMar>
              <w:top w:w="150" w:type="dxa"/>
              <w:left w:w="240" w:type="dxa"/>
              <w:bottom w:w="150" w:type="dxa"/>
              <w:right w:w="0" w:type="dxa"/>
            </w:tcMar>
            <w:vAlign w:val="center"/>
          </w:tcPr>
          <w:p>
            <w:pPr>
              <w:rPr>
                <w:rFonts w:hint="default"/>
              </w:rPr>
            </w:pPr>
            <w:r>
              <w:rPr>
                <w:rFonts w:hint="default"/>
                <w:lang w:val="en-US" w:eastAsia="zh-CN"/>
              </w:rPr>
              <w:t>TLS 1.2+, API keys, signed requests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0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Authentication</w:t>
            </w:r>
          </w:p>
        </w:tc>
        <w:tc>
          <w:tcPr>
            <w:tcW w:w="8072" w:type="dxa"/>
            <w:shd w:val="clear" w:color="auto" w:fill="auto"/>
            <w:tcMar>
              <w:top w:w="150" w:type="dxa"/>
              <w:left w:w="240" w:type="dxa"/>
              <w:bottom w:w="150" w:type="dxa"/>
              <w:right w:w="0" w:type="dxa"/>
            </w:tcMar>
            <w:vAlign w:val="center"/>
          </w:tcPr>
          <w:p>
            <w:pPr>
              <w:rPr>
                <w:rFonts w:hint="default"/>
              </w:rPr>
            </w:pPr>
            <w:r>
              <w:rPr>
                <w:rFonts w:hint="default"/>
                <w:lang w:val="en-US" w:eastAsia="zh-CN"/>
              </w:rPr>
              <w:t>OAuth 2.0 or equivalent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07" w:type="dxa"/>
            <w:shd w:val="clear" w:color="auto" w:fill="auto"/>
            <w:tcMar>
              <w:top w:w="150" w:type="dxa"/>
              <w:left w:w="0" w:type="dxa"/>
              <w:bottom w:w="150" w:type="dxa"/>
              <w:right w:w="240" w:type="dxa"/>
            </w:tcMar>
            <w:vAlign w:val="center"/>
          </w:tcPr>
          <w:p>
            <w:pPr>
              <w:rPr>
                <w:rFonts w:hint="default"/>
              </w:rPr>
            </w:pPr>
            <w:r>
              <w:rPr>
                <w:rFonts w:hint="default"/>
                <w:lang w:val="en-US" w:eastAsia="zh-CN"/>
              </w:rPr>
              <w:t>Rate Limiting</w:t>
            </w:r>
          </w:p>
        </w:tc>
        <w:tc>
          <w:tcPr>
            <w:tcW w:w="8072" w:type="dxa"/>
            <w:shd w:val="clear" w:color="auto" w:fill="auto"/>
            <w:tcMar>
              <w:top w:w="150" w:type="dxa"/>
              <w:left w:w="240" w:type="dxa"/>
              <w:bottom w:w="150" w:type="dxa"/>
              <w:right w:w="0" w:type="dxa"/>
            </w:tcMar>
            <w:vAlign w:val="center"/>
          </w:tcPr>
          <w:p>
            <w:pPr>
              <w:rPr>
                <w:rFonts w:hint="default"/>
              </w:rPr>
            </w:pPr>
            <w:r>
              <w:rPr>
                <w:rFonts w:hint="default"/>
                <w:lang w:val="en-US" w:eastAsia="zh-CN"/>
              </w:rPr>
              <w:t>As agreed in partnership agreement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07" w:type="dxa"/>
            <w:shd w:val="clear" w:color="auto" w:fill="auto"/>
            <w:tcMar>
              <w:top w:w="150" w:type="dxa"/>
              <w:left w:w="0" w:type="dxa"/>
              <w:bottom w:w="150" w:type="dxa"/>
              <w:right w:w="240" w:type="dxa"/>
            </w:tcMar>
            <w:vAlign w:val="center"/>
          </w:tcPr>
          <w:p>
            <w:pPr>
              <w:rPr>
                <w:rFonts w:hint="default"/>
              </w:rPr>
            </w:pPr>
            <w:r>
              <w:rPr>
                <w:rFonts w:hint="default"/>
                <w:lang w:val="en-US" w:eastAsia="zh-CN"/>
              </w:rPr>
              <w:t>Uptime</w:t>
            </w:r>
          </w:p>
        </w:tc>
        <w:tc>
          <w:tcPr>
            <w:tcW w:w="8072" w:type="dxa"/>
            <w:shd w:val="clear" w:color="auto" w:fill="auto"/>
            <w:tcMar>
              <w:top w:w="150" w:type="dxa"/>
              <w:left w:w="240" w:type="dxa"/>
              <w:bottom w:w="150" w:type="dxa"/>
              <w:right w:w="0" w:type="dxa"/>
            </w:tcMar>
            <w:vAlign w:val="center"/>
          </w:tcPr>
          <w:p>
            <w:pPr>
              <w:rPr>
                <w:rFonts w:hint="default"/>
              </w:rPr>
            </w:pPr>
            <w:r>
              <w:rPr>
                <w:rFonts w:hint="default"/>
                <w:lang w:val="en-US" w:eastAsia="zh-CN"/>
              </w:rPr>
              <w:t>Minimum 99.9%</w:t>
            </w:r>
          </w:p>
        </w:tc>
      </w:tr>
    </w:tbl>
    <w:p>
      <w:pPr>
        <w:rPr>
          <w:rFonts w:hint="default"/>
        </w:rPr>
      </w:pPr>
      <w:r>
        <w:rPr>
          <w:rFonts w:hint="default"/>
        </w:rPr>
        <w:t>13.2 Integration Types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78"/>
        <w:gridCol w:w="5499"/>
        <w:gridCol w:w="400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77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Type</w:t>
            </w:r>
          </w:p>
        </w:tc>
        <w:tc>
          <w:tcPr>
            <w:tcW w:w="549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Description</w:t>
            </w:r>
          </w:p>
        </w:tc>
        <w:tc>
          <w:tcPr>
            <w:tcW w:w="400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Use Case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Full Integration</w:t>
            </w:r>
          </w:p>
        </w:tc>
        <w:tc>
          <w:tcPr>
            <w:tcW w:w="54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Complete API integration for conversion, settlement, reporting</w:t>
            </w:r>
          </w:p>
        </w:tc>
        <w:tc>
          <w:tcPr>
            <w:tcW w:w="40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Major partners (M-Pesa, banks, Mastercard)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Light Integration</w:t>
            </w:r>
          </w:p>
        </w:tc>
        <w:tc>
          <w:tcPr>
            <w:tcW w:w="54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Limited API integration for specific use cases</w:t>
            </w:r>
          </w:p>
        </w:tc>
        <w:tc>
          <w:tcPr>
            <w:tcW w:w="40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Smaller PSPs, niche fintechs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778" w:type="dxa"/>
            <w:shd w:val="clear" w:color="auto" w:fill="auto"/>
            <w:tcMar>
              <w:top w:w="150" w:type="dxa"/>
              <w:left w:w="0" w:type="dxa"/>
              <w:bottom w:w="150" w:type="dxa"/>
              <w:right w:w="240" w:type="dxa"/>
            </w:tcMar>
            <w:vAlign w:val="center"/>
          </w:tcPr>
          <w:p>
            <w:pPr>
              <w:rPr>
                <w:rFonts w:hint="default"/>
              </w:rPr>
            </w:pPr>
            <w:r>
              <w:rPr>
                <w:rFonts w:hint="default"/>
                <w:lang w:val="en-US" w:eastAsia="zh-CN"/>
              </w:rPr>
              <w:t>White-Label</w:t>
            </w:r>
          </w:p>
        </w:tc>
        <w:tc>
          <w:tcPr>
            <w:tcW w:w="549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Partner-branded interface on Foundation platform</w:t>
            </w:r>
          </w:p>
        </w:tc>
        <w:tc>
          <w:tcPr>
            <w:tcW w:w="400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Custom partner solutions</w:t>
            </w:r>
          </w:p>
        </w:tc>
      </w:tr>
    </w:tbl>
    <w:p>
      <w:pPr>
        <w:rPr>
          <w:rFonts w:hint="default"/>
        </w:rPr>
      </w:pPr>
      <w:r>
        <w:rPr>
          <w:rFonts w:hint="default"/>
        </w:rPr>
        <w:t>13.3 Example API Endpoints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563"/>
        <w:gridCol w:w="671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56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Endpoint</w:t>
            </w:r>
          </w:p>
        </w:tc>
        <w:tc>
          <w:tcPr>
            <w:tcW w:w="671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lang w:val="en-US" w:eastAsia="zh-CN"/>
              </w:rPr>
              <w:t>/v1/conversion/rate</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Get current conversion rate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rFonts w:hint="default"/>
                <w:lang w:val="en-US" w:eastAsia="zh-CN"/>
              </w:rPr>
              <w:t>/v1/conversion/onramp</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Convert local currency to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rFonts w:hint="default"/>
                <w:lang w:val="en-US" w:eastAsia="zh-CN"/>
              </w:rPr>
              <w:t>/v1/conversion/offramp</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Convert Credits to local currency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rFonts w:hint="default"/>
                <w:lang w:val="en-US" w:eastAsia="zh-CN"/>
              </w:rPr>
              <w:t>/v1/transfer</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Transfer Credits between wallets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rFonts w:hint="default"/>
                <w:lang w:val="en-US" w:eastAsia="zh-CN"/>
              </w:rPr>
              <w:t>/v1/balance</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Get wallet balance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563" w:type="dxa"/>
            <w:shd w:val="clear" w:color="auto" w:fill="auto"/>
            <w:tcMar>
              <w:top w:w="150" w:type="dxa"/>
              <w:left w:w="0" w:type="dxa"/>
              <w:bottom w:w="150" w:type="dxa"/>
              <w:right w:w="240" w:type="dxa"/>
            </w:tcMar>
            <w:vAlign w:val="center"/>
          </w:tcPr>
          <w:p>
            <w:pPr>
              <w:rPr>
                <w:rFonts w:hint="default"/>
              </w:rPr>
            </w:pPr>
            <w:r>
              <w:rPr>
                <w:rFonts w:hint="default"/>
                <w:lang w:val="en-US" w:eastAsia="zh-CN"/>
              </w:rPr>
              <w:t>/v1/report/tax</w:t>
            </w:r>
          </w:p>
        </w:tc>
        <w:tc>
          <w:tcPr>
            <w:tcW w:w="6716" w:type="dxa"/>
            <w:shd w:val="clear" w:color="auto" w:fill="auto"/>
            <w:tcMar>
              <w:top w:w="150" w:type="dxa"/>
              <w:left w:w="240" w:type="dxa"/>
              <w:bottom w:w="150" w:type="dxa"/>
              <w:right w:w="0" w:type="dxa"/>
            </w:tcMar>
            <w:vAlign w:val="center"/>
          </w:tcPr>
          <w:p>
            <w:pPr>
              <w:rPr>
                <w:rFonts w:hint="default"/>
              </w:rPr>
            </w:pPr>
            <w:r>
              <w:rPr>
                <w:rFonts w:hint="default"/>
                <w:lang w:val="en-US" w:eastAsia="zh-CN"/>
              </w:rPr>
              <w:t>Submit tax transaction data</w:t>
            </w:r>
          </w:p>
        </w:tc>
      </w:tr>
    </w:tbl>
    <w:p>
      <w:pPr>
        <w:rPr>
          <w:rFonts w:hint="default"/>
        </w:rPr>
      </w:pPr>
      <w:r>
        <w:rPr>
          <w:rFonts w:hint="default"/>
        </w:rPr>
        <w:t>13.4 Security Requirements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272"/>
        <w:gridCol w:w="80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27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Requirement</w:t>
            </w:r>
          </w:p>
        </w:tc>
        <w:tc>
          <w:tcPr>
            <w:tcW w:w="800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72" w:type="dxa"/>
            <w:shd w:val="clear" w:color="auto" w:fill="auto"/>
            <w:tcMar>
              <w:top w:w="150" w:type="dxa"/>
              <w:left w:w="0" w:type="dxa"/>
              <w:bottom w:w="150" w:type="dxa"/>
              <w:right w:w="240" w:type="dxa"/>
            </w:tcMar>
            <w:vAlign w:val="center"/>
          </w:tcPr>
          <w:p>
            <w:pPr>
              <w:rPr>
                <w:rFonts w:hint="default"/>
              </w:rPr>
            </w:pPr>
            <w:r>
              <w:rPr>
                <w:rFonts w:hint="default"/>
                <w:lang w:val="en-US" w:eastAsia="zh-CN"/>
              </w:rPr>
              <w:t>Data Encryption</w:t>
            </w:r>
          </w:p>
        </w:tc>
        <w:tc>
          <w:tcPr>
            <w:tcW w:w="8007" w:type="dxa"/>
            <w:shd w:val="clear" w:color="auto" w:fill="auto"/>
            <w:tcMar>
              <w:top w:w="150" w:type="dxa"/>
              <w:left w:w="240" w:type="dxa"/>
              <w:bottom w:w="150" w:type="dxa"/>
              <w:right w:w="0" w:type="dxa"/>
            </w:tcMar>
            <w:vAlign w:val="center"/>
          </w:tcPr>
          <w:p>
            <w:pPr>
              <w:rPr>
                <w:rFonts w:hint="default"/>
              </w:rPr>
            </w:pPr>
            <w:r>
              <w:rPr>
                <w:rFonts w:hint="default"/>
                <w:lang w:val="en-US" w:eastAsia="zh-CN"/>
              </w:rPr>
              <w:t>All sensitive data encrypted at rest and in transit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72" w:type="dxa"/>
            <w:shd w:val="clear" w:color="auto" w:fill="auto"/>
            <w:tcMar>
              <w:top w:w="150" w:type="dxa"/>
              <w:left w:w="0" w:type="dxa"/>
              <w:bottom w:w="150" w:type="dxa"/>
              <w:right w:w="240" w:type="dxa"/>
            </w:tcMar>
            <w:vAlign w:val="center"/>
          </w:tcPr>
          <w:p>
            <w:pPr>
              <w:rPr>
                <w:rFonts w:hint="default"/>
              </w:rPr>
            </w:pPr>
            <w:r>
              <w:rPr>
                <w:rFonts w:hint="default"/>
                <w:lang w:val="en-US" w:eastAsia="zh-CN"/>
              </w:rPr>
              <w:t>Access Control</w:t>
            </w:r>
          </w:p>
        </w:tc>
        <w:tc>
          <w:tcPr>
            <w:tcW w:w="8007" w:type="dxa"/>
            <w:shd w:val="clear" w:color="auto" w:fill="auto"/>
            <w:tcMar>
              <w:top w:w="150" w:type="dxa"/>
              <w:left w:w="240" w:type="dxa"/>
              <w:bottom w:w="150" w:type="dxa"/>
              <w:right w:w="0" w:type="dxa"/>
            </w:tcMar>
            <w:vAlign w:val="center"/>
          </w:tcPr>
          <w:p>
            <w:pPr>
              <w:rPr>
                <w:rFonts w:hint="default"/>
              </w:rPr>
            </w:pPr>
            <w:r>
              <w:rPr>
                <w:rFonts w:hint="default"/>
                <w:lang w:val="en-US" w:eastAsia="zh-CN"/>
              </w:rPr>
              <w:t>Role-based access control for all systems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72"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Audit Logging</w:t>
            </w:r>
          </w:p>
        </w:tc>
        <w:tc>
          <w:tcPr>
            <w:tcW w:w="800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Comprehensive audit logs for all transactions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7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Penetration Testing</w:t>
            </w:r>
          </w:p>
        </w:tc>
        <w:tc>
          <w:tcPr>
            <w:tcW w:w="8007" w:type="dxa"/>
            <w:shd w:val="clear" w:color="auto" w:fill="auto"/>
            <w:tcMar>
              <w:top w:w="150" w:type="dxa"/>
              <w:left w:w="240" w:type="dxa"/>
              <w:bottom w:w="150" w:type="dxa"/>
              <w:right w:w="0" w:type="dxa"/>
            </w:tcMar>
            <w:vAlign w:val="center"/>
          </w:tcPr>
          <w:p>
            <w:pPr>
              <w:rPr>
                <w:rFonts w:hint="default"/>
              </w:rPr>
            </w:pPr>
            <w:r>
              <w:rPr>
                <w:rFonts w:hint="default"/>
                <w:lang w:val="en-US" w:eastAsia="zh-CN"/>
              </w:rPr>
              <w:t>Annual third-party security assessment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272"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Incident Response</w:t>
            </w:r>
          </w:p>
        </w:tc>
        <w:tc>
          <w:tcPr>
            <w:tcW w:w="8007" w:type="dxa"/>
            <w:shd w:val="clear" w:color="auto" w:fill="auto"/>
            <w:tcMar>
              <w:top w:w="150" w:type="dxa"/>
              <w:left w:w="240" w:type="dxa"/>
              <w:bottom w:w="150" w:type="dxa"/>
              <w:right w:w="0" w:type="dxa"/>
            </w:tcMar>
            <w:vAlign w:val="center"/>
          </w:tcPr>
          <w:p>
            <w:pPr>
              <w:rPr>
                <w:rFonts w:hint="default"/>
              </w:rPr>
            </w:pPr>
            <w:r>
              <w:rPr>
                <w:rFonts w:hint="default"/>
                <w:lang w:val="en-US" w:eastAsia="zh-CN"/>
              </w:rPr>
              <w:t>Documented incident response plan</w:t>
            </w:r>
          </w:p>
        </w:tc>
      </w:tr>
    </w:tbl>
    <w:p>
      <w:pPr>
        <w:rPr>
          <w:rFonts w:hint="default"/>
        </w:rPr>
      </w:pPr>
      <w:r>
        <w:pict>
          <v:rect id="_x0000_i1043"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14. USER OPERATIONAL PROCEDURES</w:t>
      </w:r>
    </w:p>
    <w:p>
      <w:pPr>
        <w:rPr>
          <w:rFonts w:hint="default"/>
        </w:rPr>
      </w:pPr>
      <w:r>
        <w:rPr>
          <w:rFonts w:hint="default"/>
        </w:rPr>
        <w:t>14.1 Wallet Operations</w:t>
      </w:r>
    </w:p>
    <w:p>
      <w:pPr>
        <w:rPr>
          <w:rFonts w:hint="default"/>
        </w:rPr>
      </w:pPr>
      <w:r>
        <w:rPr>
          <w:rFonts w:hint="default"/>
        </w:rPr>
        <w:t>14.1.1 Creating a Wallet</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97"/>
        <w:gridCol w:w="2548"/>
        <w:gridCol w:w="80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69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254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803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Download Super App</w:t>
            </w:r>
          </w:p>
        </w:tc>
        <w:tc>
          <w:tcPr>
            <w:tcW w:w="8034" w:type="dxa"/>
            <w:shd w:val="clear" w:color="auto" w:fill="auto"/>
            <w:tcMar>
              <w:top w:w="150" w:type="dxa"/>
              <w:left w:w="240" w:type="dxa"/>
              <w:bottom w:w="150" w:type="dxa"/>
              <w:right w:w="0" w:type="dxa"/>
            </w:tcMar>
            <w:vAlign w:val="center"/>
          </w:tcPr>
          <w:p>
            <w:pPr>
              <w:rPr>
                <w:rFonts w:hint="default"/>
              </w:rPr>
            </w:pPr>
            <w:r>
              <w:rPr>
                <w:rFonts w:hint="default"/>
                <w:lang w:val="en-US" w:eastAsia="zh-CN"/>
              </w:rPr>
              <w:t>Available on iOS and Android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Create account</w:t>
            </w:r>
          </w:p>
        </w:tc>
        <w:tc>
          <w:tcPr>
            <w:tcW w:w="8034" w:type="dxa"/>
            <w:shd w:val="clear" w:color="auto" w:fill="auto"/>
            <w:tcMar>
              <w:top w:w="150" w:type="dxa"/>
              <w:left w:w="240" w:type="dxa"/>
              <w:bottom w:w="150" w:type="dxa"/>
              <w:right w:w="0" w:type="dxa"/>
            </w:tcMar>
            <w:vAlign w:val="center"/>
          </w:tcPr>
          <w:p>
            <w:pPr>
              <w:rPr>
                <w:rFonts w:hint="default"/>
              </w:rPr>
            </w:pPr>
            <w:r>
              <w:rPr>
                <w:rFonts w:hint="default"/>
                <w:lang w:val="en-US" w:eastAsia="zh-CN"/>
              </w:rPr>
              <w:t>Email or phone number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KYC verification</w:t>
            </w:r>
          </w:p>
        </w:tc>
        <w:tc>
          <w:tcPr>
            <w:tcW w:w="8034" w:type="dxa"/>
            <w:shd w:val="clear" w:color="auto" w:fill="auto"/>
            <w:tcMar>
              <w:top w:w="150" w:type="dxa"/>
              <w:left w:w="240" w:type="dxa"/>
              <w:bottom w:w="150" w:type="dxa"/>
              <w:right w:w="0" w:type="dxa"/>
            </w:tcMar>
            <w:vAlign w:val="center"/>
          </w:tcPr>
          <w:p>
            <w:pPr>
              <w:rPr>
                <w:rFonts w:hint="default"/>
              </w:rPr>
            </w:pPr>
            <w:r>
              <w:rPr>
                <w:rFonts w:hint="default"/>
                <w:lang w:val="en-US" w:eastAsia="zh-CN"/>
              </w:rPr>
              <w:t>As required by regulatory 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Activate wallet</w:t>
            </w:r>
          </w:p>
        </w:tc>
        <w:tc>
          <w:tcPr>
            <w:tcW w:w="8034" w:type="dxa"/>
            <w:shd w:val="clear" w:color="auto" w:fill="auto"/>
            <w:tcMar>
              <w:top w:w="150" w:type="dxa"/>
              <w:left w:w="240" w:type="dxa"/>
              <w:bottom w:w="150" w:type="dxa"/>
              <w:right w:w="0" w:type="dxa"/>
            </w:tcMar>
            <w:vAlign w:val="center"/>
          </w:tcPr>
          <w:p>
            <w:pPr>
              <w:rPr>
                <w:rFonts w:hint="default"/>
              </w:rPr>
            </w:pPr>
            <w:r>
              <w:rPr>
                <w:rFonts w:hint="default"/>
                <w:lang w:val="en-US" w:eastAsia="zh-CN"/>
              </w:rPr>
              <w:t>Instant activation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697"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Choose mode</w:t>
            </w:r>
          </w:p>
        </w:tc>
        <w:tc>
          <w:tcPr>
            <w:tcW w:w="8034" w:type="dxa"/>
            <w:shd w:val="clear" w:color="auto" w:fill="auto"/>
            <w:tcMar>
              <w:top w:w="150" w:type="dxa"/>
              <w:left w:w="240" w:type="dxa"/>
              <w:bottom w:w="150" w:type="dxa"/>
              <w:right w:w="0" w:type="dxa"/>
            </w:tcMar>
            <w:vAlign w:val="center"/>
          </w:tcPr>
          <w:p>
            <w:pPr>
              <w:rPr>
                <w:rFonts w:hint="default"/>
              </w:rPr>
            </w:pPr>
            <w:r>
              <w:rPr>
                <w:rFonts w:hint="default"/>
                <w:lang w:val="en-US" w:eastAsia="zh-CN"/>
              </w:rPr>
              <w:t>Auto-Conversion (default) or Holding (optional) or both and switch as needed</w:t>
            </w:r>
          </w:p>
        </w:tc>
      </w:tr>
    </w:tbl>
    <w:p>
      <w:pPr>
        <w:rPr>
          <w:rFonts w:hint="default"/>
        </w:rPr>
      </w:pPr>
      <w:r>
        <w:rPr>
          <w:rFonts w:hint="default"/>
        </w:rPr>
        <w:t>14.1.2 Holding Mode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30"/>
        <w:gridCol w:w="84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83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Feature</w:t>
            </w:r>
          </w:p>
        </w:tc>
        <w:tc>
          <w:tcPr>
            <w:tcW w:w="844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Purpose</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Hold Credits for future use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Default</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No — Auto-Conversion is default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Opt-In</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Yes — users must choose to hold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Maximum Period</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6 months (unless extended for institutions)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Security</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Multi-factor authentication, transaction confirmation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0"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Conversion</w:t>
            </w:r>
          </w:p>
        </w:tc>
        <w:tc>
          <w:tcPr>
            <w:tcW w:w="8449"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Convert to local currency at any time</w:t>
            </w:r>
          </w:p>
        </w:tc>
      </w:tr>
    </w:tbl>
    <w:p>
      <w:pPr>
        <w:rPr>
          <w:rFonts w:hint="default"/>
        </w:rPr>
      </w:pPr>
      <w:r>
        <w:rPr>
          <w:rFonts w:hint="default"/>
        </w:rPr>
        <w:t>14.1.3 Auto-Conversion Mode</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42"/>
        <w:gridCol w:w="94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84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Feature</w:t>
            </w:r>
          </w:p>
        </w:tc>
        <w:tc>
          <w:tcPr>
            <w:tcW w:w="943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Purpose</w:t>
            </w:r>
          </w:p>
        </w:tc>
        <w:tc>
          <w:tcPr>
            <w:tcW w:w="94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Instant conversion for spending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Default</w:t>
            </w:r>
          </w:p>
        </w:tc>
        <w:tc>
          <w:tcPr>
            <w:tcW w:w="94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Yes — default mode for all users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Opt-Out</w:t>
            </w:r>
          </w:p>
        </w:tc>
        <w:tc>
          <w:tcPr>
            <w:tcW w:w="94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Users may choose Holding Mode instead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Conversion</w:t>
            </w:r>
          </w:p>
        </w:tc>
        <w:tc>
          <w:tcPr>
            <w:tcW w:w="94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convert instantly to local currency for domestic spending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842" w:type="dxa"/>
            <w:shd w:val="clear" w:color="auto" w:fill="auto"/>
            <w:tcMar>
              <w:top w:w="150" w:type="dxa"/>
              <w:left w:w="0" w:type="dxa"/>
              <w:bottom w:w="150" w:type="dxa"/>
              <w:right w:w="240" w:type="dxa"/>
            </w:tcMar>
            <w:vAlign w:val="center"/>
          </w:tcPr>
          <w:p>
            <w:pPr>
              <w:rPr>
                <w:rFonts w:hint="default"/>
              </w:rPr>
            </w:pPr>
            <w:r>
              <w:rPr>
                <w:rFonts w:hint="default"/>
                <w:lang w:val="en-US" w:eastAsia="zh-CN"/>
              </w:rPr>
              <w:t>Spending</w:t>
            </w:r>
          </w:p>
        </w:tc>
        <w:tc>
          <w:tcPr>
            <w:tcW w:w="94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Users see simple payment — conversion is invisible</w:t>
            </w:r>
          </w:p>
        </w:tc>
      </w:tr>
    </w:tbl>
    <w:p>
      <w:pPr>
        <w:rPr>
          <w:rFonts w:hint="default"/>
        </w:rPr>
      </w:pPr>
      <w:r>
        <w:rPr>
          <w:rFonts w:hint="default"/>
        </w:rPr>
        <w:t>14.1.4 Switching Modes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833"/>
        <w:gridCol w:w="4308"/>
        <w:gridCol w:w="41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83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Action</w:t>
            </w:r>
          </w:p>
        </w:tc>
        <w:tc>
          <w:tcPr>
            <w:tcW w:w="430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How</w:t>
            </w:r>
          </w:p>
        </w:tc>
        <w:tc>
          <w:tcPr>
            <w:tcW w:w="413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Effect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3" w:type="dxa"/>
            <w:shd w:val="clear" w:color="auto" w:fill="auto"/>
            <w:tcMar>
              <w:top w:w="150" w:type="dxa"/>
              <w:left w:w="0" w:type="dxa"/>
              <w:bottom w:w="150" w:type="dxa"/>
              <w:right w:w="240" w:type="dxa"/>
            </w:tcMar>
            <w:vAlign w:val="center"/>
          </w:tcPr>
          <w:p>
            <w:pPr>
              <w:rPr>
                <w:rFonts w:hint="default"/>
              </w:rPr>
            </w:pPr>
            <w:r>
              <w:rPr>
                <w:rFonts w:hint="default"/>
                <w:lang w:val="en-US" w:eastAsia="zh-CN"/>
              </w:rPr>
              <w:t>Switch to Holding</w:t>
            </w:r>
          </w:p>
        </w:tc>
        <w:tc>
          <w:tcPr>
            <w:tcW w:w="43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Select "Hold Credits" in wallet settings</w:t>
            </w:r>
          </w:p>
        </w:tc>
        <w:tc>
          <w:tcPr>
            <w:tcW w:w="41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remain in wallet for future use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833" w:type="dxa"/>
            <w:shd w:val="clear" w:color="auto" w:fill="auto"/>
            <w:tcMar>
              <w:top w:w="150" w:type="dxa"/>
              <w:left w:w="0" w:type="dxa"/>
              <w:bottom w:w="150" w:type="dxa"/>
              <w:right w:w="240" w:type="dxa"/>
            </w:tcMar>
            <w:vAlign w:val="center"/>
          </w:tcPr>
          <w:p>
            <w:pPr>
              <w:rPr>
                <w:rFonts w:hint="default"/>
              </w:rPr>
            </w:pPr>
            <w:r>
              <w:rPr>
                <w:rFonts w:hint="default"/>
                <w:lang w:val="en-US" w:eastAsia="zh-CN"/>
              </w:rPr>
              <w:t>Switch to Auto-Conversion</w:t>
            </w:r>
          </w:p>
        </w:tc>
        <w:tc>
          <w:tcPr>
            <w:tcW w:w="43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Select "Auto-Convert" in wallet settings</w:t>
            </w:r>
          </w:p>
        </w:tc>
        <w:tc>
          <w:tcPr>
            <w:tcW w:w="413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convert instantly for spending</w:t>
            </w:r>
          </w:p>
        </w:tc>
      </w:tr>
    </w:tbl>
    <w:p>
      <w:pPr>
        <w:rPr>
          <w:rFonts w:hint="default"/>
        </w:rPr>
      </w:pPr>
      <w:r>
        <w:rPr>
          <w:rFonts w:hint="default"/>
        </w:rPr>
        <w:t>14.2 Conversion Procedures</w:t>
      </w:r>
    </w:p>
    <w:p>
      <w:pPr>
        <w:rPr>
          <w:rFonts w:hint="default"/>
        </w:rPr>
      </w:pPr>
      <w:r>
        <w:rPr>
          <w:rFonts w:hint="default"/>
        </w:rPr>
        <w:t>14.2.1 On-Ramp (Local Currency → Credits)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8"/>
        <w:gridCol w:w="2709"/>
        <w:gridCol w:w="776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80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270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776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270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Initiate conversion</w:t>
            </w:r>
          </w:p>
        </w:tc>
        <w:tc>
          <w:tcPr>
            <w:tcW w:w="77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Select "Buy Credits" in Super App PSP or external partner app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270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Enter amount</w:t>
            </w:r>
          </w:p>
        </w:tc>
        <w:tc>
          <w:tcPr>
            <w:tcW w:w="77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Enter amount in local currency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270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View rate</w:t>
            </w:r>
          </w:p>
        </w:tc>
        <w:tc>
          <w:tcPr>
            <w:tcW w:w="77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See government tax + partner margin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270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Confirm</w:t>
            </w:r>
          </w:p>
        </w:tc>
        <w:tc>
          <w:tcPr>
            <w:tcW w:w="77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Authorize the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270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Complete</w:t>
            </w:r>
          </w:p>
        </w:tc>
        <w:tc>
          <w:tcPr>
            <w:tcW w:w="776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are credited to wallet</w:t>
            </w:r>
          </w:p>
        </w:tc>
      </w:tr>
    </w:tbl>
    <w:p>
      <w:pPr>
        <w:rPr>
          <w:rFonts w:hint="default"/>
        </w:rPr>
      </w:pPr>
      <w:r>
        <w:rPr>
          <w:rFonts w:hint="default"/>
        </w:rPr>
        <w:t>14.2.2 Off-Ramp (Credits → Local Currency)</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0"/>
        <w:gridCol w:w="2715"/>
        <w:gridCol w:w="77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81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271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775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10"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27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Initiate conversion</w:t>
            </w:r>
          </w:p>
        </w:tc>
        <w:tc>
          <w:tcPr>
            <w:tcW w:w="77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Select "Sell Credits" in Super App PSP or external partner app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10"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27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Enter amount</w:t>
            </w:r>
          </w:p>
        </w:tc>
        <w:tc>
          <w:tcPr>
            <w:tcW w:w="77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Enter amount in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10"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27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View rate</w:t>
            </w:r>
          </w:p>
        </w:tc>
        <w:tc>
          <w:tcPr>
            <w:tcW w:w="77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See government tax + partner margin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10"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27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Confirm</w:t>
            </w:r>
          </w:p>
        </w:tc>
        <w:tc>
          <w:tcPr>
            <w:tcW w:w="77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Authorize the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810"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27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Complete</w:t>
            </w:r>
          </w:p>
        </w:tc>
        <w:tc>
          <w:tcPr>
            <w:tcW w:w="7754" w:type="dxa"/>
            <w:shd w:val="clear" w:color="auto" w:fill="auto"/>
            <w:tcMar>
              <w:top w:w="150" w:type="dxa"/>
              <w:left w:w="240" w:type="dxa"/>
              <w:bottom w:w="150" w:type="dxa"/>
              <w:right w:w="0" w:type="dxa"/>
            </w:tcMar>
            <w:vAlign w:val="center"/>
          </w:tcPr>
          <w:p>
            <w:pPr>
              <w:rPr>
                <w:rFonts w:hint="default"/>
              </w:rPr>
            </w:pPr>
            <w:r>
              <w:rPr>
                <w:rFonts w:hint="default"/>
                <w:lang w:val="en-US" w:eastAsia="zh-CN"/>
              </w:rPr>
              <w:t>Local currency is credited to bank or mobile money account</w:t>
            </w:r>
          </w:p>
        </w:tc>
      </w:tr>
    </w:tbl>
    <w:p>
      <w:pPr>
        <w:rPr>
          <w:rFonts w:hint="default"/>
        </w:rPr>
      </w:pPr>
      <w:r>
        <w:rPr>
          <w:rFonts w:hint="default"/>
        </w:rPr>
        <w:t>14.2.3 Domestic Spending (Credits → Local Currency for Spending)</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3"/>
        <w:gridCol w:w="3208"/>
        <w:gridCol w:w="729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773"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320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7297"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Select payment method</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Choose "Pay with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Conversion</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convert instantly to local currency in the background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Settlement</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Merchant receives local currency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773"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320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Confirmation</w:t>
            </w:r>
          </w:p>
        </w:tc>
        <w:tc>
          <w:tcPr>
            <w:tcW w:w="7297"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 receives confirmation of payment</w:t>
            </w:r>
          </w:p>
        </w:tc>
      </w:tr>
    </w:tbl>
    <w:p>
      <w:pPr>
        <w:rPr>
          <w:rFonts w:hint="default"/>
        </w:rPr>
      </w:pPr>
      <w:r>
        <w:rPr>
          <w:rFonts w:hint="default"/>
        </w:rPr>
        <w:t>Critical Clarification:</w:t>
      </w:r>
    </w:p>
    <w:p>
      <w:r>
        <w:rPr>
          <w:rFonts w:hint="default"/>
        </w:rPr>
        <w:t>"Credits are never accepted directly by merchants, billers, or service providers. When a user selects 'Pay with Credits,' the Credits convert instantly to local currency in the background. The merchant, biller, or service provider receives only local currency. This ensures Credits remain a bridge layer and never function as a parallel currency within any domestic economy."</w:t>
      </w:r>
    </w:p>
    <w:p>
      <w:pPr>
        <w:rPr>
          <w:rFonts w:hint="default"/>
        </w:rPr>
      </w:pPr>
      <w:r>
        <w:rPr>
          <w:rFonts w:hint="default"/>
        </w:rPr>
        <w:t>Note: The conversion is invisible to the user. They see a simple payment.</w:t>
      </w:r>
    </w:p>
    <w:p>
      <w:pPr>
        <w:rPr>
          <w:rFonts w:hint="default"/>
        </w:rPr>
      </w:pPr>
      <w:r>
        <w:rPr>
          <w:rFonts w:hint="default"/>
        </w:rPr>
        <w:t>14.3 Wallet-to-Wallet Transfers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22"/>
        <w:gridCol w:w="2719"/>
        <w:gridCol w:w="75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022"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271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753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22"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271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Select wallet</w:t>
            </w:r>
          </w:p>
        </w:tc>
        <w:tc>
          <w:tcPr>
            <w:tcW w:w="7538" w:type="dxa"/>
            <w:shd w:val="clear" w:color="auto" w:fill="auto"/>
            <w:tcMar>
              <w:top w:w="150" w:type="dxa"/>
              <w:left w:w="240" w:type="dxa"/>
              <w:bottom w:w="150" w:type="dxa"/>
              <w:right w:w="0" w:type="dxa"/>
            </w:tcMar>
            <w:vAlign w:val="center"/>
          </w:tcPr>
          <w:p>
            <w:pPr>
              <w:rPr>
                <w:rFonts w:hint="default"/>
              </w:rPr>
            </w:pPr>
            <w:r>
              <w:rPr>
                <w:rFonts w:hint="default"/>
                <w:lang w:val="en-US" w:eastAsia="zh-CN"/>
              </w:rPr>
              <w:t>Choose a recipient from contacts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22"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271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Enter amount</w:t>
            </w:r>
          </w:p>
        </w:tc>
        <w:tc>
          <w:tcPr>
            <w:tcW w:w="7538" w:type="dxa"/>
            <w:shd w:val="clear" w:color="auto" w:fill="auto"/>
            <w:tcMar>
              <w:top w:w="150" w:type="dxa"/>
              <w:left w:w="240" w:type="dxa"/>
              <w:bottom w:w="150" w:type="dxa"/>
              <w:right w:w="0" w:type="dxa"/>
            </w:tcMar>
            <w:vAlign w:val="center"/>
          </w:tcPr>
          <w:p>
            <w:pPr>
              <w:rPr>
                <w:rFonts w:hint="default"/>
              </w:rPr>
            </w:pPr>
            <w:r>
              <w:rPr>
                <w:rFonts w:hint="default"/>
                <w:lang w:val="en-US" w:eastAsia="zh-CN"/>
              </w:rPr>
              <w:t>Enter amount in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22"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271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View fee</w:t>
            </w:r>
          </w:p>
        </w:tc>
        <w:tc>
          <w:tcPr>
            <w:tcW w:w="7538"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See 0% – 1% transaction fee (partner-defined)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22"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271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Confirm</w:t>
            </w:r>
          </w:p>
        </w:tc>
        <w:tc>
          <w:tcPr>
            <w:tcW w:w="7538" w:type="dxa"/>
            <w:shd w:val="clear" w:color="auto" w:fill="auto"/>
            <w:tcMar>
              <w:top w:w="150" w:type="dxa"/>
              <w:left w:w="240" w:type="dxa"/>
              <w:bottom w:w="150" w:type="dxa"/>
              <w:right w:w="0" w:type="dxa"/>
            </w:tcMar>
            <w:vAlign w:val="center"/>
          </w:tcPr>
          <w:p>
            <w:pPr>
              <w:rPr>
                <w:rFonts w:hint="default"/>
              </w:rPr>
            </w:pPr>
            <w:r>
              <w:rPr>
                <w:rFonts w:hint="default"/>
                <w:lang w:val="en-US" w:eastAsia="zh-CN"/>
              </w:rPr>
              <w:t>Authorize the transfer</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22"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2719"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Complete</w:t>
            </w:r>
          </w:p>
        </w:tc>
        <w:tc>
          <w:tcPr>
            <w:tcW w:w="7538" w:type="dxa"/>
            <w:shd w:val="clear" w:color="auto" w:fill="auto"/>
            <w:tcMar>
              <w:top w:w="150" w:type="dxa"/>
              <w:left w:w="240" w:type="dxa"/>
              <w:bottom w:w="150" w:type="dxa"/>
              <w:right w:w="0" w:type="dxa"/>
            </w:tcMar>
            <w:vAlign w:val="center"/>
          </w:tcPr>
          <w:p>
            <w:pPr>
              <w:rPr>
                <w:rFonts w:hint="default"/>
              </w:rPr>
            </w:pPr>
            <w:r>
              <w:rPr>
                <w:rFonts w:hint="default"/>
                <w:lang w:val="en-US" w:eastAsia="zh-CN"/>
              </w:rPr>
              <w:t>Credits are transferred instantly</w:t>
            </w:r>
          </w:p>
        </w:tc>
      </w:tr>
    </w:tbl>
    <w:p>
      <w:pPr>
        <w:rPr>
          <w:rFonts w:hint="default"/>
        </w:rPr>
      </w:pPr>
      <w:r>
        <w:rPr>
          <w:rFonts w:hint="default"/>
        </w:rPr>
        <w:t>14.4 Holding Period Enforcement</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909"/>
        <w:gridCol w:w="2665"/>
        <w:gridCol w:w="570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290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Period</w:t>
            </w:r>
          </w:p>
        </w:tc>
        <w:tc>
          <w:tcPr>
            <w:tcW w:w="266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570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09" w:type="dxa"/>
            <w:shd w:val="clear" w:color="auto" w:fill="auto"/>
            <w:tcMar>
              <w:top w:w="150" w:type="dxa"/>
              <w:left w:w="0" w:type="dxa"/>
              <w:bottom w:w="150" w:type="dxa"/>
              <w:right w:w="240" w:type="dxa"/>
            </w:tcMar>
            <w:vAlign w:val="center"/>
          </w:tcPr>
          <w:p>
            <w:pPr>
              <w:rPr>
                <w:rFonts w:hint="default"/>
              </w:rPr>
            </w:pPr>
            <w:r>
              <w:rPr>
                <w:rFonts w:hint="default"/>
                <w:lang w:val="en-US" w:eastAsia="zh-CN"/>
              </w:rPr>
              <w:t>0-6 months</w:t>
            </w:r>
          </w:p>
        </w:tc>
        <w:tc>
          <w:tcPr>
            <w:tcW w:w="26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Normal holding</w:t>
            </w:r>
          </w:p>
        </w:tc>
        <w:tc>
          <w:tcPr>
            <w:tcW w:w="5705"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 may hold Credits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09" w:type="dxa"/>
            <w:shd w:val="clear" w:color="auto" w:fill="auto"/>
            <w:tcMar>
              <w:top w:w="150" w:type="dxa"/>
              <w:left w:w="0" w:type="dxa"/>
              <w:bottom w:w="150" w:type="dxa"/>
              <w:right w:w="240" w:type="dxa"/>
            </w:tcMar>
            <w:vAlign w:val="center"/>
          </w:tcPr>
          <w:p>
            <w:pPr>
              <w:rPr>
                <w:rFonts w:hint="default"/>
              </w:rPr>
            </w:pPr>
            <w:r>
              <w:rPr>
                <w:rFonts w:hint="default"/>
                <w:lang w:val="en-US" w:eastAsia="zh-CN"/>
              </w:rPr>
              <w:t>6 months</w:t>
            </w:r>
          </w:p>
        </w:tc>
        <w:tc>
          <w:tcPr>
            <w:tcW w:w="26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Notification</w:t>
            </w:r>
          </w:p>
        </w:tc>
        <w:tc>
          <w:tcPr>
            <w:tcW w:w="5705" w:type="dxa"/>
            <w:shd w:val="clear" w:color="auto" w:fill="auto"/>
            <w:tcMar>
              <w:top w:w="150" w:type="dxa"/>
              <w:left w:w="240" w:type="dxa"/>
              <w:bottom w:w="150" w:type="dxa"/>
              <w:right w:w="0" w:type="dxa"/>
            </w:tcMar>
            <w:vAlign w:val="center"/>
          </w:tcPr>
          <w:p>
            <w:pPr>
              <w:rPr>
                <w:rFonts w:hint="default"/>
              </w:rPr>
            </w:pPr>
            <w:r>
              <w:rPr>
                <w:rFonts w:hint="default"/>
                <w:lang w:val="en-US" w:eastAsia="zh-CN"/>
              </w:rPr>
              <w:t>User receives notification to convert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2909" w:type="dxa"/>
            <w:shd w:val="clear" w:color="auto" w:fill="auto"/>
            <w:tcMar>
              <w:top w:w="150" w:type="dxa"/>
              <w:left w:w="0" w:type="dxa"/>
              <w:bottom w:w="150" w:type="dxa"/>
              <w:right w:w="240" w:type="dxa"/>
            </w:tcMar>
            <w:vAlign w:val="center"/>
          </w:tcPr>
          <w:p>
            <w:pPr>
              <w:rPr>
                <w:rFonts w:hint="default"/>
              </w:rPr>
            </w:pPr>
            <w:r>
              <w:rPr>
                <w:rFonts w:hint="default"/>
                <w:lang w:val="en-US" w:eastAsia="zh-CN"/>
              </w:rPr>
              <w:t>6 months + 1 week</w:t>
            </w:r>
          </w:p>
        </w:tc>
        <w:tc>
          <w:tcPr>
            <w:tcW w:w="266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Grace period</w:t>
            </w:r>
          </w:p>
        </w:tc>
        <w:tc>
          <w:tcPr>
            <w:tcW w:w="5705" w:type="dxa"/>
            <w:shd w:val="clear" w:color="auto" w:fill="auto"/>
            <w:tcMar>
              <w:top w:w="150" w:type="dxa"/>
              <w:left w:w="240" w:type="dxa"/>
              <w:bottom w:w="150" w:type="dxa"/>
              <w:right w:w="0" w:type="dxa"/>
            </w:tcMar>
            <w:vAlign w:val="center"/>
          </w:tcPr>
          <w:p>
            <w:pPr>
              <w:rPr>
                <w:rFonts w:hint="default"/>
              </w:rPr>
            </w:pPr>
            <w:r>
              <w:rPr>
                <w:rFonts w:hint="default"/>
                <w:lang w:val="en-US" w:eastAsia="zh-CN"/>
              </w:rPr>
              <w:t>One-week grace period for conversion</w:t>
            </w:r>
          </w:p>
        </w:tc>
      </w:tr>
    </w:tbl>
    <w:p>
      <w:pPr>
        <w:rPr>
          <w:rFonts w:hint="default"/>
        </w:rPr>
      </w:pPr>
      <w:r>
        <w:pict>
          <v:rect id="_x0000_i1044"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15. AML/CFT COMPLIANCE</w:t>
      </w:r>
    </w:p>
    <w:p>
      <w:pPr>
        <w:rPr>
          <w:rFonts w:hint="default"/>
        </w:rPr>
      </w:pPr>
      <w:r>
        <w:rPr>
          <w:rFonts w:hint="default"/>
        </w:rPr>
        <w:t>15.1 Responsibility Allocation</w:t>
      </w:r>
    </w:p>
    <w:p>
      <w:r>
        <w:rPr>
          <w:rFonts w:hint="default"/>
        </w:rPr>
        <w:t>"Partners bear primary responsibility for KYC/AML compliance for their customers, including customer identification, verification, and ongoing monitoring. The Foundation provides oversight, monitoring, and reporting infrastructure, including transaction monitoring, sanctions screening, and suspicious activity reporting. The Foundation does not replace partner KYC obligations but ensures compliance with FATF Recommendation 15 and applicable host country laws."</w:t>
      </w:r>
    </w:p>
    <w:p>
      <w:pPr>
        <w:rPr>
          <w:rFonts w:hint="default"/>
        </w:rPr>
      </w:pPr>
      <w:r>
        <w:rPr>
          <w:rFonts w:hint="default"/>
        </w:rPr>
        <w:t>15.2 KYC Requirements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669"/>
        <w:gridCol w:w="2110"/>
        <w:gridCol w:w="550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66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User Type</w:t>
            </w:r>
          </w:p>
        </w:tc>
        <w:tc>
          <w:tcPr>
            <w:tcW w:w="211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KYC Level</w:t>
            </w:r>
          </w:p>
        </w:tc>
        <w:tc>
          <w:tcPr>
            <w:tcW w:w="5500"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6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Individual (Super App Native)</w:t>
            </w:r>
          </w:p>
        </w:tc>
        <w:tc>
          <w:tcPr>
            <w:tcW w:w="211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Level 1</w:t>
            </w:r>
          </w:p>
        </w:tc>
        <w:tc>
          <w:tcPr>
            <w:tcW w:w="5500" w:type="dxa"/>
            <w:shd w:val="clear" w:color="auto" w:fill="auto"/>
            <w:tcMar>
              <w:top w:w="150" w:type="dxa"/>
              <w:left w:w="240" w:type="dxa"/>
              <w:bottom w:w="150" w:type="dxa"/>
              <w:right w:w="0" w:type="dxa"/>
            </w:tcMar>
            <w:vAlign w:val="center"/>
          </w:tcPr>
          <w:p>
            <w:pPr>
              <w:rPr>
                <w:rFonts w:hint="default"/>
              </w:rPr>
            </w:pPr>
            <w:r>
              <w:rPr>
                <w:rFonts w:hint="default"/>
                <w:lang w:val="en-US" w:eastAsia="zh-CN"/>
              </w:rPr>
              <w:t>Name, phone number, ID verification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6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Individual (Partner)</w:t>
            </w:r>
          </w:p>
        </w:tc>
        <w:tc>
          <w:tcPr>
            <w:tcW w:w="211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Partner's KYC</w:t>
            </w:r>
          </w:p>
        </w:tc>
        <w:tc>
          <w:tcPr>
            <w:tcW w:w="5500" w:type="dxa"/>
            <w:shd w:val="clear" w:color="auto" w:fill="auto"/>
            <w:tcMar>
              <w:top w:w="150" w:type="dxa"/>
              <w:left w:w="240" w:type="dxa"/>
              <w:bottom w:w="150" w:type="dxa"/>
              <w:right w:w="0" w:type="dxa"/>
            </w:tcMar>
            <w:vAlign w:val="center"/>
          </w:tcPr>
          <w:p>
            <w:pPr>
              <w:rPr>
                <w:rFonts w:hint="default"/>
              </w:rPr>
            </w:pPr>
            <w:r>
              <w:rPr>
                <w:rFonts w:hint="default"/>
                <w:lang w:val="en-US" w:eastAsia="zh-CN"/>
              </w:rPr>
              <w:t>As per partner's requirements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69" w:type="dxa"/>
            <w:shd w:val="clear" w:color="auto" w:fill="auto"/>
            <w:tcMar>
              <w:top w:w="150" w:type="dxa"/>
              <w:left w:w="0" w:type="dxa"/>
              <w:bottom w:w="150" w:type="dxa"/>
              <w:right w:w="240" w:type="dxa"/>
            </w:tcMar>
            <w:vAlign w:val="center"/>
          </w:tcPr>
          <w:p>
            <w:pPr>
              <w:rPr>
                <w:rFonts w:hint="default"/>
              </w:rPr>
            </w:pPr>
            <w:r>
              <w:rPr>
                <w:rFonts w:hint="default"/>
                <w:lang w:val="en-US" w:eastAsia="zh-CN"/>
              </w:rPr>
              <w:t>SME</w:t>
            </w:r>
          </w:p>
        </w:tc>
        <w:tc>
          <w:tcPr>
            <w:tcW w:w="211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Level 2</w:t>
            </w:r>
          </w:p>
        </w:tc>
        <w:tc>
          <w:tcPr>
            <w:tcW w:w="5500" w:type="dxa"/>
            <w:shd w:val="clear" w:color="auto" w:fill="auto"/>
            <w:tcMar>
              <w:top w:w="150" w:type="dxa"/>
              <w:left w:w="240" w:type="dxa"/>
              <w:bottom w:w="150" w:type="dxa"/>
              <w:right w:w="0" w:type="dxa"/>
            </w:tcMar>
            <w:vAlign w:val="center"/>
          </w:tcPr>
          <w:p>
            <w:pPr>
              <w:rPr>
                <w:rFonts w:hint="default"/>
              </w:rPr>
            </w:pPr>
            <w:r>
              <w:rPr>
                <w:rFonts w:hint="default"/>
                <w:lang w:val="en-US" w:eastAsia="zh-CN"/>
              </w:rPr>
              <w:t>Business registration, beneficial ownership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69" w:type="dxa"/>
            <w:shd w:val="clear" w:color="auto" w:fill="auto"/>
            <w:tcMar>
              <w:top w:w="150" w:type="dxa"/>
              <w:left w:w="0" w:type="dxa"/>
              <w:bottom w:w="150" w:type="dxa"/>
              <w:right w:w="240" w:type="dxa"/>
            </w:tcMar>
            <w:vAlign w:val="center"/>
          </w:tcPr>
          <w:p>
            <w:pPr>
              <w:rPr>
                <w:rFonts w:hint="default"/>
              </w:rPr>
            </w:pPr>
            <w:r>
              <w:rPr>
                <w:rFonts w:hint="default"/>
                <w:lang w:val="en-US" w:eastAsia="zh-CN"/>
              </w:rPr>
              <w:t>Wholesale</w:t>
            </w:r>
          </w:p>
        </w:tc>
        <w:tc>
          <w:tcPr>
            <w:tcW w:w="211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Level 3</w:t>
            </w:r>
          </w:p>
        </w:tc>
        <w:tc>
          <w:tcPr>
            <w:tcW w:w="5500" w:type="dxa"/>
            <w:shd w:val="clear" w:color="auto" w:fill="auto"/>
            <w:tcMar>
              <w:top w:w="150" w:type="dxa"/>
              <w:left w:w="240" w:type="dxa"/>
              <w:bottom w:w="150" w:type="dxa"/>
              <w:right w:w="0" w:type="dxa"/>
            </w:tcMar>
            <w:vAlign w:val="center"/>
          </w:tcPr>
          <w:p>
            <w:pPr>
              <w:rPr>
                <w:rFonts w:hint="default"/>
              </w:rPr>
            </w:pPr>
            <w:r>
              <w:rPr>
                <w:rFonts w:hint="default"/>
                <w:lang w:val="en-US" w:eastAsia="zh-CN"/>
              </w:rPr>
              <w:t>Full due diligence, source of funds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669"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Institution</w:t>
            </w:r>
          </w:p>
        </w:tc>
        <w:tc>
          <w:tcPr>
            <w:tcW w:w="2110"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Level 3</w:t>
            </w:r>
          </w:p>
        </w:tc>
        <w:tc>
          <w:tcPr>
            <w:tcW w:w="5500" w:type="dxa"/>
            <w:shd w:val="clear" w:color="auto" w:fill="auto"/>
            <w:tcMar>
              <w:top w:w="150" w:type="dxa"/>
              <w:left w:w="240" w:type="dxa"/>
              <w:bottom w:w="150" w:type="dxa"/>
              <w:right w:w="0" w:type="dxa"/>
            </w:tcMar>
            <w:vAlign w:val="center"/>
          </w:tcPr>
          <w:p>
            <w:pPr>
              <w:rPr>
                <w:rFonts w:hint="default"/>
              </w:rPr>
            </w:pPr>
            <w:r>
              <w:rPr>
                <w:rFonts w:hint="default"/>
                <w:lang w:val="en-US" w:eastAsia="zh-CN"/>
              </w:rPr>
              <w:t>Full due diligence, regulatory approval</w:t>
            </w:r>
          </w:p>
        </w:tc>
      </w:tr>
    </w:tbl>
    <w:p>
      <w:pPr>
        <w:rPr>
          <w:rFonts w:hint="default"/>
        </w:rPr>
      </w:pPr>
      <w:r>
        <w:pict>
          <v:rect id="_x0000_i1045"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16. DATA PRIVACY AND SOVEREIGNTY</w:t>
      </w:r>
    </w:p>
    <w:p>
      <w:pPr>
        <w:rPr>
          <w:rFonts w:hint="default"/>
        </w:rPr>
      </w:pPr>
      <w:r>
        <w:rPr>
          <w:rFonts w:hint="default"/>
        </w:rPr>
        <w:t>16.1 Data Ownership</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320"/>
        <w:gridCol w:w="2763"/>
        <w:gridCol w:w="51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32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Data Type</w:t>
            </w:r>
          </w:p>
        </w:tc>
        <w:tc>
          <w:tcPr>
            <w:tcW w:w="276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Owner</w:t>
            </w:r>
          </w:p>
        </w:tc>
        <w:tc>
          <w:tcPr>
            <w:tcW w:w="519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3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Customer data</w:t>
            </w:r>
          </w:p>
        </w:tc>
        <w:tc>
          <w:tcPr>
            <w:tcW w:w="27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w:t>
            </w:r>
          </w:p>
        </w:tc>
        <w:tc>
          <w:tcPr>
            <w:tcW w:w="5195"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Partner's business use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3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data</w:t>
            </w:r>
          </w:p>
        </w:tc>
        <w:tc>
          <w:tcPr>
            <w:tcW w:w="27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w:t>
            </w:r>
          </w:p>
        </w:tc>
        <w:tc>
          <w:tcPr>
            <w:tcW w:w="5195" w:type="dxa"/>
            <w:shd w:val="clear" w:color="auto" w:fill="auto"/>
            <w:tcMar>
              <w:top w:w="150" w:type="dxa"/>
              <w:left w:w="240" w:type="dxa"/>
              <w:bottom w:w="150" w:type="dxa"/>
              <w:right w:w="0" w:type="dxa"/>
            </w:tcMar>
            <w:vAlign w:val="center"/>
          </w:tcPr>
          <w:p>
            <w:pPr>
              <w:rPr>
                <w:rFonts w:hint="default"/>
              </w:rPr>
            </w:pPr>
            <w:r>
              <w:rPr>
                <w:rFonts w:hint="default"/>
                <w:lang w:val="en-US" w:eastAsia="zh-CN"/>
              </w:rPr>
              <w:t>Settlement and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3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Aggregated data</w:t>
            </w:r>
          </w:p>
        </w:tc>
        <w:tc>
          <w:tcPr>
            <w:tcW w:w="27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w:t>
            </w:r>
          </w:p>
        </w:tc>
        <w:tc>
          <w:tcPr>
            <w:tcW w:w="5195" w:type="dxa"/>
            <w:shd w:val="clear" w:color="auto" w:fill="auto"/>
            <w:tcMar>
              <w:top w:w="150" w:type="dxa"/>
              <w:left w:w="240" w:type="dxa"/>
              <w:bottom w:w="150" w:type="dxa"/>
              <w:right w:w="0" w:type="dxa"/>
            </w:tcMar>
            <w:vAlign w:val="center"/>
          </w:tcPr>
          <w:p>
            <w:pPr>
              <w:rPr>
                <w:rFonts w:hint="default"/>
              </w:rPr>
            </w:pPr>
            <w:r>
              <w:rPr>
                <w:rFonts w:hint="default"/>
                <w:lang w:val="en-US" w:eastAsia="zh-CN"/>
              </w:rPr>
              <w:t>Public reporting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3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Analytical data</w:t>
            </w:r>
          </w:p>
        </w:tc>
        <w:tc>
          <w:tcPr>
            <w:tcW w:w="27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w:t>
            </w:r>
          </w:p>
        </w:tc>
        <w:tc>
          <w:tcPr>
            <w:tcW w:w="5195" w:type="dxa"/>
            <w:shd w:val="clear" w:color="auto" w:fill="auto"/>
            <w:tcMar>
              <w:top w:w="150" w:type="dxa"/>
              <w:left w:w="240" w:type="dxa"/>
              <w:bottom w:w="150" w:type="dxa"/>
              <w:right w:w="0" w:type="dxa"/>
            </w:tcMar>
            <w:vAlign w:val="center"/>
          </w:tcPr>
          <w:p>
            <w:pPr>
              <w:rPr>
                <w:rFonts w:hint="default"/>
              </w:rPr>
            </w:pPr>
            <w:r>
              <w:rPr>
                <w:rFonts w:hint="default"/>
                <w:lang w:val="en-US" w:eastAsia="zh-CN"/>
              </w:rPr>
              <w:t>System improvement</w:t>
            </w:r>
          </w:p>
        </w:tc>
      </w:tr>
    </w:tbl>
    <w:p>
      <w:pPr>
        <w:rPr>
          <w:rFonts w:hint="default"/>
        </w:rPr>
      </w:pPr>
      <w:r>
        <w:rPr>
          <w:rFonts w:hint="default"/>
        </w:rPr>
        <w:t>16.2 Data Sharing</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257"/>
        <w:gridCol w:w="2488"/>
        <w:gridCol w:w="45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257"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Data Shared</w:t>
            </w:r>
          </w:p>
        </w:tc>
        <w:tc>
          <w:tcPr>
            <w:tcW w:w="248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With Whom</w:t>
            </w:r>
          </w:p>
        </w:tc>
        <w:tc>
          <w:tcPr>
            <w:tcW w:w="453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Aggregated transaction data</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Public</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 where needed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transaction data</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Governments</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Tax remittance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Anonymized settlement data</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Partners</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Reconciliation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NOT Shared</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Individual transaction data</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Not shared</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Privacy protected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257" w:type="dxa"/>
            <w:shd w:val="clear" w:color="auto" w:fill="auto"/>
            <w:tcMar>
              <w:top w:w="150" w:type="dxa"/>
              <w:left w:w="0" w:type="dxa"/>
              <w:bottom w:w="150" w:type="dxa"/>
              <w:right w:w="240" w:type="dxa"/>
            </w:tcMar>
            <w:vAlign w:val="center"/>
          </w:tcPr>
          <w:p>
            <w:pPr>
              <w:rPr>
                <w:rFonts w:hint="default"/>
              </w:rPr>
            </w:pPr>
            <w:r>
              <w:rPr>
                <w:rFonts w:hint="default"/>
                <w:lang w:val="en-US" w:eastAsia="zh-CN"/>
              </w:rPr>
              <w:t>Customer personal data</w:t>
            </w:r>
          </w:p>
        </w:tc>
        <w:tc>
          <w:tcPr>
            <w:tcW w:w="248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Not shared</w:t>
            </w:r>
          </w:p>
        </w:tc>
        <w:tc>
          <w:tcPr>
            <w:tcW w:w="4533" w:type="dxa"/>
            <w:shd w:val="clear" w:color="auto" w:fill="auto"/>
            <w:tcMar>
              <w:top w:w="150" w:type="dxa"/>
              <w:left w:w="240" w:type="dxa"/>
              <w:bottom w:w="150" w:type="dxa"/>
              <w:right w:w="0" w:type="dxa"/>
            </w:tcMar>
            <w:vAlign w:val="center"/>
          </w:tcPr>
          <w:p>
            <w:pPr>
              <w:rPr>
                <w:rFonts w:hint="default"/>
              </w:rPr>
            </w:pPr>
            <w:r>
              <w:rPr>
                <w:rFonts w:hint="default"/>
                <w:lang w:val="en-US" w:eastAsia="zh-CN"/>
              </w:rPr>
              <w:t>Partner owned</w:t>
            </w:r>
          </w:p>
        </w:tc>
      </w:tr>
    </w:tbl>
    <w:p>
      <w:pPr>
        <w:rPr>
          <w:rFonts w:hint="default"/>
        </w:rPr>
      </w:pPr>
      <w:r>
        <w:rPr>
          <w:rFonts w:hint="default"/>
        </w:rPr>
        <w:t>16.3 Data Sovereignty</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520"/>
        <w:gridCol w:w="77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520"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Requirement</w:t>
            </w:r>
          </w:p>
        </w:tc>
        <w:tc>
          <w:tcPr>
            <w:tcW w:w="775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Details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Domestic data</w:t>
            </w:r>
          </w:p>
        </w:tc>
        <w:tc>
          <w:tcPr>
            <w:tcW w:w="7759" w:type="dxa"/>
            <w:shd w:val="clear" w:color="auto" w:fill="auto"/>
            <w:tcMar>
              <w:top w:w="150" w:type="dxa"/>
              <w:left w:w="240" w:type="dxa"/>
              <w:bottom w:w="150" w:type="dxa"/>
              <w:right w:w="0" w:type="dxa"/>
            </w:tcMar>
            <w:vAlign w:val="center"/>
          </w:tcPr>
          <w:p>
            <w:pPr>
              <w:rPr>
                <w:rFonts w:hint="default"/>
              </w:rPr>
            </w:pPr>
            <w:r>
              <w:rPr>
                <w:rFonts w:hint="default"/>
                <w:lang w:val="en-US" w:eastAsia="zh-CN"/>
              </w:rPr>
              <w:t>Remains within host country jurisdiction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Cross-border data</w:t>
            </w:r>
          </w:p>
        </w:tc>
        <w:tc>
          <w:tcPr>
            <w:tcW w:w="7759" w:type="dxa"/>
            <w:shd w:val="clear" w:color="auto" w:fill="auto"/>
            <w:tcMar>
              <w:top w:w="150" w:type="dxa"/>
              <w:left w:w="240" w:type="dxa"/>
              <w:bottom w:w="150" w:type="dxa"/>
              <w:right w:w="0" w:type="dxa"/>
            </w:tcMar>
            <w:vAlign w:val="center"/>
          </w:tcPr>
          <w:p>
            <w:pPr>
              <w:rPr>
                <w:rFonts w:hint="default"/>
              </w:rPr>
            </w:pPr>
            <w:r>
              <w:rPr>
                <w:rFonts w:hint="default"/>
                <w:lang w:val="en-US" w:eastAsia="zh-CN"/>
              </w:rPr>
              <w:t>Anonymized and aggregated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520" w:type="dxa"/>
            <w:shd w:val="clear" w:color="auto" w:fill="auto"/>
            <w:tcMar>
              <w:top w:w="150" w:type="dxa"/>
              <w:left w:w="0" w:type="dxa"/>
              <w:bottom w:w="150" w:type="dxa"/>
              <w:right w:w="240" w:type="dxa"/>
            </w:tcMar>
            <w:vAlign w:val="center"/>
          </w:tcPr>
          <w:p>
            <w:pPr>
              <w:rPr>
                <w:rFonts w:hint="default"/>
              </w:rPr>
            </w:pPr>
            <w:r>
              <w:rPr>
                <w:rFonts w:hint="default"/>
                <w:lang w:val="en-US" w:eastAsia="zh-CN"/>
              </w:rPr>
              <w:t>Data localization</w:t>
            </w:r>
          </w:p>
        </w:tc>
        <w:tc>
          <w:tcPr>
            <w:tcW w:w="7759" w:type="dxa"/>
            <w:shd w:val="clear" w:color="auto" w:fill="auto"/>
            <w:tcMar>
              <w:top w:w="150" w:type="dxa"/>
              <w:left w:w="240" w:type="dxa"/>
              <w:bottom w:w="150" w:type="dxa"/>
              <w:right w:w="0" w:type="dxa"/>
            </w:tcMar>
            <w:vAlign w:val="center"/>
          </w:tcPr>
          <w:p>
            <w:pPr>
              <w:rPr>
                <w:rFonts w:hint="default"/>
              </w:rPr>
            </w:pPr>
            <w:r>
              <w:rPr>
                <w:rFonts w:hint="default"/>
                <w:lang w:val="en-US" w:eastAsia="zh-CN"/>
              </w:rPr>
              <w:t>All sensitive data stored in Africa</w:t>
            </w:r>
          </w:p>
        </w:tc>
      </w:tr>
    </w:tbl>
    <w:p>
      <w:pPr>
        <w:rPr>
          <w:rFonts w:hint="default"/>
        </w:rPr>
      </w:pPr>
      <w:r>
        <w:pict>
          <v:rect id="_x0000_i1046"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17. NEUTRALITY CLAUSE</w:t>
      </w:r>
    </w:p>
    <w:p>
      <w:r>
        <w:rPr>
          <w:rFonts w:hint="default"/>
        </w:rPr>
        <w:t>"The Foundation shall not favor any currency, jurisdiction, partner, or financial system. All currencies, jurisdictions, partners, and financial systems shall be treated equally and without preference, subject only to regulatory compliance and operational capability. The Foundation shall not engage in currency speculation, market manipulation, or any activity that could be construed as favoring one currency or jurisdiction over another. This neutrality is fundamental to the Foundation's role as a neutral bridge between currencies and systems."</w:t>
      </w:r>
    </w:p>
    <w:p>
      <w:pPr>
        <w:rPr>
          <w:rFonts w:hint="default"/>
        </w:rPr>
      </w:pPr>
      <w:r>
        <w:pict>
          <v:rect id="_x0000_i1047"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18. DISPUTE RESOLUTION</w:t>
      </w:r>
    </w:p>
    <w:p>
      <w:pPr>
        <w:rPr>
          <w:rFonts w:hint="default"/>
        </w:rPr>
      </w:pPr>
      <w:r>
        <w:rPr>
          <w:rFonts w:hint="default"/>
        </w:rPr>
        <w:t>18.1 User Disputes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21"/>
        <w:gridCol w:w="4644"/>
        <w:gridCol w:w="551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21"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4644"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551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Timeline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464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User submits complaint</w:t>
            </w:r>
          </w:p>
        </w:tc>
        <w:tc>
          <w:tcPr>
            <w:tcW w:w="5513" w:type="dxa"/>
            <w:shd w:val="clear" w:color="auto" w:fill="auto"/>
            <w:tcMar>
              <w:top w:w="150" w:type="dxa"/>
              <w:left w:w="240" w:type="dxa"/>
              <w:bottom w:w="150" w:type="dxa"/>
              <w:right w:w="0" w:type="dxa"/>
            </w:tcMar>
            <w:vAlign w:val="center"/>
          </w:tcPr>
          <w:p>
            <w:pPr>
              <w:rPr>
                <w:rFonts w:hint="default"/>
              </w:rPr>
            </w:pPr>
            <w:r>
              <w:rPr>
                <w:rFonts w:hint="default"/>
                <w:lang w:val="en-US" w:eastAsia="zh-CN"/>
              </w:rPr>
              <w:t>Within 30 days of transaction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464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investigates</w:t>
            </w:r>
          </w:p>
        </w:tc>
        <w:tc>
          <w:tcPr>
            <w:tcW w:w="5513" w:type="dxa"/>
            <w:shd w:val="clear" w:color="auto" w:fill="auto"/>
            <w:tcMar>
              <w:top w:w="150" w:type="dxa"/>
              <w:left w:w="240" w:type="dxa"/>
              <w:bottom w:w="150" w:type="dxa"/>
              <w:right w:w="0" w:type="dxa"/>
            </w:tcMar>
            <w:vAlign w:val="center"/>
          </w:tcPr>
          <w:p>
            <w:pPr>
              <w:rPr>
                <w:rFonts w:hint="default"/>
              </w:rPr>
            </w:pPr>
            <w:r>
              <w:rPr>
                <w:rFonts w:hint="default"/>
                <w:lang w:val="en-US" w:eastAsia="zh-CN"/>
              </w:rPr>
              <w:t>5-10 business days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21"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4644"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Resolution provided</w:t>
            </w:r>
          </w:p>
        </w:tc>
        <w:tc>
          <w:tcPr>
            <w:tcW w:w="5513" w:type="dxa"/>
            <w:shd w:val="clear" w:color="auto" w:fill="auto"/>
            <w:tcMar>
              <w:top w:w="150" w:type="dxa"/>
              <w:left w:w="240" w:type="dxa"/>
              <w:bottom w:w="150" w:type="dxa"/>
              <w:right w:w="0" w:type="dxa"/>
            </w:tcMar>
            <w:vAlign w:val="center"/>
          </w:tcPr>
          <w:p>
            <w:pPr>
              <w:rPr>
                <w:rFonts w:hint="default"/>
              </w:rPr>
            </w:pPr>
            <w:r>
              <w:rPr>
                <w:rFonts w:hint="default"/>
                <w:lang w:val="en-US" w:eastAsia="zh-CN"/>
              </w:rPr>
              <w:t>Within 20 business days</w:t>
            </w:r>
          </w:p>
        </w:tc>
      </w:tr>
    </w:tbl>
    <w:p>
      <w:pPr>
        <w:rPr>
          <w:rFonts w:hint="default"/>
        </w:rPr>
      </w:pPr>
      <w:r>
        <w:rPr>
          <w:rFonts w:hint="default"/>
        </w:rPr>
        <w:t>18.2 Partner Disputes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84"/>
        <w:gridCol w:w="5915"/>
        <w:gridCol w:w="43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984"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591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4379"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Timeline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84"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5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Partner submits complaint</w:t>
            </w:r>
          </w:p>
        </w:tc>
        <w:tc>
          <w:tcPr>
            <w:tcW w:w="43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Within 30 days of incident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84"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5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investigates</w:t>
            </w:r>
          </w:p>
        </w:tc>
        <w:tc>
          <w:tcPr>
            <w:tcW w:w="43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10-15 business days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84"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5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Escalation to Combined Trusts Board</w:t>
            </w:r>
          </w:p>
        </w:tc>
        <w:tc>
          <w:tcPr>
            <w:tcW w:w="43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If unresolved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984"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591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Binding arbitration</w:t>
            </w:r>
          </w:p>
        </w:tc>
        <w:tc>
          <w:tcPr>
            <w:tcW w:w="4379" w:type="dxa"/>
            <w:shd w:val="clear" w:color="auto" w:fill="auto"/>
            <w:tcMar>
              <w:top w:w="150" w:type="dxa"/>
              <w:left w:w="240" w:type="dxa"/>
              <w:bottom w:w="150" w:type="dxa"/>
              <w:right w:w="0" w:type="dxa"/>
            </w:tcMar>
            <w:vAlign w:val="center"/>
          </w:tcPr>
          <w:p>
            <w:pPr>
              <w:rPr>
                <w:rFonts w:hint="default"/>
              </w:rPr>
            </w:pPr>
            <w:r>
              <w:rPr>
                <w:rFonts w:hint="default"/>
                <w:lang w:val="en-US" w:eastAsia="zh-CN"/>
              </w:rPr>
              <w:t>If required</w:t>
            </w:r>
          </w:p>
        </w:tc>
      </w:tr>
    </w:tbl>
    <w:p>
      <w:pPr>
        <w:rPr>
          <w:rFonts w:hint="default"/>
        </w:rPr>
      </w:pPr>
      <w:r>
        <w:rPr>
          <w:rFonts w:hint="default"/>
        </w:rPr>
        <w:t>18.3 Government Disputes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5563"/>
        <w:gridCol w:w="466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04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5563"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466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Timeline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49"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55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Government submits complaint</w:t>
            </w:r>
          </w:p>
        </w:tc>
        <w:tc>
          <w:tcPr>
            <w:tcW w:w="4666" w:type="dxa"/>
            <w:shd w:val="clear" w:color="auto" w:fill="auto"/>
            <w:tcMar>
              <w:top w:w="150" w:type="dxa"/>
              <w:left w:w="240" w:type="dxa"/>
              <w:bottom w:w="150" w:type="dxa"/>
              <w:right w:w="0" w:type="dxa"/>
            </w:tcMar>
            <w:vAlign w:val="center"/>
          </w:tcPr>
          <w:p>
            <w:pPr>
              <w:rPr>
                <w:rFonts w:hint="default"/>
              </w:rPr>
            </w:pPr>
            <w:r>
              <w:rPr>
                <w:rFonts w:hint="default"/>
                <w:lang w:val="en-US" w:eastAsia="zh-CN"/>
              </w:rPr>
              <w:t>Within 60 days of incident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49"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55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Foundation investigates</w:t>
            </w:r>
          </w:p>
        </w:tc>
        <w:tc>
          <w:tcPr>
            <w:tcW w:w="4666" w:type="dxa"/>
            <w:shd w:val="clear" w:color="auto" w:fill="auto"/>
            <w:tcMar>
              <w:top w:w="150" w:type="dxa"/>
              <w:left w:w="240" w:type="dxa"/>
              <w:bottom w:w="150" w:type="dxa"/>
              <w:right w:w="0" w:type="dxa"/>
            </w:tcMar>
            <w:vAlign w:val="center"/>
          </w:tcPr>
          <w:p>
            <w:pPr>
              <w:rPr>
                <w:rFonts w:hint="default"/>
              </w:rPr>
            </w:pPr>
            <w:r>
              <w:rPr>
                <w:rFonts w:hint="default"/>
                <w:lang w:val="en-US" w:eastAsia="zh-CN"/>
              </w:rPr>
              <w:t>15-30 business days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049"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5563"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Binding international arbitration</w:t>
            </w:r>
          </w:p>
        </w:tc>
        <w:tc>
          <w:tcPr>
            <w:tcW w:w="4666" w:type="dxa"/>
            <w:shd w:val="clear" w:color="auto" w:fill="auto"/>
            <w:tcMar>
              <w:top w:w="150" w:type="dxa"/>
              <w:left w:w="240" w:type="dxa"/>
              <w:bottom w:w="150" w:type="dxa"/>
              <w:right w:w="0" w:type="dxa"/>
            </w:tcMar>
            <w:vAlign w:val="center"/>
          </w:tcPr>
          <w:p>
            <w:pPr>
              <w:rPr>
                <w:rFonts w:hint="default"/>
              </w:rPr>
            </w:pPr>
            <w:r>
              <w:rPr>
                <w:rFonts w:hint="default"/>
                <w:lang w:val="en-US" w:eastAsia="zh-CN"/>
              </w:rPr>
              <w:t>If required</w:t>
            </w:r>
          </w:p>
        </w:tc>
      </w:tr>
    </w:tbl>
    <w:p>
      <w:pPr>
        <w:rPr>
          <w:rFonts w:hint="default"/>
        </w:rPr>
      </w:pPr>
      <w:r>
        <w:pict>
          <v:rect id="_x0000_i1048"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19. REPORTING SCHEDULES</w:t>
      </w:r>
    </w:p>
    <w:p>
      <w:pPr>
        <w:rPr>
          <w:rFonts w:hint="default"/>
        </w:rPr>
      </w:pPr>
      <w:r>
        <w:rPr>
          <w:rFonts w:hint="default"/>
        </w:rPr>
        <w:t>19.1 Public Dashboard</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608"/>
        <w:gridCol w:w="3025"/>
        <w:gridCol w:w="36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608"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Content</w:t>
            </w:r>
          </w:p>
        </w:tc>
        <w:tc>
          <w:tcPr>
            <w:tcW w:w="302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364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Reserve composition</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Reserve valuation</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volume</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collected</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remitted</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Partner performance</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Audit reports</w:t>
            </w:r>
          </w:p>
        </w:tc>
        <w:tc>
          <w:tcPr>
            <w:tcW w:w="3025"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3646"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bl>
    <w:p>
      <w:pPr>
        <w:rPr>
          <w:rFonts w:hint="default"/>
        </w:rPr>
      </w:pPr>
      <w:r>
        <w:rPr>
          <w:rFonts w:hint="default"/>
        </w:rPr>
        <w:t>19.2 Government Reports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5659"/>
        <w:gridCol w:w="2548"/>
        <w:gridCol w:w="30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5659"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Content</w:t>
            </w:r>
          </w:p>
        </w:tc>
        <w:tc>
          <w:tcPr>
            <w:tcW w:w="254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3071"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659"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collected within jurisdiction</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07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659"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remitted within jurisdiction</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07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659"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summary</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071" w:type="dxa"/>
            <w:shd w:val="clear" w:color="auto" w:fill="auto"/>
            <w:tcMar>
              <w:top w:w="150" w:type="dxa"/>
              <w:left w:w="240" w:type="dxa"/>
              <w:bottom w:w="150" w:type="dxa"/>
              <w:right w:w="0" w:type="dxa"/>
            </w:tcMar>
            <w:vAlign w:val="center"/>
          </w:tcPr>
          <w:p>
            <w:pPr>
              <w:rPr>
                <w:rFonts w:hint="default"/>
              </w:rPr>
            </w:pPr>
            <w:r>
              <w:rPr>
                <w:rFonts w:hint="default"/>
                <w:lang w:val="en-US" w:eastAsia="zh-CN"/>
              </w:rPr>
              <w:t>Transparency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5659" w:type="dxa"/>
            <w:shd w:val="clear" w:color="auto" w:fill="auto"/>
            <w:tcMar>
              <w:top w:w="150" w:type="dxa"/>
              <w:left w:w="0" w:type="dxa"/>
              <w:bottom w:w="150" w:type="dxa"/>
              <w:right w:w="240" w:type="dxa"/>
            </w:tcMar>
            <w:vAlign w:val="center"/>
          </w:tcPr>
          <w:p>
            <w:pPr>
              <w:rPr>
                <w:rFonts w:hint="default"/>
              </w:rPr>
            </w:pPr>
            <w:r>
              <w:rPr>
                <w:rFonts w:hint="default"/>
                <w:lang w:val="en-US" w:eastAsia="zh-CN"/>
              </w:rPr>
              <w:t>Audit trail</w:t>
            </w:r>
          </w:p>
        </w:tc>
        <w:tc>
          <w:tcPr>
            <w:tcW w:w="254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3071"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bl>
    <w:p>
      <w:pPr>
        <w:rPr>
          <w:rFonts w:hint="default"/>
        </w:rPr>
      </w:pPr>
      <w:r>
        <w:rPr>
          <w:rFonts w:hint="default"/>
        </w:rPr>
        <w:t>19.3 Partner Reports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476"/>
        <w:gridCol w:w="3168"/>
        <w:gridCol w:w="36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476"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Content</w:t>
            </w:r>
          </w:p>
        </w:tc>
        <w:tc>
          <w:tcPr>
            <w:tcW w:w="316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3635"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476" w:type="dxa"/>
            <w:shd w:val="clear" w:color="auto" w:fill="auto"/>
            <w:tcMar>
              <w:top w:w="150" w:type="dxa"/>
              <w:left w:w="0" w:type="dxa"/>
              <w:bottom w:w="150" w:type="dxa"/>
              <w:right w:w="240" w:type="dxa"/>
            </w:tcMar>
            <w:vAlign w:val="center"/>
          </w:tcPr>
          <w:p>
            <w:pPr>
              <w:rPr>
                <w:rFonts w:hint="default"/>
              </w:rPr>
            </w:pPr>
            <w:r>
              <w:rPr>
                <w:rFonts w:hint="default"/>
                <w:lang w:val="en-US" w:eastAsia="zh-CN"/>
              </w:rPr>
              <w:t>Conversion volume</w:t>
            </w:r>
          </w:p>
        </w:tc>
        <w:tc>
          <w:tcPr>
            <w:tcW w:w="31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35"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476" w:type="dxa"/>
            <w:shd w:val="clear" w:color="auto" w:fill="auto"/>
            <w:tcMar>
              <w:top w:w="150" w:type="dxa"/>
              <w:left w:w="0" w:type="dxa"/>
              <w:bottom w:w="150" w:type="dxa"/>
              <w:right w:w="240" w:type="dxa"/>
            </w:tcMar>
            <w:vAlign w:val="center"/>
          </w:tcPr>
          <w:p>
            <w:pPr>
              <w:rPr>
                <w:rFonts w:hint="default"/>
              </w:rPr>
            </w:pPr>
            <w:r>
              <w:rPr>
                <w:rFonts w:hint="default"/>
                <w:lang w:val="en-US" w:eastAsia="zh-CN"/>
              </w:rPr>
              <w:t>Fee earned</w:t>
            </w:r>
          </w:p>
        </w:tc>
        <w:tc>
          <w:tcPr>
            <w:tcW w:w="31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35"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Performance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476" w:type="dxa"/>
            <w:shd w:val="clear" w:color="auto" w:fill="auto"/>
            <w:tcMar>
              <w:top w:w="150" w:type="dxa"/>
              <w:left w:w="0" w:type="dxa"/>
              <w:bottom w:w="150" w:type="dxa"/>
              <w:right w:w="240" w:type="dxa"/>
            </w:tcMar>
            <w:vAlign w:val="center"/>
          </w:tcPr>
          <w:p>
            <w:pPr>
              <w:rPr>
                <w:rFonts w:hint="default"/>
              </w:rPr>
            </w:pPr>
            <w:r>
              <w:rPr>
                <w:rFonts w:hint="default"/>
                <w:lang w:val="en-US" w:eastAsia="zh-CN"/>
              </w:rPr>
              <w:t>User activity</w:t>
            </w:r>
          </w:p>
        </w:tc>
        <w:tc>
          <w:tcPr>
            <w:tcW w:w="3168"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Monthly</w:t>
            </w:r>
          </w:p>
        </w:tc>
        <w:tc>
          <w:tcPr>
            <w:tcW w:w="3635" w:type="dxa"/>
            <w:shd w:val="clear" w:color="auto" w:fill="auto"/>
            <w:tcMar>
              <w:top w:w="150" w:type="dxa"/>
              <w:left w:w="240" w:type="dxa"/>
              <w:bottom w:w="150" w:type="dxa"/>
              <w:right w:w="0" w:type="dxa"/>
            </w:tcMar>
            <w:vAlign w:val="center"/>
          </w:tcPr>
          <w:p>
            <w:pPr>
              <w:rPr>
                <w:rFonts w:hint="default"/>
              </w:rPr>
            </w:pPr>
            <w:r>
              <w:rPr>
                <w:rFonts w:hint="default"/>
                <w:lang w:val="en-US" w:eastAsia="zh-CN"/>
              </w:rPr>
              <w:t>Performance</w:t>
            </w:r>
          </w:p>
        </w:tc>
      </w:tr>
    </w:tbl>
    <w:p>
      <w:pPr>
        <w:rPr>
          <w:rFonts w:hint="default"/>
        </w:rPr>
      </w:pPr>
      <w:r>
        <w:rPr>
          <w:rFonts w:hint="default"/>
        </w:rPr>
        <w:t>19.4 IAG Audit Reports</w:t>
      </w:r>
    </w:p>
    <w:tbl>
      <w:tblPr>
        <w:tblStyle w:val="11"/>
        <w:tblW w:w="1127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964"/>
        <w:gridCol w:w="2602"/>
        <w:gridCol w:w="47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3964"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Content</w:t>
            </w:r>
          </w:p>
        </w:tc>
        <w:tc>
          <w:tcPr>
            <w:tcW w:w="260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Frequency</w:t>
            </w:r>
          </w:p>
        </w:tc>
        <w:tc>
          <w:tcPr>
            <w:tcW w:w="4712"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Purpose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64" w:type="dxa"/>
            <w:shd w:val="clear" w:color="auto" w:fill="auto"/>
            <w:tcMar>
              <w:top w:w="150" w:type="dxa"/>
              <w:left w:w="0" w:type="dxa"/>
              <w:bottom w:w="150" w:type="dxa"/>
              <w:right w:w="240" w:type="dxa"/>
            </w:tcMar>
            <w:vAlign w:val="center"/>
          </w:tcPr>
          <w:p>
            <w:pPr>
              <w:rPr>
                <w:rFonts w:hint="default"/>
              </w:rPr>
            </w:pPr>
            <w:r>
              <w:rPr>
                <w:rFonts w:hint="default"/>
                <w:lang w:val="en-US" w:eastAsia="zh-CN"/>
              </w:rPr>
              <w:t>Reserve audit</w:t>
            </w:r>
          </w:p>
        </w:tc>
        <w:tc>
          <w:tcPr>
            <w:tcW w:w="260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4712"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64" w:type="dxa"/>
            <w:shd w:val="clear" w:color="auto" w:fill="auto"/>
            <w:tcMar>
              <w:top w:w="150" w:type="dxa"/>
              <w:left w:w="0" w:type="dxa"/>
              <w:bottom w:w="150" w:type="dxa"/>
              <w:right w:w="240" w:type="dxa"/>
            </w:tcMar>
            <w:vAlign w:val="center"/>
          </w:tcPr>
          <w:p>
            <w:pPr>
              <w:rPr>
                <w:rFonts w:hint="default"/>
              </w:rPr>
            </w:pPr>
            <w:r>
              <w:rPr>
                <w:rFonts w:hint="default"/>
                <w:lang w:val="en-US" w:eastAsia="zh-CN"/>
              </w:rPr>
              <w:t>Transaction audit</w:t>
            </w:r>
          </w:p>
        </w:tc>
        <w:tc>
          <w:tcPr>
            <w:tcW w:w="260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4712"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64" w:type="dxa"/>
            <w:shd w:val="clear" w:color="auto" w:fill="auto"/>
            <w:tcMar>
              <w:top w:w="150" w:type="dxa"/>
              <w:left w:w="0" w:type="dxa"/>
              <w:bottom w:w="150" w:type="dxa"/>
              <w:right w:w="240" w:type="dxa"/>
            </w:tcMar>
            <w:vAlign w:val="center"/>
          </w:tcPr>
          <w:p>
            <w:pPr>
              <w:rPr>
                <w:rFonts w:hint="default"/>
              </w:rPr>
            </w:pPr>
            <w:r>
              <w:rPr>
                <w:rFonts w:hint="default"/>
                <w:lang w:val="en-US" w:eastAsia="zh-CN"/>
              </w:rPr>
              <w:t>Tax remittance audit</w:t>
            </w:r>
          </w:p>
        </w:tc>
        <w:tc>
          <w:tcPr>
            <w:tcW w:w="260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Quarterly</w:t>
            </w:r>
          </w:p>
        </w:tc>
        <w:tc>
          <w:tcPr>
            <w:tcW w:w="4712"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Compliance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3964" w:type="dxa"/>
            <w:shd w:val="clear" w:color="auto" w:fill="auto"/>
            <w:tcMar>
              <w:top w:w="150" w:type="dxa"/>
              <w:left w:w="0" w:type="dxa"/>
              <w:bottom w:w="150" w:type="dxa"/>
              <w:right w:w="240" w:type="dxa"/>
            </w:tcMar>
            <w:vAlign w:val="center"/>
          </w:tcPr>
          <w:p>
            <w:pPr>
              <w:rPr>
                <w:rFonts w:hint="default"/>
              </w:rPr>
            </w:pPr>
            <w:r>
              <w:rPr>
                <w:rFonts w:hint="default"/>
                <w:lang w:val="en-US" w:eastAsia="zh-CN"/>
              </w:rPr>
              <w:t>Annual audit</w:t>
            </w:r>
          </w:p>
        </w:tc>
        <w:tc>
          <w:tcPr>
            <w:tcW w:w="2602"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Annually</w:t>
            </w:r>
          </w:p>
        </w:tc>
        <w:tc>
          <w:tcPr>
            <w:tcW w:w="4712" w:type="dxa"/>
            <w:shd w:val="clear" w:color="auto" w:fill="auto"/>
            <w:tcMar>
              <w:top w:w="150" w:type="dxa"/>
              <w:left w:w="240" w:type="dxa"/>
              <w:bottom w:w="150" w:type="dxa"/>
              <w:right w:w="0" w:type="dxa"/>
            </w:tcMar>
            <w:vAlign w:val="center"/>
          </w:tcPr>
          <w:p>
            <w:pPr>
              <w:rPr>
                <w:rFonts w:hint="default"/>
              </w:rPr>
            </w:pPr>
            <w:r>
              <w:rPr>
                <w:rFonts w:hint="default"/>
                <w:lang w:val="en-US" w:eastAsia="zh-CN"/>
              </w:rPr>
              <w:t>Comprehensive review</w:t>
            </w:r>
          </w:p>
        </w:tc>
      </w:tr>
    </w:tbl>
    <w:p>
      <w:pPr>
        <w:rPr>
          <w:rFonts w:hint="default"/>
        </w:rPr>
      </w:pPr>
      <w:r>
        <w:pict>
          <v:rect id="_x0000_i1049"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20. AMENDMENT PROCEDURES</w:t>
      </w:r>
    </w:p>
    <w:p>
      <w:pPr>
        <w:rPr>
          <w:rFonts w:hint="default"/>
        </w:rPr>
      </w:pPr>
      <w:r>
        <w:rPr>
          <w:rFonts w:hint="default"/>
        </w:rPr>
        <w:t>20.1 Amendment Process</w:t>
      </w:r>
    </w:p>
    <w:tbl>
      <w:tblPr>
        <w:tblStyle w:val="11"/>
        <w:tblW w:w="112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15"/>
        <w:gridCol w:w="5716"/>
        <w:gridCol w:w="444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115" w:type="dxa"/>
            <w:tcBorders>
              <w:top w:val="nil"/>
            </w:tcBorders>
            <w:shd w:val="clear" w:color="auto" w:fill="auto"/>
            <w:tcMar>
              <w:top w:w="150" w:type="dxa"/>
              <w:left w:w="0" w:type="dxa"/>
              <w:bottom w:w="150" w:type="dxa"/>
              <w:right w:w="240" w:type="dxa"/>
            </w:tcMar>
            <w:vAlign w:val="center"/>
          </w:tcPr>
          <w:p>
            <w:pPr>
              <w:rPr>
                <w:rFonts w:hint="default"/>
              </w:rPr>
            </w:pPr>
            <w:r>
              <w:rPr>
                <w:rFonts w:hint="default"/>
                <w:lang w:val="en-US" w:eastAsia="zh-CN"/>
              </w:rPr>
              <w:t>Step</w:t>
            </w:r>
          </w:p>
        </w:tc>
        <w:tc>
          <w:tcPr>
            <w:tcW w:w="5716"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Action</w:t>
            </w:r>
          </w:p>
        </w:tc>
        <w:tc>
          <w:tcPr>
            <w:tcW w:w="4448" w:type="dxa"/>
            <w:tcBorders>
              <w:top w:val="nil"/>
            </w:tcBorders>
            <w:shd w:val="clear" w:color="auto" w:fill="auto"/>
            <w:tcMar>
              <w:top w:w="150" w:type="dxa"/>
              <w:left w:w="240" w:type="dxa"/>
              <w:bottom w:w="150" w:type="dxa"/>
              <w:right w:w="240" w:type="dxa"/>
            </w:tcMar>
            <w:vAlign w:val="center"/>
          </w:tcPr>
          <w:p>
            <w:pPr>
              <w:rPr>
                <w:rFonts w:hint="default"/>
              </w:rPr>
            </w:pPr>
            <w:r>
              <w:rPr>
                <w:rFonts w:hint="default"/>
                <w:lang w:val="en-US" w:eastAsia="zh-CN"/>
              </w:rPr>
              <w:t>Timeline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1</w:t>
            </w:r>
          </w:p>
        </w:tc>
        <w:tc>
          <w:tcPr>
            <w:tcW w:w="571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Proposed amendment</w:t>
            </w:r>
          </w:p>
        </w:tc>
        <w:tc>
          <w:tcPr>
            <w:tcW w:w="4448" w:type="dxa"/>
            <w:shd w:val="clear" w:color="auto" w:fill="auto"/>
            <w:tcMar>
              <w:top w:w="150" w:type="dxa"/>
              <w:left w:w="240" w:type="dxa"/>
              <w:bottom w:w="150" w:type="dxa"/>
              <w:right w:w="0" w:type="dxa"/>
            </w:tcMar>
            <w:vAlign w:val="center"/>
          </w:tcPr>
          <w:p>
            <w:pPr>
              <w:rPr>
                <w:rFonts w:hint="default"/>
              </w:rPr>
            </w:pPr>
            <w:r>
              <w:rPr>
                <w:rFonts w:hint="default"/>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2</w:t>
            </w:r>
          </w:p>
        </w:tc>
        <w:tc>
          <w:tcPr>
            <w:tcW w:w="571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Published on Public Dashboard</w:t>
            </w:r>
          </w:p>
        </w:tc>
        <w:tc>
          <w:tcPr>
            <w:tcW w:w="4448" w:type="dxa"/>
            <w:shd w:val="clear" w:color="auto" w:fill="auto"/>
            <w:tcMar>
              <w:top w:w="150" w:type="dxa"/>
              <w:left w:w="240" w:type="dxa"/>
              <w:bottom w:w="150" w:type="dxa"/>
              <w:right w:w="0" w:type="dxa"/>
            </w:tcMar>
            <w:vAlign w:val="center"/>
          </w:tcPr>
          <w:p>
            <w:pPr>
              <w:rPr>
                <w:rFonts w:hint="default"/>
              </w:rPr>
            </w:pPr>
            <w:r>
              <w:rPr>
                <w:rFonts w:hint="default"/>
                <w:lang w:val="en-US" w:eastAsia="zh-CN"/>
              </w:rPr>
              <w:t>30 days minimum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3</w:t>
            </w:r>
          </w:p>
        </w:tc>
        <w:tc>
          <w:tcPr>
            <w:tcW w:w="571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Stakeholder consultation</w:t>
            </w:r>
          </w:p>
        </w:tc>
        <w:tc>
          <w:tcPr>
            <w:tcW w:w="4448" w:type="dxa"/>
            <w:shd w:val="clear" w:color="auto" w:fill="auto"/>
            <w:tcMar>
              <w:top w:w="150" w:type="dxa"/>
              <w:left w:w="240" w:type="dxa"/>
              <w:bottom w:w="150" w:type="dxa"/>
              <w:right w:w="0" w:type="dxa"/>
            </w:tcMar>
            <w:vAlign w:val="center"/>
          </w:tcPr>
          <w:p>
            <w:pPr>
              <w:rPr>
                <w:rFonts w:hint="default"/>
              </w:rPr>
            </w:pPr>
            <w:r>
              <w:rPr>
                <w:rFonts w:hint="default"/>
                <w:lang w:val="en-US" w:eastAsia="zh-CN"/>
              </w:rPr>
              <w:t>During notice 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4</w:t>
            </w:r>
          </w:p>
        </w:tc>
        <w:tc>
          <w:tcPr>
            <w:tcW w:w="571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Combined Trusts Board vote</w:t>
            </w:r>
          </w:p>
        </w:tc>
        <w:tc>
          <w:tcPr>
            <w:tcW w:w="4448" w:type="dxa"/>
            <w:shd w:val="clear" w:color="auto" w:fill="auto"/>
            <w:tcMar>
              <w:top w:w="150" w:type="dxa"/>
              <w:left w:w="240" w:type="dxa"/>
              <w:bottom w:w="150" w:type="dxa"/>
              <w:right w:w="0" w:type="dxa"/>
            </w:tcMar>
            <w:vAlign w:val="center"/>
          </w:tcPr>
          <w:p>
            <w:pPr>
              <w:rPr>
                <w:rFonts w:hint="default"/>
              </w:rPr>
            </w:pPr>
            <w:r>
              <w:rPr>
                <w:rFonts w:hint="default"/>
                <w:lang w:val="en-US" w:eastAsia="zh-CN"/>
              </w:rPr>
              <w:t>After notice period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115" w:type="dxa"/>
            <w:shd w:val="clear" w:color="auto" w:fill="auto"/>
            <w:tcMar>
              <w:top w:w="150" w:type="dxa"/>
              <w:left w:w="0" w:type="dxa"/>
              <w:bottom w:w="150" w:type="dxa"/>
              <w:right w:w="240" w:type="dxa"/>
            </w:tcMar>
            <w:vAlign w:val="center"/>
          </w:tcPr>
          <w:p>
            <w:pPr>
              <w:rPr>
                <w:rFonts w:hint="default"/>
              </w:rPr>
            </w:pPr>
            <w:r>
              <w:rPr>
                <w:rFonts w:hint="default"/>
                <w:lang w:val="en-US" w:eastAsia="zh-CN"/>
              </w:rPr>
              <w:t>5</w:t>
            </w:r>
          </w:p>
        </w:tc>
        <w:tc>
          <w:tcPr>
            <w:tcW w:w="5716" w:type="dxa"/>
            <w:shd w:val="clear" w:color="auto" w:fill="auto"/>
            <w:tcMar>
              <w:top w:w="150" w:type="dxa"/>
              <w:left w:w="240" w:type="dxa"/>
              <w:bottom w:w="150" w:type="dxa"/>
              <w:right w:w="240" w:type="dxa"/>
            </w:tcMar>
            <w:vAlign w:val="center"/>
          </w:tcPr>
          <w:p>
            <w:pPr>
              <w:rPr>
                <w:rFonts w:hint="default"/>
              </w:rPr>
            </w:pPr>
            <w:r>
              <w:rPr>
                <w:rFonts w:hint="default"/>
                <w:lang w:val="en-US" w:eastAsia="zh-CN"/>
              </w:rPr>
              <w:t>Implementation</w:t>
            </w:r>
          </w:p>
        </w:tc>
        <w:tc>
          <w:tcPr>
            <w:tcW w:w="4448" w:type="dxa"/>
            <w:shd w:val="clear" w:color="auto" w:fill="auto"/>
            <w:tcMar>
              <w:top w:w="150" w:type="dxa"/>
              <w:left w:w="240" w:type="dxa"/>
              <w:bottom w:w="150" w:type="dxa"/>
              <w:right w:w="0" w:type="dxa"/>
            </w:tcMar>
            <w:vAlign w:val="center"/>
          </w:tcPr>
          <w:p>
            <w:pPr>
              <w:rPr>
                <w:rFonts w:hint="default"/>
              </w:rPr>
            </w:pPr>
            <w:r>
              <w:rPr>
                <w:rFonts w:hint="default"/>
                <w:lang w:val="en-US" w:eastAsia="zh-CN"/>
              </w:rPr>
              <w:t>Immediately after vote</w:t>
            </w:r>
          </w:p>
        </w:tc>
      </w:tr>
    </w:tbl>
    <w:p>
      <w:pPr>
        <w:rPr>
          <w:rFonts w:hint="default"/>
        </w:rPr>
      </w:pPr>
      <w:r>
        <w:rPr>
          <w:rFonts w:hint="default"/>
        </w:rPr>
        <w:t>20.2 Conflict with Constitution</w:t>
      </w:r>
    </w:p>
    <w:p>
      <w:pPr>
        <w:rPr>
          <w:rFonts w:hint="default"/>
        </w:rPr>
      </w:pPr>
      <w:r>
        <w:rPr>
          <w:rFonts w:hint="default"/>
        </w:rPr>
        <w:t>Any amendment that conflicts with Article LIX or any other provision of the Constitution shall be null and void.</w:t>
      </w:r>
    </w:p>
    <w:p>
      <w:pPr>
        <w:rPr>
          <w:rFonts w:hint="default"/>
        </w:rPr>
      </w:pPr>
      <w:r>
        <w:rPr>
          <w:rFonts w:hint="default"/>
        </w:rPr>
        <w:pict>
          <v:rect id="_x0000_i1050" o:spt="1" style="height:1.5pt;width:432pt;" fillcolor="#A0A0A0" filled="t" stroked="f" coordsize="21600,21600" o:hr="t" o:hrstd="t" o:hralign="center">
            <v:path/>
            <v:fill on="t" focussize="0,0"/>
            <v:stroke on="f"/>
            <v:imagedata o:title=""/>
            <o:lock v:ext="edit"/>
            <w10:wrap type="none"/>
            <w10:anchorlock/>
          </v:rect>
        </w:pict>
      </w:r>
    </w:p>
    <w:p>
      <w:pPr>
        <w:rPr>
          <w:rFonts w:hint="default"/>
        </w:rPr>
      </w:pPr>
      <w:r>
        <w:rPr>
          <w:rFonts w:hint="default"/>
        </w:rPr>
        <w:t>21. ONE-SENTENCE SUMMARY</w:t>
      </w:r>
    </w:p>
    <w:p>
      <w:r>
        <w:rPr>
          <w:rFonts w:hint="default"/>
        </w:rPr>
        <w:t>"Jowih Credits are a non-speculative, asset-backed, government-aligned, partner-friendly digital bridge — never entering the domestic economy, with Auto-Conversion as default, Holding as optional (6 months maximum), partners handling all conversions, the Foundation earning from the Treasury Engine (float) not transaction fees, and built on neutrality, transparency, and regulatory compliance."</w:t>
      </w:r>
    </w:p>
    <w:p/>
    <w:p>
      <w:pPr>
        <w:rPr>
          <w:rFonts w:hint="default"/>
        </w:rPr>
      </w:pPr>
    </w:p>
    <w:sectPr>
      <w:pgSz w:w="16783" w:h="23757"/>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C059"/>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C059">
    <w:panose1 w:val="00000000000000000000"/>
    <w:charset w:val="00"/>
    <w:family w:val="auto"/>
    <w:pitch w:val="default"/>
    <w:sig w:usb0="00000000" w:usb1="00000000" w:usb2="00000000" w:usb3="00000000" w:csb0="00000000" w:csb1="00000000"/>
  </w:font>
  <w:font w:name="SimSun">
    <w:altName w:val="Droid Sans Fallback"/>
    <w:panose1 w:val="00000000000000000000"/>
    <w:charset w:val="86"/>
    <w:family w:val="auto"/>
    <w:pitch w:val="default"/>
    <w:sig w:usb0="00000000" w:usb1="00000000" w:usb2="00000000" w:usb3="00000000" w:csb0="00000000" w:csb1="00000000"/>
  </w:font>
  <w:font w:name="SimSun">
    <w:altName w:val="Droid Sans Fallback"/>
    <w:panose1 w:val="02010600030101010101"/>
    <w:charset w:val="86"/>
    <w:family w:val="auto"/>
    <w:pitch w:val="default"/>
    <w:sig w:usb0="00000000" w:usb1="00000000" w:usb2="00000010" w:usb3="00000000" w:csb0="00040001" w:csb1="00000000"/>
  </w:font>
  <w:font w:name="FreeMono">
    <w:panose1 w:val="000F0409020205020404"/>
    <w:charset w:val="00"/>
    <w:family w:val="auto"/>
    <w:pitch w:val="default"/>
    <w:sig w:usb0="E400AEFF" w:usb1="C240FFFF" w:usb2="08249029" w:usb3="00100008" w:csb0="600001FF" w:csb1="FFFF0000"/>
  </w:font>
  <w:font w:name="Bitstream Charter">
    <w:altName w:val="URW Bookman"/>
    <w:panose1 w:val="00000000000000000000"/>
    <w:charset w:val="00"/>
    <w:family w:val="auto"/>
    <w:pitch w:val="default"/>
    <w:sig w:usb0="00000000" w:usb1="00000000" w:usb2="00000000" w:usb3="00000000" w:csb0="00000000" w:csb1="00000000"/>
  </w:font>
  <w:font w:name="URW Bookman">
    <w:panose1 w:val="00000400000000000000"/>
    <w:charset w:val="00"/>
    <w:family w:val="auto"/>
    <w:pitch w:val="default"/>
    <w:sig w:usb0="00000287" w:usb1="00000800" w:usb2="00000000" w:usb3="00000000" w:csb0="6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255F"/>
    <w:rsid w:val="1DFC190D"/>
    <w:rsid w:val="6F3D53E3"/>
    <w:rsid w:val="7CFF0AB5"/>
    <w:rsid w:val="7DFF22C1"/>
    <w:rsid w:val="7FBD255F"/>
    <w:rsid w:val="E79F29C9"/>
    <w:rsid w:val="EF7F00CA"/>
    <w:rsid w:val="EFBD1A92"/>
    <w:rsid w:val="FE935A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8">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HTML Code"/>
    <w:basedOn w:val="8"/>
    <w:uiPriority w:val="0"/>
    <w:rPr>
      <w:rFonts w:ascii="Courier New" w:hAnsi="Courier New" w:cs="Courier New"/>
      <w:sz w:val="20"/>
      <w:szCs w:val="20"/>
    </w:rPr>
  </w:style>
  <w:style w:type="character" w:styleId="10">
    <w:name w:val="Strong"/>
    <w:basedOn w:val="8"/>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377</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2026-08-05T14:46:00Z</dcterms:created>
  <dc:creator>jowih-corporation</dc:creator>
  <cp:lastModifiedBy>jowih-corporation</cp:lastModifiedBy>
  <dcterms:modified xsi:type="dcterms:W3CDTF">2026-09-15T19:49:33Z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