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lang w:val="en-US" w:eastAsia="zh-CN"/>
        </w:rPr>
        <w:t>The Jowih Ecosystem Investment Architecture blueprint has been updated and fully reconciled with the pass-through asset vaulting architecture.</w:t>
      </w:r>
    </w:p>
    <w:p>
      <w:r>
        <w:rPr>
          <w:lang w:val="en-US" w:eastAsia="zh-CN"/>
        </w:rPr>
        <w:t>All conversational formatting, placeholder text, and icons have been removed, delivering a clean, institutional-grade documentation asset ready for legal review, regulatory filing with the Mauritius Financial Services Commission (FSC), and distribution to institutional wealth allocators.</w:t>
      </w:r>
    </w:p>
    <w:p>
      <w:r>
        <w:pict>
          <v:rect id="_x0000_i1038" o:spt="1" style="height:1.5pt;width:432pt;" fillcolor="#A0A0A0" filled="t" stroked="f" coordsize="21600,21600" o:hr="t" o:hrstd="t" o:hralign="center">
            <v:path/>
            <v:fill on="t" focussize="0,0"/>
            <v:stroke on="f"/>
            <v:imagedata o:title=""/>
            <o:lock v:ext="edit"/>
            <w10:wrap type="none"/>
            <w10:anchorlock/>
          </v:rect>
        </w:pict>
      </w:r>
    </w:p>
    <w:p>
      <w:r>
        <w:t>JOWIH ECOSYSTEM INVESTMENT ARCHITECTURE</w:t>
      </w:r>
    </w:p>
    <w:p>
      <w:r>
        <w:t>A Blueprint for Regulated Economic Participation</w:t>
      </w:r>
    </w:p>
    <w:p>
      <w:r>
        <w:t>I. EXECUTIVE SUMMARY AND PURPOSE</w:t>
      </w:r>
    </w:p>
    <w:p>
      <w:r>
        <w:rPr>
          <w:lang w:val="en-US" w:eastAsia="zh-CN"/>
        </w:rPr>
        <w:t>This document establishes the definitive institutional framework governing capital aggregation and economic participation within the Jowih commercial ecosystem. The primary purpose of this architecture is to enable citizens of African nations and the global diaspora to achieve direct economic exposure to eligible Jowih commercial enterprises.</w:t>
      </w:r>
    </w:p>
    <w:p>
      <w:r>
        <w:rPr>
          <w:lang w:val="en-US" w:eastAsia="zh-CN"/>
        </w:rPr>
        <w:t>This framework enforces a permanent structural bifurcation between economic equity exposure and corporate governance authority. Under this design, external participants acquire contractually and legally isolated economic rights without obtaining voting shares, equity dilution vectors, board representation, or governance control over the Jowih Foundation, its foundational mission, or its constitutional architecture.</w:t>
      </w:r>
    </w:p>
    <w:p>
      <w:r>
        <w:rPr>
          <w:lang w:val="en-US" w:eastAsia="zh-CN"/>
        </w:rPr>
        <w:t>The framework operates on three immutable tenets:</w:t>
      </w:r>
    </w:p>
    <w:p>
      <w:r>
        <w:t>The absolute segregation of systemic participation from corporate ownership.</w:t>
      </w:r>
    </w:p>
    <w:p>
      <w:r>
        <w:t>The absolute decoupling of downstream economic rights from upstream control rights.</w:t>
      </w:r>
    </w:p>
    <w:p>
      <w:r>
        <w:t>The permanent, non-dilutable insulation of the core public-good mission layer.</w:t>
      </w:r>
    </w:p>
    <w:p>
      <w:r>
        <w:pict>
          <v:rect id="_x0000_i1039" o:spt="1" style="height:1.5pt;width:432pt;" fillcolor="#A0A0A0" filled="t" stroked="f" coordsize="21600,21600" o:hr="t" o:hrstd="t" o:hralign="center">
            <v:path/>
            <v:fill on="t" focussize="0,0"/>
            <v:stroke on="f"/>
            <v:imagedata o:title=""/>
            <o:lock v:ext="edit"/>
            <w10:wrap type="none"/>
            <w10:anchorlock/>
          </v:rect>
        </w:pict>
      </w:r>
    </w:p>
    <w:p>
      <w:r>
        <w:t>II. THE ARCHITECTURAL CORE DISTINCTION</w:t>
      </w:r>
    </w:p>
    <w:p>
      <w:r>
        <w:rPr>
          <w:lang w:val="en-US" w:eastAsia="zh-CN"/>
        </w:rPr>
        <w:t>The Jowih architecture classifies all ecosystem interaction into three mutually exclusive operational vectors. System interaction under any vector is strictly bound by the governance isolation constraints detailed below:</w:t>
      </w:r>
    </w:p>
    <w:tbl>
      <w:tblPr>
        <w:tblW w:w="850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610"/>
        <w:gridCol w:w="2336"/>
        <w:gridCol w:w="2257"/>
        <w:gridCol w:w="230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610"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Framework Metric</w:t>
            </w:r>
          </w:p>
        </w:tc>
        <w:tc>
          <w:tcPr>
            <w:tcW w:w="2336"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USE</w:t>
            </w:r>
          </w:p>
        </w:tc>
        <w:tc>
          <w:tcPr>
            <w:tcW w:w="2257"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INTEGRATE</w:t>
            </w:r>
          </w:p>
        </w:tc>
        <w:tc>
          <w:tcPr>
            <w:tcW w:w="2301"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INVEST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610"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Demographic Vector</w:t>
            </w:r>
          </w:p>
        </w:tc>
        <w:tc>
          <w:tcPr>
            <w:tcW w:w="2336"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General citizens, regional consumers, and systemic end-users.</w:t>
            </w:r>
          </w:p>
        </w:tc>
        <w:tc>
          <w:tcPr>
            <w:tcW w:w="2257"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Independent developers, commercial enterprises, and sovereign state entities.</w:t>
            </w:r>
          </w:p>
        </w:tc>
        <w:tc>
          <w:tcPr>
            <w:tcW w:w="2301"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Pan-African citizens, diaspora networks, and regulated institutional allocators.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610"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Operational Mandate</w:t>
            </w:r>
          </w:p>
        </w:tc>
        <w:tc>
          <w:tcPr>
            <w:tcW w:w="2336"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Consumption of first-party consumer utilities running on Jowih COS.</w:t>
            </w:r>
          </w:p>
        </w:tc>
        <w:tc>
          <w:tcPr>
            <w:tcW w:w="2257"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Software integration via open COS APIs and physical deployment of GAG infrastructure.</w:t>
            </w:r>
          </w:p>
        </w:tc>
        <w:tc>
          <w:tcPr>
            <w:tcW w:w="2301"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Capital deployment into defined portfolios of commercialized Jowih assets.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610"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Ecosystem Returns</w:t>
            </w:r>
          </w:p>
        </w:tc>
        <w:tc>
          <w:tcPr>
            <w:tcW w:w="2336"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Platform utility, low-latency transaction execution, and digital access.</w:t>
            </w:r>
          </w:p>
        </w:tc>
        <w:tc>
          <w:tcPr>
            <w:tcW w:w="2257"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Direct commercial revenue, expanded market penetration, and reusable API capabilities.</w:t>
            </w:r>
          </w:p>
        </w:tc>
        <w:tc>
          <w:tcPr>
            <w:tcW w:w="2301"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Linear economic exposure to the Net Asset Value (NAV) of a defined portfolio.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610"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Governance Access</w:t>
            </w:r>
          </w:p>
        </w:tc>
        <w:tc>
          <w:tcPr>
            <w:tcW w:w="2336"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Zero Control.</w:t>
            </w:r>
            <w:r>
              <w:rPr>
                <w:lang w:val="en-US" w:eastAsia="zh-CN"/>
              </w:rPr>
              <w:t xml:space="preserve"> No ownership or voting rights in any Jowih entity.</w:t>
            </w:r>
          </w:p>
        </w:tc>
        <w:tc>
          <w:tcPr>
            <w:tcW w:w="2257"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Zero Control.</w:t>
            </w:r>
            <w:r>
              <w:rPr>
                <w:lang w:val="en-US" w:eastAsia="zh-CN"/>
              </w:rPr>
              <w:t xml:space="preserve"> Governed strictly by bilateral commercial service agreements.</w:t>
            </w:r>
          </w:p>
        </w:tc>
        <w:tc>
          <w:tcPr>
            <w:tcW w:w="2301"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Zero Control.</w:t>
            </w:r>
            <w:r>
              <w:rPr>
                <w:lang w:val="en-US" w:eastAsia="zh-CN"/>
              </w:rPr>
              <w:t xml:space="preserve"> Restricted to fund-level economic distribution rights.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610"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Primary Instrument</w:t>
            </w:r>
          </w:p>
        </w:tc>
        <w:tc>
          <w:tcPr>
            <w:tcW w:w="2336"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Free-tier access and usage-based utility structures.</w:t>
            </w:r>
          </w:p>
        </w:tc>
        <w:tc>
          <w:tcPr>
            <w:tcW w:w="2257"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Service Level Agreements (SLAs), developer credentials, and APIs.</w:t>
            </w:r>
          </w:p>
        </w:tc>
        <w:tc>
          <w:tcPr>
            <w:tcW w:w="2301"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Regulated investment units issued by a protected Variable Capital Company.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610"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Mission Layer Status</w:t>
            </w:r>
          </w:p>
        </w:tc>
        <w:tc>
          <w:tcPr>
            <w:tcW w:w="2336"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Permanently Insulated.</w:t>
            </w:r>
            <w:r>
              <w:rPr>
                <w:lang w:val="en-US" w:eastAsia="zh-CN"/>
              </w:rPr>
              <w:t xml:space="preserve"> Unaffected by consumer-driven utilization.</w:t>
            </w:r>
          </w:p>
        </w:tc>
        <w:tc>
          <w:tcPr>
            <w:tcW w:w="2257"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Permanently Insulated.</w:t>
            </w:r>
            <w:r>
              <w:rPr>
                <w:lang w:val="en-US" w:eastAsia="zh-CN"/>
              </w:rPr>
              <w:t xml:space="preserve"> Safe from commercial vendor lock-in vectors.</w:t>
            </w:r>
          </w:p>
        </w:tc>
        <w:tc>
          <w:tcPr>
            <w:tcW w:w="2301"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Permanently Insulated.</w:t>
            </w:r>
            <w:r>
              <w:rPr>
                <w:lang w:val="en-US" w:eastAsia="zh-CN"/>
              </w:rPr>
              <w:t xml:space="preserve"> Protected against shareholder governance drift.</w:t>
            </w:r>
          </w:p>
        </w:tc>
      </w:tr>
    </w:tbl>
    <w:p>
      <w:r>
        <w:pict>
          <v:rect id="_x0000_i1040" o:spt="1" style="height:1.5pt;width:432pt;" fillcolor="#A0A0A0" filled="t" stroked="f" coordsize="21600,21600" o:hr="t" o:hrstd="t" o:hralign="center">
            <v:path/>
            <v:fill on="t" focussize="0,0"/>
            <v:stroke on="f"/>
            <v:imagedata o:title=""/>
            <o:lock v:ext="edit"/>
            <w10:wrap type="none"/>
            <w10:anchorlock/>
          </v:rect>
        </w:pict>
      </w:r>
    </w:p>
    <w:p>
      <w:r>
        <w:t>III. THE FOUR-TIER STRUCTURAL FLOW</w:t>
      </w:r>
    </w:p>
    <w:p>
      <w:r>
        <w:rPr>
          <w:lang w:val="en-US" w:eastAsia="zh-CN"/>
        </w:rPr>
        <w:t>Corporate governance and operational control flow strictly downward from the non-profit core, while commercial profitability is pumped upward to sustain the foundation and reward fund participants.</w:t>
      </w:r>
    </w:p>
    <w:p>
      <w:r>
        <w:t>┌─────────────────────────────────────────────────────────────────────────────┐</w:t>
      </w:r>
    </w:p>
    <w:p>
      <w:r>
        <w:t>│ 1. THE MISSION LAYER (Non-Profit Strategic Control Plane)                   │</w:t>
      </w:r>
    </w:p>
    <w:p>
      <w:r>
        <w:t>│                                                                             │</w:t>
      </w:r>
    </w:p>
    <w:p>
      <w:r>
        <w:t>│   JOWIH FOUNDATION                                                         │</w:t>
      </w:r>
    </w:p>
    <w:p>
      <w:r>
        <w:t>│   • Incorporated as a Company Limited by Guarantee                         │</w:t>
      </w:r>
    </w:p>
    <w:p>
      <w:r>
        <w:t>│   • Permanent Statutory Asset Lock and Irrevocable Non-Profit Mandate       │</w:t>
      </w:r>
    </w:p>
    <w:p>
      <w:r>
        <w:t>│   • Retains the Constitutional Golden Vote over Systemic Architecture       │</w:t>
      </w:r>
    </w:p>
    <w:p>
      <w:r>
        <w:t>│                                                                             │</w:t>
      </w:r>
    </w:p>
    <w:p>
      <w:r>
        <w:t xml:space="preserve">│   </w:t>
      </w:r>
    </w:p>
    <w:p>
      <w:r>
        <w:pict>
          <v:rect id="_x0000_i1041" o:spt="1" style="height:1.5pt;width:432pt;" fillcolor="#A0A0A0" filled="t" stroked="f" coordsize="21600,21600" o:hr="t" o:hrstd="t" o:hralign="center">
            <v:path/>
            <v:fill on="t" focussize="0,0"/>
            <v:stroke on="f"/>
            <v:imagedata o:title=""/>
            <o:lock v:ext="edit"/>
            <w10:wrap type="none"/>
            <w10:anchorlock/>
          </v:rect>
        </w:pict>
      </w:r>
    </w:p>
    <w:p>
      <w:r>
        <w:t>IV. THE LEGAL VEHICLE: MAURITIUS VARIABLE CAPITAL COMPANY (VCC)</w:t>
      </w:r>
    </w:p>
    <w:p>
      <w:r>
        <w:rPr>
          <w:lang w:val="en-US" w:eastAsia="zh-CN"/>
        </w:rPr>
        <w:t>To institutionalize this structural isolation, Jowih utilizes the Variable Capital Company (VCC) framework of Mauritius. The VCC operates as a single legal entity empowered to establish contractually and statutorily segregated sub-funds, effectively isolating assets and liabilities across different commercial sectors.</w:t>
      </w:r>
    </w:p>
    <w:tbl>
      <w:tblPr>
        <w:tblW w:w="850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005"/>
        <w:gridCol w:w="650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005"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VCC Statutory Feature</w:t>
            </w:r>
          </w:p>
        </w:tc>
        <w:tc>
          <w:tcPr>
            <w:tcW w:w="6500"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Technical Function within the Jowih Ecosystem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005"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Segregated Sub-Funds</w:t>
            </w:r>
          </w:p>
        </w:tc>
        <w:tc>
          <w:tcPr>
            <w:tcW w:w="6500"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Enables the partitioning of independent commercial divisions (e.g., Jowih Logistics vs. Marketplace infrastructure) into distinct, ring-fenced investment cells.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005"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Separate Legal Personality</w:t>
            </w:r>
          </w:p>
        </w:tc>
        <w:tc>
          <w:tcPr>
            <w:tcW w:w="6500"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Enforces complete cell-level asset insulation. The liabilities or losses incurred by one sub-fund cannot legally attach to or deplete the assets of another.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005"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Unified Master Licensing</w:t>
            </w:r>
          </w:p>
        </w:tc>
        <w:tc>
          <w:tcPr>
            <w:tcW w:w="6500"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A single Global Business Licence issued by the FSC encompasses both the core VCC structure and its downstream sub-funds, minimizing regulatory drag.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005"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Infinite Sub-Fund Scalability</w:t>
            </w:r>
          </w:p>
        </w:tc>
        <w:tc>
          <w:tcPr>
            <w:tcW w:w="6500"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The ecosystem can introduce an unrestricted number of new investment cells as the Great African Grid expands, without altering the core corporate shell.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005"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Consolidated Tax Architecture</w:t>
            </w:r>
          </w:p>
        </w:tc>
        <w:tc>
          <w:tcPr>
            <w:tcW w:w="6500"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Maximizes fiscal efficiency across early-stage projects by allowing a single tax return option where losses in long-tail infrastructure cells can offset gains in high-yield digital rails.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005"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Autonomous Tax Residency</w:t>
            </w:r>
          </w:p>
        </w:tc>
        <w:tc>
          <w:tcPr>
            <w:tcW w:w="6500"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Individual sub-funds can secure independent Tax Residency Certificates (TRCs) to access double-taxation treaty protections across pan-African jurisdictions.</w:t>
            </w:r>
          </w:p>
        </w:tc>
      </w:tr>
    </w:tbl>
    <w:p>
      <w:r>
        <w:pict>
          <v:rect id="_x0000_i1042" o:spt="1" style="height:1.5pt;width:432pt;" fillcolor="#A0A0A0" filled="t" stroked="f" coordsize="21600,21600" o:hr="t" o:hrstd="t" o:hralign="center">
            <v:path/>
            <v:fill on="t" focussize="0,0"/>
            <v:stroke on="f"/>
            <v:imagedata o:title=""/>
            <o:lock v:ext="edit"/>
            <w10:wrap type="none"/>
            <w10:anchorlock/>
          </v:rect>
        </w:pict>
      </w:r>
    </w:p>
    <w:p>
      <w:r>
        <w:t>V. INVESTOR PARTICIPATION MANDATE: RIGHTS AND RESTRICTIONS</w:t>
      </w:r>
    </w:p>
    <w:p>
      <w:r>
        <w:rPr>
          <w:lang w:val="en-US" w:eastAsia="zh-CN"/>
        </w:rPr>
        <w:t>Capital deployment into the Jowih Ecosystem Fund yields transparent economic monetization options while maintaining an absolute legal wall against systemic intervention.</w:t>
      </w:r>
    </w:p>
    <w:p>
      <w:r>
        <w:t>Technical Rights Conferred to Investors</w:t>
      </w:r>
    </w:p>
    <w:p>
      <w:r>
        <w:t>Net Asset Value (NAV) Exposure:</w:t>
      </w:r>
      <w:r>
        <w:t xml:space="preserve"> Direct, pro-rata economic participation in the financial growth, capital appreciation, and net profits generated by the specific sub-fund cell in which units are held.</w:t>
      </w:r>
    </w:p>
    <w:p>
      <w:r>
        <w:t>Contractual Redemption Pathways:</w:t>
      </w:r>
      <w:r>
        <w:t xml:space="preserve"> Right to exit or liquidate investment units based strictly on the net asset value valuation frequency and redemption schedules established in the sub-fund's private placement memorandum.</w:t>
      </w:r>
    </w:p>
    <w:p>
      <w:r>
        <w:t>Regulatory Reporting and Transparency:</w:t>
      </w:r>
      <w:r>
        <w:t xml:space="preserve"> Guaranteed access to independently audited financial statements, performance disclosures, and asset valuations as mandated by international fund regulations.</w:t>
      </w:r>
    </w:p>
    <w:p>
      <w:r>
        <w:t>Dividend Yield Distribution:</w:t>
      </w:r>
      <w:r>
        <w:t xml:space="preserve"> Distribution rights to pro-rata capital yields generated by the operational performance of the underlying commercial holdings within the fund.</w:t>
      </w:r>
    </w:p>
    <w:p>
      <w:r>
        <w:t>Statutory Restrictions Enforced Upon Investors</w:t>
      </w:r>
    </w:p>
    <w:p>
      <w:r>
        <w:t>Exclusion from Foundation Governance:</w:t>
      </w:r>
      <w:r>
        <w:t xml:space="preserve"> Investors obtain zero voting rights, zero constitutional override capability, and zero vector paths to alter the non-profit, humanitarian, or infrastructural mandate of the Jowih Foundation.</w:t>
      </w:r>
    </w:p>
    <w:p>
      <w:r>
        <w:t>Exclusion from Corporate Holding Management:</w:t>
      </w:r>
      <w:r>
        <w:t xml:space="preserve"> No voting rights within Jowih Holdings Limited and zero capability to appoint board members or direct corporate management personnel within the Jowih Group.</w:t>
      </w:r>
    </w:p>
    <w:p>
      <w:r>
        <w:t>Zero Systemic Strategic Control:</w:t>
      </w:r>
      <w:r>
        <w:t xml:space="preserve"> No structural mechanism to modify core platform metrics, alter open-source API pricing thresholds, or dictate regional data routing compliance parameters.</w:t>
      </w:r>
    </w:p>
    <w:p>
      <w:r>
        <w:t>No Direct Asset Claims:</w:t>
      </w:r>
      <w:r>
        <w:t xml:space="preserve"> Investment units confer ownership in the </w:t>
      </w:r>
      <w:r>
        <w:t>fund vehicle's equity classes</w:t>
      </w:r>
      <w:r>
        <w:t>, not direct, fractional physical title to data centers, network nodes, or sovereign software protocols.</w:t>
      </w:r>
    </w:p>
    <w:p>
      <w:r>
        <w:pict>
          <v:rect id="_x0000_i1043" o:spt="1" style="height:1.5pt;width:432pt;" fillcolor="#A0A0A0" filled="t" stroked="f" coordsize="21600,21600" o:hr="t" o:hrstd="t" o:hralign="center">
            <v:path/>
            <v:fill on="t" focussize="0,0"/>
            <v:stroke on="f"/>
            <v:imagedata o:title=""/>
            <o:lock v:ext="edit"/>
            <w10:wrap type="none"/>
            <w10:anchorlock/>
          </v:rect>
        </w:pict>
      </w:r>
    </w:p>
    <w:p>
      <w:r>
        <w:t>VI. THE REGULATORY AND COMPLIANCE PATHWAY</w:t>
      </w:r>
    </w:p>
    <w:p>
      <w:r>
        <w:rPr>
          <w:lang w:val="en-US" w:eastAsia="zh-CN"/>
        </w:rPr>
        <w:t>The Jowih Ecosystem Fund is structured to operate in absolute compliance with the Financial Services Commission (FSC) of Mauritius, satisfying all international anti-money laundering (AML), counter-terrorism financing (CTF), and tax transparency standards.</w:t>
      </w:r>
    </w:p>
    <w:p>
      <w:r>
        <w:t xml:space="preserve">               ┌────────────────────────────────────────────────────────┐</w:t>
      </w:r>
    </w:p>
    <w:p>
      <w:r>
        <w:t xml:space="preserve">               │          MAURITIUS FSC REGULATORY REGIME               │</w:t>
      </w:r>
    </w:p>
    <w:p>
      <w:r>
        <w:t xml:space="preserve">               └───────────────────────────┬────────────────────────────┘</w:t>
      </w:r>
    </w:p>
    <w:p>
      <w:r>
        <w:t xml:space="preserve">                                           │</w:t>
      </w:r>
    </w:p>
    <w:p>
      <w:r>
        <w:t xml:space="preserve">             ┌─────────────────────────────┼─────────────────────────────┐</w:t>
      </w:r>
    </w:p>
    <w:p>
      <w:r>
        <w:t xml:space="preserve">             ▼                             ▼                             ▼</w:t>
      </w:r>
    </w:p>
    <w:p>
      <w:r>
        <w:t>┌───────────────────────────┐ ┌───────────────────────────┐ ┌───────────────────────────┐</w:t>
      </w:r>
    </w:p>
    <w:p>
      <w:r>
        <w:t>│     VCC FUND REGIME       │ │        CIS LICENSE        │ │     VAITOS REGULATION     │</w:t>
      </w:r>
    </w:p>
    <w:p>
      <w:r>
        <w:t>│ Enforces multi-asset cell │ │ Authorizes open/closed    │ │ Governs future tokenized  │</w:t>
      </w:r>
    </w:p>
    <w:p>
      <w:r>
        <w:t>│ isolation and reporting.  │ │ pooled capital management.│ │ micro-fractional units.   │</w:t>
      </w:r>
    </w:p>
    <w:p>
      <w:r>
        <w:t>└───────────────────────────┘ └───────────────────────────┘ └───────────────────────────┘</w:t>
      </w:r>
    </w:p>
    <w:p>
      <w:r>
        <w:t>VCC Fund Regime:</w:t>
      </w:r>
      <w:r>
        <w:t xml:space="preserve"> The structural foundation used to govern multi-tiered, cross-border equity portfolios cleanly across independent sub-funds.</w:t>
      </w:r>
    </w:p>
    <w:p>
      <w:r>
        <w:t>Collective Investment Schemes (CIS) License:</w:t>
      </w:r>
      <w:r>
        <w:t xml:space="preserve"> Authorizes the fund to securely aggregate capital from institutional wealth managers, qualified diaspora investors, and retail networks.</w:t>
      </w:r>
    </w:p>
    <w:p>
      <w:r>
        <w:t>Virtual Asset and Initial Token Offering Services (VAITOS) Act:</w:t>
      </w:r>
      <w:r>
        <w:t xml:space="preserve"> The compliance framework designated for subsequent phases where investment fund units are digitalized or tokenized. This enables retail micro-fractional investments to execute directly through the secure Jowih Wallet interface utilizing mobile money and Jowih Credits.</w:t>
      </w:r>
    </w:p>
    <w:p>
      <w:r>
        <w:t>The Regulatory Sandbox Protocol</w:t>
      </w:r>
    </w:p>
    <w:p>
      <w:r>
        <w:rPr>
          <w:lang w:val="en-US" w:eastAsia="zh-CN"/>
        </w:rPr>
        <w:t>To validate the system's cross-border capital architecture under strict regulatory supervision, Jowih initiates its fundraising operations through the FSC Regulatory Sandbox framework.</w:t>
      </w:r>
    </w:p>
    <w:p>
      <w:r>
        <w:t>Duration and Scope:</w:t>
      </w:r>
      <w:r>
        <w:t xml:space="preserve"> Operating under a 12-month supervised pilot phase (extendable upon review), the sandbox allows Jowih to test asset valuation mechanisms, cross-border compliance routing, and distribution software.</w:t>
      </w:r>
    </w:p>
    <w:p>
      <w:r>
        <w:t>Risk Mitigation:</w:t>
      </w:r>
      <w:r>
        <w:t xml:space="preserve"> Operations are limited to a defined group of qualified, vetted investors under stringent risk parameters, ensuring absolute compliance before scaling into a full, unrestricted VCC Fund license.</w:t>
      </w:r>
    </w:p>
    <w:p>
      <w:r>
        <w:pict>
          <v:rect id="_x0000_i1044" o:spt="1" style="height:1.5pt;width:432pt;" fillcolor="#A0A0A0" filled="t" stroked="f" coordsize="21600,21600" o:hr="t" o:hrstd="t" o:hralign="center">
            <v:path/>
            <v:fill on="t" focussize="0,0"/>
            <v:stroke on="f"/>
            <v:imagedata o:title=""/>
            <o:lock v:ext="edit"/>
            <w10:wrap type="none"/>
            <w10:anchorlock/>
          </v:rect>
        </w:pict>
      </w:r>
    </w:p>
    <w:p>
      <w:r>
        <w:t>VII. ECONOMIC RIGHTS VS. CONTROL RIGHTS MECHANICS</w:t>
      </w:r>
    </w:p>
    <w:p>
      <w:r>
        <w:rPr>
          <w:lang w:val="en-US" w:eastAsia="zh-CN"/>
        </w:rPr>
        <w:t xml:space="preserve">The isolation framework relies on the natural legal properties of the VCC share class architecture. Shares issued within a specific Jowih VCC sub-fund are explicitly structured as </w:t>
      </w:r>
      <w:r>
        <w:rPr>
          <w:lang w:val="en-US" w:eastAsia="zh-CN"/>
        </w:rPr>
        <w:t>Non-Voting Economic Units</w:t>
      </w:r>
      <w:r>
        <w:rPr>
          <w:lang w:val="en-US" w:eastAsia="zh-CN"/>
        </w:rPr>
        <w:t>.</w:t>
      </w:r>
    </w:p>
    <w:p>
      <w:r>
        <w:t>The Investor Vector:</w:t>
      </w:r>
      <w:r>
        <w:t xml:space="preserve"> Capital flows downward into the sub-fund cell. The investor receives a ledger balance of non-voting units, entitling them to linear NAV appreciation and dividend distributions.</w:t>
      </w:r>
    </w:p>
    <w:p>
      <w:r>
        <w:t>The Governance Vector:</w:t>
      </w:r>
      <w:r>
        <w:t xml:space="preserve"> Upstream voting control over the master VCC corporate shell and Jowih Holdings Limited remains permanently anchored within the Purpose Trust and Family Trust structures. The Jowih Foundation retains its absolute veto power (Golden Vote) over any architectural or strategic change.</w:t>
      </w:r>
    </w:p>
    <w:p>
      <w:r>
        <w:t>7.3 Asset Vaulting and Downstream Non-Voting Unit Fractionalization</w:t>
      </w:r>
    </w:p>
    <w:p>
      <w:r>
        <w:rPr>
          <w:lang w:val="en-US" w:eastAsia="zh-CN"/>
        </w:rPr>
        <w:t>The Jowih Ecosystem Fund VCC sub-fund cells function as ring-fenced asset vaults that absorb primary corporate equities and fractionalize their corresponding economic value into public-facing investment classes:</w:t>
      </w:r>
    </w:p>
    <w:p>
      <w:r>
        <w:t>Institutional Vaulting of Primary Equity:</w:t>
      </w:r>
      <w:r>
        <w:t xml:space="preserve"> When a sector bucket executes a pre-arranged infrastructure transaction, the total aggregate block of ordinary shares issued by the participating partner enterprises is transferred directly into the custody of the specific VCC sub-fund compartment. These underlying shares remain legally whole and structurally unmodified, maintaining their native asset valuations and primary voting weights within the cell's secured inventory.</w:t>
      </w:r>
    </w:p>
    <w:p>
      <w:r>
        <w:t>Downstream Unit Synthesis:</w:t>
      </w:r>
      <w:r>
        <w:t xml:space="preserve"> Upon securing the primary equity block as collateral, the sub-fund cell programmatically mints and distributes a distinct financial instrument designated as Jowih Ecosystem Units. These units are issued directly to pan-African citizens and diaspora allocators. The fund’s statutory framework strips all proxy voting weights, corporate governance vectors, and board intervention capabilities from these units prior to public distribution.</w:t>
      </w:r>
    </w:p>
    <w:p>
      <w:r>
        <w:t>Pro-Rata Financial Pass-Through:</w:t>
      </w:r>
      <w:r>
        <w:t xml:space="preserve"> The mechanized Ecosystem Units grant holders an absolute, contractually protected right to linear Net Asset Value (NAV) appreciation and pro-rata dividend yields flowing out of the vaulted asset pool. Retail and public capital expansion can scale infinitely within the downstream interface without ever altering the primary corporate share structure or governance boundaries established by the founders at the top layer of the enterprise.</w:t>
      </w:r>
    </w:p>
    <w:p>
      <w:r>
        <w:pict>
          <v:rect id="_x0000_i1045" o:spt="1" style="height:1.5pt;width:432pt;" fillcolor="#A0A0A0" filled="t" stroked="f" coordsize="21600,21600" o:hr="t" o:hrstd="t" o:hralign="center">
            <v:path/>
            <v:fill on="t" focussize="0,0"/>
            <v:stroke on="f"/>
            <v:imagedata o:title=""/>
            <o:lock v:ext="edit"/>
            <w10:wrap type="none"/>
            <w10:anchorlock/>
          </v:rect>
        </w:pict>
      </w:r>
    </w:p>
    <w:p>
      <w:r>
        <w:t>VIII. ASSET ELIGIBILITY AND RISK ISOLATION CRITERIA</w:t>
      </w:r>
    </w:p>
    <w:p>
      <w:r>
        <w:rPr>
          <w:lang w:val="en-US" w:eastAsia="zh-CN"/>
        </w:rPr>
        <w:t>To prevent unstructured capital risk, no commercial operating company under the Jowih Group or affiliated third-party partner network may be admitted into the Ecosystem Fund's investable sub-fund buckets without satisfying rigorous qualification metrics.</w:t>
      </w:r>
    </w:p>
    <w:p>
      <w:r>
        <w:rPr>
          <w:lang w:val="en-US" w:eastAsia="zh-CN"/>
        </w:rPr>
        <w:t>Eligible commercial assets must continuously meet the following institutional baselines:</w:t>
      </w:r>
    </w:p>
    <w:p>
      <w:r>
        <w:t>Operational History:</w:t>
      </w:r>
      <w:r>
        <w:t xml:space="preserve"> A minimum defined period of audited operational execution and infrastructure output.</w:t>
      </w:r>
    </w:p>
    <w:p>
      <w:r>
        <w:t>Financial Auditing:</w:t>
      </w:r>
      <w:r>
        <w:t xml:space="preserve"> Unqualified, clean financial statements prepared by independent, internationally certified auditing firms.</w:t>
      </w:r>
    </w:p>
    <w:p>
      <w:r>
        <w:t>Proven Viability:</w:t>
      </w:r>
      <w:r>
        <w:t xml:space="preserve"> Documented positive cash flow metrics or a verified, structurally validated pathway to net operational profitability.</w:t>
      </w:r>
    </w:p>
    <w:p>
      <w:r>
        <w:t>Corporate Compliance:</w:t>
      </w:r>
      <w:r>
        <w:t xml:space="preserve"> Full adherence to the localized tax laws, anti-corruption mandates, and data sovereignty rules of the operating jurisdiction.</w:t>
      </w:r>
    </w:p>
    <w:p>
      <w:r>
        <w:t>Sovereign Valuation:</w:t>
      </w:r>
      <w:r>
        <w:t xml:space="preserve"> Independent, third-party asset valuation to establish the starting Net Asset Value prior to unit issuance.</w:t>
      </w:r>
    </w:p>
    <w:p>
      <w:r>
        <w:pict>
          <v:rect id="_x0000_i1046" o:spt="1" style="height:1.5pt;width:432pt;" fillcolor="#A0A0A0" filled="t" stroked="f" coordsize="21600,21600" o:hr="t" o:hrstd="t" o:hralign="center">
            <v:path/>
            <v:fill on="t" focussize="0,0"/>
            <v:stroke on="f"/>
            <v:imagedata o:title=""/>
            <o:lock v:ext="edit"/>
            <w10:wrap type="none"/>
            <w10:anchorlock/>
          </v:rect>
        </w:pict>
      </w:r>
    </w:p>
    <w:p>
      <w:r>
        <w:t>IX. THE STAGED ROADMAP TO CONTINENTAL IMPLEMENTATION</w:t>
      </w:r>
    </w:p>
    <w:p>
      <w:r>
        <w:t>STAGE 1: FOUNDATION   ──&gt; Establish Foundation (CLG), Jowih Holdings, &amp; Operating Core.</w:t>
      </w:r>
    </w:p>
    <w:p>
      <w:r>
        <w:t xml:space="preserve">        │</w:t>
      </w:r>
    </w:p>
    <w:p>
      <w:r>
        <w:t xml:space="preserve">        ▼</w:t>
      </w:r>
    </w:p>
    <w:p>
      <w:r>
        <w:t>STAGE 2: SANDBOX PILOT ──&gt; Deploy VCC under FSC Sandbox with limited qualified investors.</w:t>
      </w:r>
    </w:p>
    <w:p>
      <w:r>
        <w:t xml:space="preserve">        │</w:t>
      </w:r>
    </w:p>
    <w:p>
      <w:r>
        <w:t xml:space="preserve">        ▼</w:t>
      </w:r>
    </w:p>
    <w:p>
      <w:r>
        <w:t>STAGE 3: LICENSING     ──&gt; Transition to full VCC Fund License; open public participation.</w:t>
      </w:r>
    </w:p>
    <w:p>
      <w:r>
        <w:t xml:space="preserve">        │</w:t>
      </w:r>
    </w:p>
    <w:p>
      <w:r>
        <w:t xml:space="preserve">        ▼</w:t>
      </w:r>
    </w:p>
    <w:p>
      <w:r>
        <w:t>STAGE 4: EXPANSION     ──&gt; Scale specialized sub-funds and initiate VAITOS tokenization.</w:t>
      </w:r>
    </w:p>
    <w:p>
      <w:r>
        <w:t>Stage 1: Foundation and Structural Setup</w:t>
      </w:r>
    </w:p>
    <w:p>
      <w:r>
        <w:t>Incorporate the Jowih Foundation as a non-profit Company Limited by Guarantee under Mauritius law, establishing the irrevocable asset lock.</w:t>
      </w:r>
    </w:p>
    <w:p>
      <w:r>
        <w:t>Establish Jowih Holdings Limited and configure the Purpose and Family Trust voting mechanics.</w:t>
      </w:r>
    </w:p>
    <w:p>
      <w:r>
        <w:t>Deploy initial commercial operating companies to begin building core compute, messaging, and logistics infrastructure without external commercial capital.</w:t>
      </w:r>
    </w:p>
    <w:p>
      <w:r>
        <w:t>Stage 2: Sandbox Pilot Execution</w:t>
      </w:r>
    </w:p>
    <w:p>
      <w:r>
        <w:t>Launch the VCC shell within the FSC Regulatory Sandbox framework.</w:t>
      </w:r>
    </w:p>
    <w:p>
      <w:r>
        <w:t>Onboard a ring-fenced group of qualified seed allocators to test the ledger, micro-transaction processing, and automated auditing systems.</w:t>
      </w:r>
    </w:p>
    <w:p>
      <w:r>
        <w:t>Formalize the asset eligibility valuation rubrics for the initial infrastructure components.</w:t>
      </w:r>
    </w:p>
    <w:p>
      <w:r>
        <w:t>Stage 3: Full Fund Licensing and Public Onboarding</w:t>
      </w:r>
    </w:p>
    <w:p>
      <w:r>
        <w:t>Complete the sandbox tracking period and exit into full VCC Fund and CIS licensing status.</w:t>
      </w:r>
    </w:p>
    <w:p>
      <w:r>
        <w:t>Package mature, revenue-generating commercial assets (such as Jowih Store distribution pipelines or Marketplace logistics networks) into the active investable portfolio.</w:t>
      </w:r>
    </w:p>
    <w:p>
      <w:r>
        <w:t>Open investment unit subscription options to pan-African citizens and international diaspora networks under strict compliance protocols.</w:t>
      </w:r>
    </w:p>
    <w:p>
      <w:r>
        <w:t>Stage 4: High-Scale Continental Expansion</w:t>
      </w:r>
    </w:p>
    <w:p>
      <w:r>
        <w:t>Introduce highly specialized, sector-specific sub-funds focusing on decentralized renewable energy grids, smart municipal nodes, and regional transit lines.</w:t>
      </w:r>
    </w:p>
    <w:p>
      <w:r>
        <w:t>Operationalize the VAITOS tokenization layer, allowing automated micro-fractional investment entries to execute natively inside the consumer ecosystem.</w:t>
      </w:r>
    </w:p>
    <w:p>
      <w:r>
        <w:t>Explore secondary market listings of closed-end sub-funds on regulated regional African securities exchanges to maximize investor exit liquidity.</w:t>
      </w:r>
    </w:p>
    <w:p>
      <w:r>
        <w:pict>
          <v:rect id="_x0000_i1047" o:spt="1" style="height:1.5pt;width:432pt;" fillcolor="#A0A0A0" filled="t" stroked="f" coordsize="21600,21600" o:hr="t" o:hrstd="t" o:hralign="center">
            <v:path/>
            <v:fill on="t" focussize="0,0"/>
            <v:stroke on="f"/>
            <v:imagedata o:title=""/>
            <o:lock v:ext="edit"/>
            <w10:wrap type="none"/>
            <w10:anchorlock/>
          </v:rect>
        </w:pict>
      </w:r>
    </w:p>
    <w:p>
      <w:r>
        <w:t>X. ARCHITECTURAL OBJECTIVES MATRIX</w:t>
      </w:r>
    </w:p>
    <w:tbl>
      <w:tblPr>
        <w:tblW w:w="850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218"/>
        <w:gridCol w:w="628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18"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Core Objective</w:t>
            </w:r>
          </w:p>
        </w:tc>
        <w:tc>
          <w:tcPr>
            <w:tcW w:w="6287"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Structural Execution Mechanism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18"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Absolute Foundation Non-Dilution</w:t>
            </w:r>
          </w:p>
        </w:tc>
        <w:tc>
          <w:tcPr>
            <w:tcW w:w="6287"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The Jowih Foundation is established as a Company Limited by Guarantee. It possesses zero share capital and cannot issue equity. It is structurally impossible to dilute or purchase.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18"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Total Insulation from Hostile Takeover</w:t>
            </w:r>
          </w:p>
        </w:tc>
        <w:tc>
          <w:tcPr>
            <w:tcW w:w="6287"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VCC sub-fund units grant economic exposure only. Voting weight is entirely quarantined within the Purpose and Family Trusts, leaving the mission immune to shareholder activism.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18"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Democratized Pan-African Capitalization</w:t>
            </w:r>
          </w:p>
        </w:tc>
        <w:tc>
          <w:tcPr>
            <w:tcW w:w="6287"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Citizens and the diaspora acquire highly liquid, regulated fund units directly through native financial interfaces, avoiding complex offshore corporate brokerage setups.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18"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Permanent Mission Integrity</w:t>
            </w:r>
          </w:p>
        </w:tc>
        <w:tc>
          <w:tcPr>
            <w:tcW w:w="6287"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The statutory Asset Lock, Mission-Lock, and the Foundation's Golden Vote remain completely outside the investable plane, ensuring infrastructure neutrality.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18"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Sustainable Capital Recirculation</w:t>
            </w:r>
          </w:p>
        </w:tc>
        <w:tc>
          <w:tcPr>
            <w:tcW w:w="6287"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The fund injects capital directly into revenue-generating components. 90% of the holding-level profits automatically route back up to the Foundation to continuously bankroll new developments.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18"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De-Risked Cross-Border Operations</w:t>
            </w:r>
          </w:p>
        </w:tc>
        <w:tc>
          <w:tcPr>
            <w:tcW w:w="6287"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r>
              <w:rPr>
                <w:lang w:val="en-US" w:eastAsia="zh-CN"/>
              </w:rPr>
              <w:t>The entire architecture is governed by the integrated regulatory frameworks of the Mauritius FSC, providing institutional-grade trust to global investors.</w:t>
            </w:r>
          </w:p>
        </w:tc>
      </w:tr>
    </w:tbl>
    <w:p>
      <w:r>
        <w:pict>
          <v:rect id="_x0000_i1048" o:spt="1" style="height:1.5pt;width:432pt;" fillcolor="#A0A0A0" filled="t" stroked="f" coordsize="21600,21600" o:hr="t" o:hrstd="t" o:hralign="center">
            <v:path/>
            <v:fill on="t" focussize="0,0"/>
            <v:stroke on="f"/>
            <v:imagedata o:title=""/>
            <o:lock v:ext="edit"/>
            <w10:wrap type="none"/>
            <w10:anchorlock/>
          </v:rect>
        </w:pict>
      </w:r>
    </w:p>
    <w:p>
      <w:r>
        <w:t>XI. ADMINISTRATIVE AND OPERATIONAL CONSTRAINTS</w:t>
      </w:r>
    </w:p>
    <w:p>
      <w:r>
        <w:rPr>
          <w:lang w:val="en-US" w:eastAsia="zh-CN"/>
        </w:rPr>
        <w:t>This architecture is not a legal shortcut; it is a highly sophisticated, institutional financial product that demands rigorous ongoing compliance, including:</w:t>
      </w:r>
    </w:p>
    <w:p>
      <w:r>
        <w:t>Specialized Legal Counsel:</w:t>
      </w:r>
      <w:r>
        <w:t xml:space="preserve"> Retention of tier-one securities, fund, and tax attorneys within Mauritius and target African jurisdictions.</w:t>
      </w:r>
    </w:p>
    <w:p>
      <w:r>
        <w:t>Regulatory Oversight:</w:t>
      </w:r>
      <w:r>
        <w:t xml:space="preserve"> Ongoing sandbox reporting, full licensing filings, and regular compliance audits by the Mauritius FSC.</w:t>
      </w:r>
    </w:p>
    <w:p>
      <w:r>
        <w:t>Ecosystem Custodianship:</w:t>
      </w:r>
      <w:r>
        <w:t xml:space="preserve"> Appointment of independent fund administrators, independent asset valuation experts, licensed custodians, and international auditors.</w:t>
      </w:r>
    </w:p>
    <w:p>
      <w:r>
        <w:t>Compliance Infrastructure:</w:t>
      </w:r>
      <w:r>
        <w:t xml:space="preserve"> Continuous deployment of institutional-grade Anti-Money Laundering (AML) and Know Your Customer (KYC) screening arrays across all digital investment entry interfaces.</w:t>
      </w:r>
    </w:p>
    <w:p>
      <w:r>
        <w:rPr>
          <w:lang w:val="en-US" w:eastAsia="zh-CN"/>
        </w:rPr>
        <w:t>The architecture is legally viable, the regulatory pathway is predefined, and the corporate insulation shields the public mission from capital distortion.</w:t>
      </w:r>
    </w:p>
    <w:p>
      <w:r>
        <w:pict>
          <v:rect id="_x0000_i1049" o:spt="1" style="height:1.5pt;width:432pt;" fillcolor="#A0A0A0" filled="t" stroked="f" coordsize="21600,21600" o:hr="t" o:hrstd="t" o:hralign="center">
            <v:path/>
            <v:fill on="t" focussize="0,0"/>
            <v:stroke on="f"/>
            <v:imagedata o:title=""/>
            <o:lock v:ext="edit"/>
            <w10:wrap type="none"/>
            <w10:anchorlock/>
          </v:rect>
        </w:pict>
      </w:r>
    </w:p>
    <w:p>
      <w:r>
        <w:t>DEFINITIVE SUMMARY</w:t>
      </w:r>
    </w:p>
    <w:p>
      <w:r>
        <w:rPr>
          <w:lang w:val="en-US" w:eastAsia="zh-CN"/>
        </w:rPr>
        <w:t>Jowih opens its commercial operating layer to highly liquid, regulated economic participat</w:t>
      </w:r>
      <w:bookmarkStart w:id="0" w:name="_GoBack"/>
      <w:bookmarkEnd w:id="0"/>
      <w:r>
        <w:rPr>
          <w:lang w:val="en-US" w:eastAsia="zh-CN"/>
        </w:rPr>
        <w:t>ion by African citizens and the diaspora, while permanently locking the non-profit foundation layer to ensure absolute mission immunity, non-dilutability, and long-term infrastructural neutrality.</w:t>
      </w:r>
    </w:p>
    <w:p>
      <w:r>
        <w:pict>
          <v:rect id="_x0000_i1050" o:spt="1" style="height:1.5pt;width:432pt;" fillcolor="#A0A0A0" filled="t" stroked="f" coordsize="21600,21600" o:hr="t" o:hrstd="t" o:hralign="center">
            <v:path/>
            <v:fill on="t" focussize="0,0"/>
            <v:stroke on="f"/>
            <v:imagedata o:title=""/>
            <o:lock v:ext="edit"/>
            <w10:wrap type="none"/>
            <w10:anchorlock/>
          </v:rect>
        </w:pict>
      </w:r>
    </w:p>
    <w:p>
      <w:r>
        <w:rPr>
          <w:lang w:val="en-US" w:eastAsia="zh-CN"/>
        </w:rPr>
        <w:t>To advance the broader Jowih strategic compilation to the next operational phase, let me know if you would like to:</w:t>
      </w:r>
    </w:p>
    <w:p>
      <w:r>
        <w:t xml:space="preserve">Draft the formal corporate framework for the </w:t>
      </w:r>
      <w:r>
        <w:t>Purpose Trust and Family Trust</w:t>
      </w:r>
      <w:r>
        <w:t xml:space="preserve"> structures (defining the precise allocation metrics for the 60/40 voting splits).</w:t>
      </w:r>
    </w:p>
    <w:p>
      <w:r>
        <w:t xml:space="preserve">Detail the technical data-routing rules for the </w:t>
      </w:r>
      <w:r>
        <w:t>Jowih COS API layer</w:t>
      </w:r>
      <w:r>
        <w:t xml:space="preserve"> to show how transaction fees automatically feed this holding architecture.</w:t>
      </w:r>
    </w:p>
    <w:p>
      <w:r>
        <w:t xml:space="preserve">Design the legal templates for the </w:t>
      </w:r>
      <w:r>
        <w:t>Pre-Arranged Infrastructure Transaction Covenants</w:t>
      </w:r>
      <w:r>
        <w:t xml:space="preserve"> signed by onboarding partner companies.</w:t>
      </w:r>
    </w:p>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C059"/>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6" w:usb3="00000000" w:csb0="00040001" w:csb1="00000000"/>
  </w:font>
  <w:font w:name="Droid Sans Fallback">
    <w:panose1 w:val="020B0502000000000001"/>
    <w:charset w:val="86"/>
    <w:family w:val="auto"/>
    <w:pitch w:val="default"/>
    <w:sig w:usb0="910002FF" w:usb1="2BDFFCFB" w:usb2="00000036" w:usb3="00000000" w:csb0="203F01FF" w:csb1="D7FF0000"/>
  </w:font>
  <w:font w:name="DejaVu Sans">
    <w:panose1 w:val="020B0603030804020204"/>
    <w:charset w:val="00"/>
    <w:family w:val="auto"/>
    <w:pitch w:val="default"/>
    <w:sig w:usb0="E7006EFF" w:usb1="D200FDFF" w:usb2="0A246029" w:usb3="0400200C" w:csb0="600001FF" w:csb1="DFFF0000"/>
  </w:font>
  <w:font w:name="C059">
    <w:panose1 w:val="00000000000000000000"/>
    <w:charset w:val="00"/>
    <w:family w:val="auto"/>
    <w:pitch w:val="default"/>
    <w:sig w:usb0="00000000" w:usb1="00000000" w:usb2="00000000" w:usb3="00000000" w:csb0="00000000" w:csb1="00000000"/>
  </w:font>
  <w:font w:name="Symbol">
    <w:altName w:val="URW Bookman"/>
    <w:panose1 w:val="00000000000000000000"/>
    <w:charset w:val="00"/>
    <w:family w:val="auto"/>
    <w:pitch w:val="default"/>
    <w:sig w:usb0="00000000" w:usb1="00000000" w:usb2="00000000" w:usb3="00000000" w:csb0="00000000" w:csb1="00000000"/>
  </w:font>
  <w:font w:name="URW Bookman">
    <w:panose1 w:val="00000400000000000000"/>
    <w:charset w:val="00"/>
    <w:family w:val="auto"/>
    <w:pitch w:val="default"/>
    <w:sig w:usb0="00000287" w:usb1="00000800" w:usb2="00000000" w:usb3="00000000" w:csb0="6000009F" w:csb1="00000000"/>
  </w:font>
  <w:font w:name="Bitstream Charter">
    <w:altName w:val="URW Bookman"/>
    <w:panose1 w:val="00000000000000000000"/>
    <w:charset w:val="00"/>
    <w:family w:val="auto"/>
    <w:pitch w:val="default"/>
    <w:sig w:usb0="00000000" w:usb1="00000000" w:usb2="00000000" w:usb3="00000000" w:csb0="00000000" w:csb1="00000000"/>
  </w:font>
  <w:font w:name="DejaVa Sans">
    <w:altName w:val="URW Bookman"/>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DD5A9C"/>
    <w:rsid w:val="1FDC36A1"/>
    <w:rsid w:val="735779F0"/>
    <w:rsid w:val="7F63AF88"/>
    <w:rsid w:val="FFDD5A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7">
    <w:name w:val="Normal Table"/>
    <w:semiHidden/>
    <w:uiPriority w:val="0"/>
    <w:tblPr>
      <w:tblLayout w:type="fixed"/>
      <w:tblCellMar>
        <w:top w:w="0" w:type="dxa"/>
        <w:left w:w="108" w:type="dxa"/>
        <w:bottom w:w="0" w:type="dxa"/>
        <w:right w:w="108" w:type="dxa"/>
      </w:tblCellMar>
    </w:tblPr>
  </w:style>
  <w:style w:type="paragraph" w:styleId="3">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5">
    <w:name w:val="Emphasis"/>
    <w:basedOn w:val="4"/>
    <w:qFormat/>
    <w:uiPriority w:val="0"/>
    <w:rPr>
      <w:i/>
      <w:iCs/>
    </w:rPr>
  </w:style>
  <w:style w:type="character" w:styleId="6">
    <w:name w:val="HTML Code"/>
    <w:basedOn w:val="4"/>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82</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2026-09-19T16:27:00Z</dcterms:created>
  <dc:creator>jowih-corporation</dc:creator>
  <cp:lastModifiedBy>jowih-corporation</cp:lastModifiedBy>
  <dcterms:modified xsi:type="dcterms:W3CDTF">2026-09-19T17:49:18Z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