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pPr>
        <w:jc w:val="center"/>
        <w:rPr>
          <w:rFonts w:hint="default"/>
          <w:b/>
          <w:bCs/>
        </w:rPr>
      </w:pPr>
      <w:r>
        <w:rPr>
          <w:rFonts w:hint="default"/>
        </w:rPr>
        <w:br w:type="textWrapping"/>
      </w:r>
      <w:r>
        <w:rPr>
          <w:rFonts w:hint="default"/>
          <w:b/>
          <w:bCs/>
          <w:color w:val="C00000"/>
          <w:sz w:val="24"/>
          <w:szCs w:val="24"/>
        </w:rPr>
        <w:t>JOWIH MASTER ECOSYSTEM FUND</w:t>
      </w:r>
    </w:p>
    <w:p>
      <w:pPr>
        <w:rPr>
          <w:rFonts w:hint="default"/>
          <w:b/>
          <w:bCs/>
        </w:rPr>
      </w:pPr>
      <w:r>
        <w:rPr>
          <w:rFonts w:hint="default"/>
          <w:b/>
          <w:bCs/>
        </w:rPr>
        <w:t>The Jowih 100 Index - Regulated Economic Participation Architecture</w:t>
      </w:r>
    </w:p>
    <w:p/>
    <w:p>
      <w:pPr>
        <w:rPr>
          <w:rFonts w:hint="default"/>
          <w:b/>
          <w:bCs/>
        </w:rPr>
      </w:pPr>
      <w:r>
        <w:rPr>
          <w:rFonts w:hint="default"/>
          <w:b/>
          <w:bCs/>
        </w:rPr>
        <w:t>I. PURPOSE AND CORE PRINCIPLE</w:t>
      </w:r>
    </w:p>
    <w:p>
      <w:pPr>
        <w:rPr>
          <w:rFonts w:hint="default"/>
        </w:rPr>
      </w:pPr>
      <w:r>
        <w:rPr>
          <w:rFonts w:hint="default"/>
        </w:rPr>
        <w:t>This blueprint establishes the definitive institutional framework governing capital aggregation and economic participation within the Jowih commercial Ecosystem. Its purpose is to enable citizens of African nations and the global diaspora to achieve direct economic exposure to eligible Jowih commercial enterprises.</w:t>
      </w:r>
    </w:p>
    <w:p>
      <w:pPr>
        <w:rPr>
          <w:rFonts w:hint="default"/>
        </w:rPr>
      </w:pPr>
      <w:r>
        <w:rPr>
          <w:rFonts w:hint="default"/>
        </w:rPr>
        <w:t>The framework enforces a permanent structural bifurcation between economic equity exposure and corporate governance authority. External participants acquire contractually and legally isolated economic rights without obtaining voting shares, equity dilution vectors, board representation, or governance control over the Jowih Foundation, its mission, or its constitutional architecture.</w:t>
      </w:r>
    </w:p>
    <w:p>
      <w:pPr>
        <w:rPr>
          <w:rFonts w:hint="default"/>
        </w:rPr>
      </w:pPr>
      <w:r>
        <w:rPr>
          <w:rFonts w:hint="default"/>
        </w:rPr>
        <w:t>The framework operates on three immutable tenets:</w:t>
      </w:r>
    </w:p>
    <w:p/>
    <w:p>
      <w:r>
        <w:rPr>
          <w:rFonts w:hint="default"/>
        </w:rPr>
        <w:t>Absolute segregation of systemic participation from corporate ownership.</w:t>
      </w:r>
    </w:p>
    <w:p>
      <w:r>
        <w:rPr>
          <w:rFonts w:hint="default"/>
        </w:rPr>
        <w:t>Absolute decoupling of downstream economic rights from upstream control rights.</w:t>
      </w:r>
    </w:p>
    <w:p>
      <w:r>
        <w:rPr>
          <w:rFonts w:hint="default"/>
        </w:rPr>
        <w:t>Permanent, non-dilutable insulation of the core public-good mission layer.</w:t>
      </w:r>
    </w:p>
    <w:p/>
    <w:p>
      <w:pPr>
        <w:rPr>
          <w:rFonts w:hint="default"/>
          <w:b/>
          <w:bCs/>
        </w:rPr>
      </w:pPr>
    </w:p>
    <w:p>
      <w:pPr>
        <w:rPr>
          <w:rFonts w:hint="default"/>
          <w:b/>
          <w:bCs/>
        </w:rPr>
      </w:pPr>
      <w:r>
        <w:rPr>
          <w:rFonts w:hint="default"/>
          <w:b/>
          <w:bCs/>
        </w:rPr>
        <w:t>II. THE ARCHITECTURAL CORE DISTINCTION</w:t>
      </w:r>
    </w:p>
    <w:p>
      <w:pPr>
        <w:rPr>
          <w:rFonts w:hint="default"/>
        </w:rPr>
      </w:pPr>
      <w:r>
        <w:rPr>
          <w:rFonts w:hint="default"/>
        </w:rPr>
        <w:t>Jowih classifies all Ecosystem interaction into three mutually exclusive operational vectors:</w:t>
      </w:r>
    </w:p>
    <w:tbl>
      <w:tblPr>
        <w:tblStyle w:val="7"/>
        <w:tblW w:w="13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53"/>
        <w:gridCol w:w="3549"/>
        <w:gridCol w:w="3830"/>
        <w:gridCol w:w="41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853"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Framework Metric</w:t>
            </w:r>
          </w:p>
        </w:tc>
        <w:tc>
          <w:tcPr>
            <w:tcW w:w="354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USE</w:t>
            </w:r>
          </w:p>
        </w:tc>
        <w:tc>
          <w:tcPr>
            <w:tcW w:w="3830"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INTEGRATE</w:t>
            </w:r>
          </w:p>
        </w:tc>
        <w:tc>
          <w:tcPr>
            <w:tcW w:w="4190"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INVEST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53" w:type="dxa"/>
            <w:shd w:val="clear" w:color="auto" w:fill="auto"/>
            <w:tcMar>
              <w:top w:w="150" w:type="dxa"/>
              <w:left w:w="0" w:type="dxa"/>
              <w:bottom w:w="150" w:type="dxa"/>
              <w:right w:w="240" w:type="dxa"/>
            </w:tcMar>
            <w:vAlign w:val="center"/>
          </w:tcPr>
          <w:p>
            <w:pPr>
              <w:rPr>
                <w:rFonts w:hint="default"/>
              </w:rPr>
            </w:pPr>
            <w:r>
              <w:rPr>
                <w:rFonts w:hint="default"/>
                <w:lang w:val="en-US" w:eastAsia="zh-CN"/>
              </w:rPr>
              <w:t>Demographic Vector</w:t>
            </w:r>
          </w:p>
        </w:tc>
        <w:tc>
          <w:tcPr>
            <w:tcW w:w="354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General citizens, regional consumers, end-users</w:t>
            </w:r>
          </w:p>
        </w:tc>
        <w:tc>
          <w:tcPr>
            <w:tcW w:w="383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Independent developers, commercial enterprises, sovereign entities</w:t>
            </w:r>
          </w:p>
        </w:tc>
        <w:tc>
          <w:tcPr>
            <w:tcW w:w="4190" w:type="dxa"/>
            <w:shd w:val="clear" w:color="auto" w:fill="auto"/>
            <w:tcMar>
              <w:top w:w="150" w:type="dxa"/>
              <w:left w:w="240" w:type="dxa"/>
              <w:bottom w:w="150" w:type="dxa"/>
              <w:right w:w="0" w:type="dxa"/>
            </w:tcMar>
            <w:vAlign w:val="center"/>
          </w:tcPr>
          <w:p>
            <w:pPr>
              <w:rPr>
                <w:rFonts w:hint="default"/>
              </w:rPr>
            </w:pPr>
            <w:r>
              <w:rPr>
                <w:rFonts w:hint="default"/>
                <w:lang w:val="en-US" w:eastAsia="zh-CN"/>
              </w:rPr>
              <w:t>Pan-African citizens, diaspora networks, regulated institutional allocators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53" w:type="dxa"/>
            <w:shd w:val="clear" w:color="auto" w:fill="auto"/>
            <w:tcMar>
              <w:top w:w="150" w:type="dxa"/>
              <w:left w:w="0" w:type="dxa"/>
              <w:bottom w:w="150" w:type="dxa"/>
              <w:right w:w="240" w:type="dxa"/>
            </w:tcMar>
            <w:vAlign w:val="center"/>
          </w:tcPr>
          <w:p>
            <w:pPr>
              <w:rPr>
                <w:rFonts w:hint="default"/>
              </w:rPr>
            </w:pPr>
            <w:r>
              <w:rPr>
                <w:rFonts w:hint="default"/>
                <w:lang w:val="en-US" w:eastAsia="zh-CN"/>
              </w:rPr>
              <w:t>Operational Mandate</w:t>
            </w:r>
          </w:p>
        </w:tc>
        <w:tc>
          <w:tcPr>
            <w:tcW w:w="354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 xml:space="preserve">Consumption of consumer utilities on Jowih </w:t>
            </w:r>
            <w:r>
              <w:rPr>
                <w:rFonts w:hint="default"/>
                <w:lang w:eastAsia="zh-CN"/>
              </w:rPr>
              <w:t>Asta</w:t>
            </w:r>
          </w:p>
        </w:tc>
        <w:tc>
          <w:tcPr>
            <w:tcW w:w="383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 xml:space="preserve">Software integration via </w:t>
            </w:r>
            <w:r>
              <w:rPr>
                <w:rFonts w:hint="default"/>
                <w:lang w:eastAsia="zh-CN"/>
              </w:rPr>
              <w:t>Asta</w:t>
            </w:r>
            <w:r>
              <w:rPr>
                <w:rFonts w:hint="default"/>
                <w:lang w:val="en-US" w:eastAsia="zh-CN"/>
              </w:rPr>
              <w:t xml:space="preserve"> APIs and GAG infrastructure deployment</w:t>
            </w:r>
          </w:p>
        </w:tc>
        <w:tc>
          <w:tcPr>
            <w:tcW w:w="4190" w:type="dxa"/>
            <w:shd w:val="clear" w:color="auto" w:fill="auto"/>
            <w:tcMar>
              <w:top w:w="150" w:type="dxa"/>
              <w:left w:w="240" w:type="dxa"/>
              <w:bottom w:w="150" w:type="dxa"/>
              <w:right w:w="0" w:type="dxa"/>
            </w:tcMar>
            <w:vAlign w:val="center"/>
          </w:tcPr>
          <w:p>
            <w:pPr>
              <w:rPr>
                <w:rFonts w:hint="default"/>
              </w:rPr>
            </w:pPr>
            <w:r>
              <w:rPr>
                <w:rFonts w:hint="default"/>
                <w:lang w:val="en-US" w:eastAsia="zh-CN"/>
              </w:rPr>
              <w:t>Capital deployment into defined portfolios of commercialized Jowih assets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53" w:type="dxa"/>
            <w:shd w:val="clear" w:color="auto" w:fill="auto"/>
            <w:tcMar>
              <w:top w:w="150" w:type="dxa"/>
              <w:left w:w="0" w:type="dxa"/>
              <w:bottom w:w="150" w:type="dxa"/>
              <w:right w:w="240" w:type="dxa"/>
            </w:tcMar>
            <w:vAlign w:val="center"/>
          </w:tcPr>
          <w:p>
            <w:pPr>
              <w:rPr>
                <w:rFonts w:hint="default"/>
              </w:rPr>
            </w:pPr>
            <w:r>
              <w:rPr>
                <w:rFonts w:hint="default"/>
                <w:lang w:eastAsia="zh-CN"/>
              </w:rPr>
              <w:t>Ecosystem</w:t>
            </w:r>
            <w:r>
              <w:rPr>
                <w:rFonts w:hint="default"/>
                <w:lang w:val="en-US" w:eastAsia="zh-CN"/>
              </w:rPr>
              <w:t xml:space="preserve"> Returns</w:t>
            </w:r>
          </w:p>
        </w:tc>
        <w:tc>
          <w:tcPr>
            <w:tcW w:w="354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Platform utility, low-latency transactions, digital access</w:t>
            </w:r>
          </w:p>
        </w:tc>
        <w:tc>
          <w:tcPr>
            <w:tcW w:w="383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Commercial revenue, market penetration, API capabilities</w:t>
            </w:r>
          </w:p>
        </w:tc>
        <w:tc>
          <w:tcPr>
            <w:tcW w:w="4190" w:type="dxa"/>
            <w:shd w:val="clear" w:color="auto" w:fill="auto"/>
            <w:tcMar>
              <w:top w:w="150" w:type="dxa"/>
              <w:left w:w="240" w:type="dxa"/>
              <w:bottom w:w="150" w:type="dxa"/>
              <w:right w:w="0" w:type="dxa"/>
            </w:tcMar>
            <w:vAlign w:val="center"/>
          </w:tcPr>
          <w:p>
            <w:pPr>
              <w:rPr>
                <w:rFonts w:hint="default"/>
              </w:rPr>
            </w:pPr>
            <w:r>
              <w:rPr>
                <w:rFonts w:hint="default"/>
                <w:lang w:val="en-US" w:eastAsia="zh-CN"/>
              </w:rPr>
              <w:t>Economic exposure to the Net Asset Value of a defined portfolio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53" w:type="dxa"/>
            <w:shd w:val="clear" w:color="auto" w:fill="auto"/>
            <w:tcMar>
              <w:top w:w="150" w:type="dxa"/>
              <w:left w:w="0" w:type="dxa"/>
              <w:bottom w:w="150" w:type="dxa"/>
              <w:right w:w="240" w:type="dxa"/>
            </w:tcMar>
            <w:vAlign w:val="center"/>
          </w:tcPr>
          <w:p>
            <w:pPr>
              <w:rPr>
                <w:rFonts w:hint="default"/>
              </w:rPr>
            </w:pPr>
            <w:r>
              <w:rPr>
                <w:rFonts w:hint="default"/>
                <w:lang w:val="en-US" w:eastAsia="zh-CN"/>
              </w:rPr>
              <w:t>Governance Access</w:t>
            </w:r>
          </w:p>
        </w:tc>
        <w:tc>
          <w:tcPr>
            <w:tcW w:w="354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Zero Control. No ownership or voting rights in any Jowih entity.</w:t>
            </w:r>
          </w:p>
        </w:tc>
        <w:tc>
          <w:tcPr>
            <w:tcW w:w="383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Zero Control. Governed by bilateral commercial agreements.</w:t>
            </w:r>
          </w:p>
        </w:tc>
        <w:tc>
          <w:tcPr>
            <w:tcW w:w="4190" w:type="dxa"/>
            <w:shd w:val="clear" w:color="auto" w:fill="auto"/>
            <w:tcMar>
              <w:top w:w="150" w:type="dxa"/>
              <w:left w:w="240" w:type="dxa"/>
              <w:bottom w:w="150" w:type="dxa"/>
              <w:right w:w="0" w:type="dxa"/>
            </w:tcMar>
            <w:vAlign w:val="center"/>
          </w:tcPr>
          <w:p>
            <w:pPr>
              <w:rPr>
                <w:rFonts w:hint="default"/>
              </w:rPr>
            </w:pPr>
            <w:r>
              <w:rPr>
                <w:rFonts w:hint="default"/>
                <w:lang w:val="en-US" w:eastAsia="zh-CN"/>
              </w:rPr>
              <w:t>Zero Control. Restricted to fund-level economic distribution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53" w:type="dxa"/>
            <w:shd w:val="clear" w:color="auto" w:fill="auto"/>
            <w:tcMar>
              <w:top w:w="150" w:type="dxa"/>
              <w:left w:w="0" w:type="dxa"/>
              <w:bottom w:w="150" w:type="dxa"/>
              <w:right w:w="240" w:type="dxa"/>
            </w:tcMar>
            <w:vAlign w:val="center"/>
          </w:tcPr>
          <w:p>
            <w:pPr>
              <w:rPr>
                <w:rFonts w:hint="default"/>
              </w:rPr>
            </w:pPr>
            <w:r>
              <w:rPr>
                <w:rFonts w:hint="default"/>
                <w:lang w:val="en-US" w:eastAsia="zh-CN"/>
              </w:rPr>
              <w:t>Primary Instrument</w:t>
            </w:r>
          </w:p>
        </w:tc>
        <w:tc>
          <w:tcPr>
            <w:tcW w:w="354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Free-tier and usage-based access</w:t>
            </w:r>
          </w:p>
        </w:tc>
        <w:tc>
          <w:tcPr>
            <w:tcW w:w="383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SLAs, developer credentials, APIs</w:t>
            </w:r>
          </w:p>
        </w:tc>
        <w:tc>
          <w:tcPr>
            <w:tcW w:w="4190" w:type="dxa"/>
            <w:shd w:val="clear" w:color="auto" w:fill="auto"/>
            <w:tcMar>
              <w:top w:w="150" w:type="dxa"/>
              <w:left w:w="240" w:type="dxa"/>
              <w:bottom w:w="150" w:type="dxa"/>
              <w:right w:w="0" w:type="dxa"/>
            </w:tcMar>
            <w:vAlign w:val="center"/>
          </w:tcPr>
          <w:p>
            <w:pPr>
              <w:rPr>
                <w:rFonts w:hint="default"/>
              </w:rPr>
            </w:pPr>
            <w:r>
              <w:rPr>
                <w:rFonts w:hint="default"/>
                <w:lang w:val="en-US" w:eastAsia="zh-CN"/>
              </w:rPr>
              <w:t>Regulated investment units issued by a protected Variable Capital Company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53" w:type="dxa"/>
            <w:shd w:val="clear" w:color="auto" w:fill="auto"/>
            <w:tcMar>
              <w:top w:w="150" w:type="dxa"/>
              <w:left w:w="0" w:type="dxa"/>
              <w:bottom w:w="150" w:type="dxa"/>
              <w:right w:w="240" w:type="dxa"/>
            </w:tcMar>
            <w:vAlign w:val="center"/>
          </w:tcPr>
          <w:p>
            <w:pPr>
              <w:rPr>
                <w:rFonts w:hint="default"/>
              </w:rPr>
            </w:pPr>
            <w:r>
              <w:rPr>
                <w:rFonts w:hint="default"/>
                <w:lang w:val="en-US" w:eastAsia="zh-CN"/>
              </w:rPr>
              <w:t>Mission Layer Status</w:t>
            </w:r>
          </w:p>
        </w:tc>
        <w:tc>
          <w:tcPr>
            <w:tcW w:w="354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Permanently insulated</w:t>
            </w:r>
          </w:p>
        </w:tc>
        <w:tc>
          <w:tcPr>
            <w:tcW w:w="383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Permanently insulated</w:t>
            </w:r>
          </w:p>
        </w:tc>
        <w:tc>
          <w:tcPr>
            <w:tcW w:w="4190" w:type="dxa"/>
            <w:shd w:val="clear" w:color="auto" w:fill="auto"/>
            <w:tcMar>
              <w:top w:w="150" w:type="dxa"/>
              <w:left w:w="240" w:type="dxa"/>
              <w:bottom w:w="150" w:type="dxa"/>
              <w:right w:w="0" w:type="dxa"/>
            </w:tcMar>
            <w:vAlign w:val="center"/>
          </w:tcPr>
          <w:p>
            <w:pPr>
              <w:rPr>
                <w:rFonts w:hint="default"/>
              </w:rPr>
            </w:pPr>
            <w:r>
              <w:rPr>
                <w:rFonts w:hint="default"/>
                <w:lang w:val="en-US" w:eastAsia="zh-CN"/>
              </w:rPr>
              <w:t>Permanently insulated</w:t>
            </w:r>
          </w:p>
        </w:tc>
      </w:tr>
    </w:tbl>
    <w:p>
      <w:pPr>
        <w:rPr>
          <w:rFonts w:hint="default"/>
        </w:rPr>
      </w:pPr>
    </w:p>
    <w:p>
      <w:pPr>
        <w:rPr>
          <w:rFonts w:hint="default"/>
        </w:rPr>
      </w:pPr>
      <w:r>
        <w:rPr>
          <w:rFonts w:hint="default"/>
        </w:rPr>
        <w:t>Using Jowih does not make you an owner. Integrating with Jowih does not make you an owner. Investing in eligible Jowih commercial assets does not give you control of the Foundation.</w:t>
      </w:r>
    </w:p>
    <w:p>
      <w:pPr>
        <w:rPr>
          <w:rFonts w:hint="default"/>
        </w:rPr>
      </w:pPr>
      <w:r>
        <w:rPr>
          <w:rFonts w:hint="default"/>
        </w:rPr>
        <w:t>┌─────────────────────────────────────────────────────────────────────────────┐</w:t>
      </w:r>
    </w:p>
    <w:p>
      <w:pPr>
        <w:rPr>
          <w:rFonts w:hint="default"/>
        </w:rPr>
      </w:pPr>
      <w:r>
        <w:rPr>
          <w:rFonts w:hint="default"/>
        </w:rPr>
        <w:t xml:space="preserve">│ 1. THE MISSION LAYER (Non-Profit Strategic Control Plane)                   </w:t>
      </w:r>
    </w:p>
    <w:p>
      <w:pPr>
        <w:rPr>
          <w:rFonts w:hint="default"/>
        </w:rPr>
      </w:pPr>
      <w:r>
        <w:rPr>
          <w:rFonts w:hint="default"/>
        </w:rPr>
        <w:t xml:space="preserve">│                                                                             </w:t>
      </w:r>
    </w:p>
    <w:p>
      <w:pPr>
        <w:rPr>
          <w:rFonts w:hint="default"/>
        </w:rPr>
      </w:pPr>
      <w:r>
        <w:rPr>
          <w:rFonts w:hint="default"/>
        </w:rPr>
        <w:t xml:space="preserve">│   JOWIH FOUNDATION                                                          </w:t>
      </w:r>
    </w:p>
    <w:p>
      <w:pPr>
        <w:rPr>
          <w:rFonts w:hint="default"/>
        </w:rPr>
      </w:pPr>
      <w:r>
        <w:rPr>
          <w:rFonts w:hint="default"/>
        </w:rPr>
        <w:t xml:space="preserve">│   • Company Limited by Guarantee                                            </w:t>
      </w:r>
    </w:p>
    <w:p>
      <w:pPr>
        <w:rPr>
          <w:rFonts w:hint="default"/>
        </w:rPr>
      </w:pPr>
      <w:r>
        <w:rPr>
          <w:rFonts w:hint="default"/>
        </w:rPr>
        <w:t xml:space="preserve">│   • Permanent Statutory Asset Lock                                         </w:t>
      </w:r>
    </w:p>
    <w:p>
      <w:pPr>
        <w:rPr>
          <w:rFonts w:hint="default"/>
        </w:rPr>
      </w:pPr>
      <w:r>
        <w:rPr>
          <w:rFonts w:hint="default"/>
        </w:rPr>
        <w:t xml:space="preserve">│   • Irrevocable Non-Profit Mandate                                         </w:t>
      </w:r>
    </w:p>
    <w:p>
      <w:pPr>
        <w:rPr>
          <w:rFonts w:hint="default"/>
        </w:rPr>
      </w:pPr>
      <w:r>
        <w:rPr>
          <w:rFonts w:hint="default"/>
        </w:rPr>
        <w:t xml:space="preserve">│   • Constitutional Golden Vote over Systemic Architecture                   </w:t>
      </w:r>
    </w:p>
    <w:p>
      <w:pPr>
        <w:rPr>
          <w:rFonts w:hint="default"/>
        </w:rPr>
      </w:pPr>
      <w:r>
        <w:rPr>
          <w:rFonts w:hint="default"/>
        </w:rPr>
        <w:t xml:space="preserve">│                                                                             </w:t>
      </w:r>
    </w:p>
    <w:p>
      <w:pPr>
        <w:rPr>
          <w:rFonts w:hint="default"/>
        </w:rPr>
      </w:pPr>
      <w:r>
        <w:rPr>
          <w:rFonts w:hint="default"/>
        </w:rPr>
        <w:t xml:space="preserve">│   NON-DILUTABLE • INALIENABLE • PERMANENTLY MISSION-LOCKED                 </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 xml:space="preserve">                                      │ Receives 90% Upstream Economic Rights</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 xml:space="preserve">│ 2. OWNERSHIP &amp; GOVERNANCE LAYER (Corporate Holding Level)                   </w:t>
      </w:r>
    </w:p>
    <w:p>
      <w:pPr>
        <w:rPr>
          <w:rFonts w:hint="default"/>
        </w:rPr>
      </w:pPr>
      <w:r>
        <w:rPr>
          <w:rFonts w:hint="default"/>
        </w:rPr>
        <w:t xml:space="preserve">│                                                                             </w:t>
      </w:r>
    </w:p>
    <w:p>
      <w:pPr>
        <w:rPr>
          <w:rFonts w:hint="default"/>
        </w:rPr>
      </w:pPr>
      <w:r>
        <w:rPr>
          <w:rFonts w:hint="default"/>
        </w:rPr>
        <w:t xml:space="preserve">│   JOWIH HOLDINGS LIMITED                                                    </w:t>
      </w:r>
    </w:p>
    <w:p>
      <w:pPr>
        <w:rPr>
          <w:rFonts w:hint="default"/>
        </w:rPr>
      </w:pPr>
      <w:r>
        <w:rPr>
          <w:rFonts w:hint="default"/>
        </w:rPr>
        <w:t xml:space="preserve">│   • Holds 100% Equity Ownership of All Commercial Operating Subsidiaries    </w:t>
      </w:r>
    </w:p>
    <w:p>
      <w:pPr>
        <w:rPr>
          <w:rFonts w:hint="default"/>
        </w:rPr>
      </w:pPr>
      <w:r>
        <w:rPr>
          <w:rFonts w:hint="default"/>
        </w:rPr>
        <w:t xml:space="preserve">│   • Voting Control: 60% Purpose Trust | 40% Family Trust                    </w:t>
      </w:r>
    </w:p>
    <w:p>
      <w:pPr>
        <w:rPr>
          <w:rFonts w:hint="default"/>
        </w:rPr>
      </w:pPr>
      <w:r>
        <w:rPr>
          <w:rFonts w:hint="default"/>
        </w:rPr>
        <w:t xml:space="preserve">│   • Economic Allocation: 90% Jowih Foundation | 10% Family Trust            </w:t>
      </w:r>
    </w:p>
    <w:p>
      <w:pPr>
        <w:rPr>
          <w:rFonts w:hint="default"/>
        </w:rPr>
      </w:pPr>
      <w:r>
        <w:rPr>
          <w:rFonts w:hint="default"/>
        </w:rPr>
        <w:t xml:space="preserve">│                                                                             </w:t>
      </w:r>
    </w:p>
    <w:p>
      <w:pPr>
        <w:rPr>
          <w:rFonts w:hint="default"/>
        </w:rPr>
      </w:pPr>
      <w:r>
        <w:rPr>
          <w:rFonts w:hint="default"/>
        </w:rPr>
        <w:t xml:space="preserve">│   DIRECTS Ecosystem STRATEGY • DOES NOT ENGAGE IN OPERATIONS                </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 xml:space="preserve">                                      │ Mandates Operational &amp; Commercial Execution</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 3. OPERATING &amp; EXECUTION LAYER (The Commercial Engine)                                                                                                  │</w:t>
      </w:r>
    </w:p>
    <w:p>
      <w:pPr>
        <w:rPr>
          <w:rFonts w:hint="default"/>
        </w:rPr>
      </w:pPr>
      <w:r>
        <w:rPr>
          <w:rFonts w:hint="default"/>
        </w:rPr>
        <w:t xml:space="preserve">│   JOWIH GROUP                                                              </w:t>
      </w:r>
    </w:p>
    <w:p>
      <w:pPr>
        <w:rPr>
          <w:rFonts w:hint="default"/>
        </w:rPr>
      </w:pPr>
      <w:r>
        <w:rPr>
          <w:rFonts w:hint="default"/>
        </w:rPr>
        <w:t xml:space="preserve">│   • Unified operational management structure under Jowih Holdings          </w:t>
      </w:r>
    </w:p>
    <w:p>
      <w:pPr>
        <w:rPr>
          <w:rFonts w:hint="default"/>
        </w:rPr>
      </w:pPr>
      <w:r>
        <w:rPr>
          <w:rFonts w:hint="default"/>
        </w:rPr>
        <w:t xml:space="preserve">│   • Deploys and manages specialized commercial operating companies         </w:t>
      </w:r>
    </w:p>
    <w:p>
      <w:pPr>
        <w:rPr>
          <w:rFonts w:hint="default"/>
        </w:rPr>
      </w:pPr>
      <w:r>
        <w:rPr>
          <w:rFonts w:hint="default"/>
        </w:rPr>
        <w:t xml:space="preserve">│   • Coordinates physical delivery of Asta, Store, Search, and GAG assets    </w:t>
      </w:r>
    </w:p>
    <w:p>
      <w:pPr>
        <w:rPr>
          <w:rFonts w:hint="default"/>
        </w:rPr>
      </w:pPr>
      <w:r>
        <w:rPr>
          <w:rFonts w:hint="default"/>
        </w:rPr>
        <w:t xml:space="preserve">│                                                                             </w:t>
      </w:r>
    </w:p>
    <w:p>
      <w:pPr>
        <w:rPr>
          <w:rFonts w:hint="default"/>
        </w:rPr>
      </w:pPr>
      <w:r>
        <w:rPr>
          <w:rFonts w:hint="default"/>
        </w:rPr>
        <w:t xml:space="preserve">│   BUILDS • OPERATES • EXECUTES CONTINENTAL ROADMAP                          </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 xml:space="preserve">                                      │ Portfolios of Eligible Commercial Assets</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 xml:space="preserve">│ 4. INVESTMENT VEHICLE LAYER (Regulated Capital Entry)                      </w:t>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w:t>
      </w:r>
    </w:p>
    <w:p>
      <w:pPr>
        <w:rPr>
          <w:rFonts w:hint="default"/>
        </w:rPr>
      </w:pPr>
      <w:r>
        <w:rPr>
          <w:rFonts w:hint="default"/>
        </w:rPr>
        <w:t xml:space="preserve">│   JOWIH MASTER Ecosystem FUND (Mauritius VCC Structure)             </w:t>
      </w:r>
    </w:p>
    <w:p>
      <w:pPr>
        <w:rPr>
          <w:rFonts w:hint="default"/>
        </w:rPr>
      </w:pPr>
      <w:r>
        <w:rPr>
          <w:rFonts w:hint="default"/>
        </w:rPr>
        <w:t xml:space="preserve">│   • Holds Ring-Fenced, Segregated Baskets of Commercialized Assets          </w:t>
      </w:r>
    </w:p>
    <w:p>
      <w:pPr>
        <w:rPr>
          <w:rFonts w:hint="default"/>
        </w:rPr>
      </w:pPr>
      <w:r>
        <w:rPr>
          <w:rFonts w:hint="default"/>
        </w:rPr>
        <w:t xml:space="preserve">│   • Issues Regulated Non-Voting Investment Units to Citizens and Diaspora   </w:t>
      </w:r>
    </w:p>
    <w:p>
      <w:pPr>
        <w:rPr>
          <w:rFonts w:hint="default"/>
        </w:rPr>
      </w:pPr>
      <w:r>
        <w:rPr>
          <w:rFonts w:hint="default"/>
        </w:rPr>
        <w:t xml:space="preserve">│   • Delivers Pure Economic Exposure, Structured Yields, Liquidity Rails     </w:t>
      </w:r>
    </w:p>
    <w:p>
      <w:pPr>
        <w:rPr>
          <w:rFonts w:hint="default"/>
        </w:rPr>
      </w:pPr>
      <w:r>
        <w:rPr>
          <w:rFonts w:hint="default"/>
        </w:rPr>
        <w:t xml:space="preserve">│                                                                             </w:t>
      </w:r>
    </w:p>
    <w:p>
      <w:pPr>
        <w:rPr>
          <w:rFonts w:hint="default"/>
        </w:rPr>
      </w:pPr>
      <w:r>
        <w:rPr>
          <w:rFonts w:hint="default"/>
        </w:rPr>
        <w:t xml:space="preserve">│   ECONOMIC PARTICIPATION INTERFACE • ZERO GOVERNANCE ENTRY                  </w:t>
      </w:r>
    </w:p>
    <w:p>
      <w:pPr>
        <w:rPr>
          <w:rFonts w:hint="default"/>
        </w:rPr>
      </w:pPr>
      <w:r>
        <w:rPr>
          <w:rFonts w:hint="default"/>
        </w:rPr>
        <w:t>└─────────────────────────────────────────────────────────────────────────────┘</w:t>
      </w:r>
    </w:p>
    <w:p>
      <w:pPr>
        <w:rPr>
          <w:rFonts w:hint="default"/>
          <w:b/>
          <w:bCs/>
        </w:rPr>
      </w:pPr>
      <w:r>
        <w:rPr>
          <w:rFonts w:hint="default"/>
          <w:b/>
          <w:bCs/>
        </w:rPr>
        <w:t>IV. THE Jowih 100 INDEX</w:t>
      </w:r>
    </w:p>
    <w:p>
      <w:pPr>
        <w:rPr>
          <w:rFonts w:hint="default"/>
        </w:rPr>
      </w:pPr>
      <w:r>
        <w:rPr>
          <w:rFonts w:hint="default"/>
        </w:rPr>
        <w:t>The Jowih Master Ecosystem Fund is the definitive index of the top 500 eligible commercial enterprises across Africa, including Jowih's own operating companies.</w:t>
      </w:r>
    </w:p>
    <w:p>
      <w:pPr>
        <w:rPr>
          <w:rFonts w:hint="default"/>
        </w:rPr>
      </w:pPr>
      <w:r>
        <w:rPr>
          <w:rFonts w:hint="default"/>
        </w:rPr>
        <w:t>When an investor buys a Master Ecosystem Unit, they are buying a fractional piece of the entire Jowih 100.</w:t>
      </w:r>
    </w:p>
    <w:p>
      <w:pPr>
        <w:rPr>
          <w:rFonts w:hint="default"/>
        </w:rPr>
      </w:pPr>
      <w:r>
        <w:rPr>
          <w:rFonts w:hint="default"/>
        </w:rPr>
        <w:t>Composition</w:t>
      </w:r>
    </w:p>
    <w:p>
      <w:pPr>
        <w:rPr>
          <w:rFonts w:hint="default"/>
        </w:rPr>
      </w:pPr>
      <w:r>
        <w:rPr>
          <w:rFonts w:hint="default"/>
        </w:rPr>
        <w:t>The 500 seats are divided into two structural buckets:</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38"/>
        <w:gridCol w:w="1190"/>
        <w:gridCol w:w="83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738"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Bucket</w:t>
            </w:r>
          </w:p>
        </w:tc>
        <w:tc>
          <w:tcPr>
            <w:tcW w:w="1190"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Weight</w:t>
            </w:r>
          </w:p>
        </w:tc>
        <w:tc>
          <w:tcPr>
            <w:tcW w:w="835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Composition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738" w:type="dxa"/>
            <w:shd w:val="clear" w:color="auto" w:fill="auto"/>
            <w:tcMar>
              <w:top w:w="150" w:type="dxa"/>
              <w:left w:w="0" w:type="dxa"/>
              <w:bottom w:w="150" w:type="dxa"/>
              <w:right w:w="240" w:type="dxa"/>
            </w:tcMar>
            <w:vAlign w:val="center"/>
          </w:tcPr>
          <w:p>
            <w:pPr>
              <w:rPr>
                <w:rFonts w:hint="default"/>
              </w:rPr>
            </w:pPr>
            <w:r>
              <w:rPr>
                <w:rFonts w:hint="default"/>
                <w:lang w:val="en-US" w:eastAsia="zh-CN"/>
              </w:rPr>
              <w:t>Jowih Core</w:t>
            </w:r>
          </w:p>
        </w:tc>
        <w:tc>
          <w:tcPr>
            <w:tcW w:w="119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30%</w:t>
            </w:r>
          </w:p>
        </w:tc>
        <w:tc>
          <w:tcPr>
            <w:tcW w:w="8352" w:type="dxa"/>
            <w:shd w:val="clear" w:color="auto" w:fill="auto"/>
            <w:tcMar>
              <w:top w:w="150" w:type="dxa"/>
              <w:left w:w="240" w:type="dxa"/>
              <w:bottom w:w="150" w:type="dxa"/>
              <w:right w:w="0" w:type="dxa"/>
            </w:tcMar>
            <w:vAlign w:val="center"/>
          </w:tcPr>
          <w:p>
            <w:pPr>
              <w:rPr>
                <w:rFonts w:hint="default"/>
              </w:rPr>
            </w:pPr>
            <w:r>
              <w:rPr>
                <w:rFonts w:hint="default"/>
                <w:lang w:eastAsia="zh-CN"/>
              </w:rPr>
              <w:t xml:space="preserve">Qualified </w:t>
            </w:r>
            <w:r>
              <w:rPr>
                <w:rFonts w:hint="default"/>
                <w:lang w:val="en-US" w:eastAsia="zh-CN"/>
              </w:rPr>
              <w:t xml:space="preserve">Jowih Group companies </w:t>
            </w:r>
            <w:r>
              <w:rPr>
                <w:rFonts w:hint="default"/>
                <w:lang w:eastAsia="zh-CN"/>
              </w:rPr>
              <w:t>-GAG spin-off companies,</w:t>
            </w:r>
            <w:r>
              <w:rPr>
                <w:rFonts w:hint="default"/>
                <w:lang w:val="en-US" w:eastAsia="zh-CN"/>
              </w:rPr>
              <w:t xml:space="preserve"> </w:t>
            </w:r>
            <w:r>
              <w:rPr>
                <w:rFonts w:hint="default"/>
                <w:lang w:eastAsia="zh-CN"/>
              </w:rPr>
              <w:t>Asta</w:t>
            </w:r>
            <w:r>
              <w:rPr>
                <w:rFonts w:hint="default"/>
                <w:lang w:val="en-US" w:eastAsia="zh-CN"/>
              </w:rPr>
              <w:t>, Data Centers, AI, CRT, Air Jowih, Energy, Manufacturing</w:t>
            </w:r>
            <w:r>
              <w:rPr>
                <w:rFonts w:hint="default"/>
                <w:lang w:eastAsia="zh-CN"/>
              </w:rPr>
              <w:t xml:space="preserve">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738" w:type="dxa"/>
            <w:shd w:val="clear" w:color="auto" w:fill="auto"/>
            <w:tcMar>
              <w:top w:w="150" w:type="dxa"/>
              <w:left w:w="0" w:type="dxa"/>
              <w:bottom w:w="150" w:type="dxa"/>
              <w:right w:w="240" w:type="dxa"/>
            </w:tcMar>
            <w:vAlign w:val="center"/>
          </w:tcPr>
          <w:p>
            <w:pPr>
              <w:rPr>
                <w:rFonts w:hint="default"/>
              </w:rPr>
            </w:pPr>
            <w:r>
              <w:rPr>
                <w:rFonts w:hint="default"/>
                <w:lang w:eastAsia="zh-CN"/>
              </w:rPr>
              <w:t>Ecosystem</w:t>
            </w:r>
            <w:r>
              <w:rPr>
                <w:rFonts w:hint="default"/>
                <w:lang w:val="en-US" w:eastAsia="zh-CN"/>
              </w:rPr>
              <w:t xml:space="preserve"> Partners</w:t>
            </w:r>
          </w:p>
        </w:tc>
        <w:tc>
          <w:tcPr>
            <w:tcW w:w="119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70%</w:t>
            </w:r>
          </w:p>
        </w:tc>
        <w:tc>
          <w:tcPr>
            <w:tcW w:w="8352" w:type="dxa"/>
            <w:shd w:val="clear" w:color="auto" w:fill="auto"/>
            <w:tcMar>
              <w:top w:w="150" w:type="dxa"/>
              <w:left w:w="240" w:type="dxa"/>
              <w:bottom w:w="150" w:type="dxa"/>
              <w:right w:w="0" w:type="dxa"/>
            </w:tcMar>
            <w:vAlign w:val="center"/>
          </w:tcPr>
          <w:p>
            <w:pPr>
              <w:rPr>
                <w:rFonts w:hint="default"/>
              </w:rPr>
            </w:pPr>
            <w:r>
              <w:rPr>
                <w:rFonts w:hint="default"/>
                <w:lang w:eastAsia="zh-CN"/>
              </w:rPr>
              <w:t xml:space="preserve">Qualified </w:t>
            </w:r>
            <w:r>
              <w:rPr>
                <w:rFonts w:hint="default"/>
                <w:lang w:val="en-US" w:eastAsia="zh-CN"/>
              </w:rPr>
              <w:t>Top-tier third-party African companies across Logistics, Energy, Fintech, Agritech, Utilities, Infrastructure, Manufacturing, Healthcare, Education</w:t>
            </w:r>
          </w:p>
        </w:tc>
      </w:tr>
    </w:tbl>
    <w:p>
      <w:pPr>
        <w:rPr>
          <w:rFonts w:hint="default"/>
        </w:rPr>
      </w:pPr>
      <w:r>
        <w:rPr>
          <w:rFonts w:hint="default"/>
        </w:rPr>
        <w:t>The exact number of Jowih companies versus partner companies within the 500 will be defined as the Ecosystem matures. The weight split is fixed: 30% core, 70% partners.</w:t>
      </w:r>
    </w:p>
    <w:p>
      <w:pPr>
        <w:rPr>
          <w:rFonts w:hint="default"/>
          <w:b/>
          <w:bCs/>
        </w:rPr>
      </w:pPr>
      <w:r>
        <w:rPr>
          <w:rFonts w:hint="default"/>
          <w:b/>
          <w:bCs/>
        </w:rPr>
        <w:t>Eligibility Criteria</w:t>
      </w:r>
    </w:p>
    <w:p>
      <w:pPr>
        <w:rPr>
          <w:rFonts w:hint="default"/>
        </w:rPr>
      </w:pPr>
      <w:r>
        <w:rPr>
          <w:rFonts w:hint="default"/>
        </w:rPr>
        <w:t>No company enters the Jowih 100 by exception. It enters by qualification. Jowih companies included.</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92"/>
        <w:gridCol w:w="89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292" w:type="dxa"/>
            <w:tcBorders>
              <w:top w:val="nil"/>
            </w:tcBorders>
            <w:shd w:val="clear" w:color="auto" w:fill="auto"/>
            <w:tcMar>
              <w:top w:w="150" w:type="dxa"/>
              <w:left w:w="0" w:type="dxa"/>
              <w:bottom w:w="150" w:type="dxa"/>
              <w:right w:w="240" w:type="dxa"/>
            </w:tcMar>
            <w:vAlign w:val="center"/>
          </w:tcPr>
          <w:p>
            <w:pPr>
              <w:rPr>
                <w:rFonts w:hint="default"/>
                <w:b/>
                <w:bCs/>
              </w:rPr>
            </w:pPr>
            <w:r>
              <w:rPr>
                <w:rFonts w:hint="default"/>
                <w:b/>
                <w:bCs/>
                <w:lang w:val="en-US" w:eastAsia="zh-CN"/>
              </w:rPr>
              <w:t>Criterion</w:t>
            </w:r>
          </w:p>
        </w:tc>
        <w:tc>
          <w:tcPr>
            <w:tcW w:w="8988"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Requirement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Operational History</w:t>
            </w:r>
          </w:p>
        </w:tc>
        <w:tc>
          <w:tcPr>
            <w:tcW w:w="8988" w:type="dxa"/>
            <w:shd w:val="clear" w:color="auto" w:fill="auto"/>
            <w:tcMar>
              <w:top w:w="150" w:type="dxa"/>
              <w:left w:w="240" w:type="dxa"/>
              <w:bottom w:w="150" w:type="dxa"/>
              <w:right w:w="0" w:type="dxa"/>
            </w:tcMar>
            <w:vAlign w:val="center"/>
          </w:tcPr>
          <w:p>
            <w:pPr>
              <w:rPr>
                <w:rFonts w:hint="default"/>
              </w:rPr>
            </w:pPr>
            <w:r>
              <w:rPr>
                <w:rFonts w:hint="default"/>
                <w:lang w:val="en-US" w:eastAsia="zh-CN"/>
              </w:rPr>
              <w:t>Minimum defined period of audited operational execution and infrastructure output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Financial Auditing</w:t>
            </w:r>
          </w:p>
        </w:tc>
        <w:tc>
          <w:tcPr>
            <w:tcW w:w="8988" w:type="dxa"/>
            <w:shd w:val="clear" w:color="auto" w:fill="auto"/>
            <w:tcMar>
              <w:top w:w="150" w:type="dxa"/>
              <w:left w:w="240" w:type="dxa"/>
              <w:bottom w:w="150" w:type="dxa"/>
              <w:right w:w="0" w:type="dxa"/>
            </w:tcMar>
            <w:vAlign w:val="center"/>
          </w:tcPr>
          <w:p>
            <w:pPr>
              <w:rPr>
                <w:rFonts w:hint="default"/>
              </w:rPr>
            </w:pPr>
            <w:r>
              <w:rPr>
                <w:rFonts w:hint="default"/>
                <w:lang w:val="en-US" w:eastAsia="zh-CN"/>
              </w:rPr>
              <w:t>Unqualified, clean financial statements from independent, internationally certified auditors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Proven Viability</w:t>
            </w:r>
          </w:p>
        </w:tc>
        <w:tc>
          <w:tcPr>
            <w:tcW w:w="8988" w:type="dxa"/>
            <w:shd w:val="clear" w:color="auto" w:fill="auto"/>
            <w:tcMar>
              <w:top w:w="150" w:type="dxa"/>
              <w:left w:w="240" w:type="dxa"/>
              <w:bottom w:w="150" w:type="dxa"/>
              <w:right w:w="0" w:type="dxa"/>
            </w:tcMar>
            <w:vAlign w:val="center"/>
          </w:tcPr>
          <w:p>
            <w:pPr>
              <w:rPr>
                <w:rFonts w:hint="default"/>
              </w:rPr>
            </w:pPr>
            <w:r>
              <w:rPr>
                <w:rFonts w:hint="default"/>
                <w:lang w:val="en-US" w:eastAsia="zh-CN"/>
              </w:rPr>
              <w:t>Documented positive cash flow or a verified, structurally validated path to profitability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Corporate Compliance</w:t>
            </w:r>
          </w:p>
        </w:tc>
        <w:tc>
          <w:tcPr>
            <w:tcW w:w="8988" w:type="dxa"/>
            <w:shd w:val="clear" w:color="auto" w:fill="auto"/>
            <w:tcMar>
              <w:top w:w="150" w:type="dxa"/>
              <w:left w:w="240" w:type="dxa"/>
              <w:bottom w:w="150" w:type="dxa"/>
              <w:right w:w="0" w:type="dxa"/>
            </w:tcMar>
            <w:vAlign w:val="center"/>
          </w:tcPr>
          <w:p>
            <w:pPr>
              <w:rPr>
                <w:rFonts w:hint="default"/>
              </w:rPr>
            </w:pPr>
            <w:r>
              <w:rPr>
                <w:rFonts w:hint="default"/>
                <w:lang w:val="en-US" w:eastAsia="zh-CN"/>
              </w:rPr>
              <w:t>Full adherence to local tax laws, anti-corruption mandates, and data sovereignty rules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Governance Standards</w:t>
            </w:r>
          </w:p>
        </w:tc>
        <w:tc>
          <w:tcPr>
            <w:tcW w:w="8988" w:type="dxa"/>
            <w:shd w:val="clear" w:color="auto" w:fill="auto"/>
            <w:tcMar>
              <w:top w:w="150" w:type="dxa"/>
              <w:left w:w="240" w:type="dxa"/>
              <w:bottom w:w="150" w:type="dxa"/>
              <w:right w:w="0" w:type="dxa"/>
            </w:tcMar>
            <w:vAlign w:val="center"/>
          </w:tcPr>
          <w:p>
            <w:pPr>
              <w:rPr>
                <w:rFonts w:hint="default"/>
              </w:rPr>
            </w:pPr>
            <w:r>
              <w:rPr>
                <w:rFonts w:hint="default"/>
                <w:lang w:val="en-US" w:eastAsia="zh-CN"/>
              </w:rPr>
              <w:t xml:space="preserve">Board structure, transparency, and reporting that meet </w:t>
            </w:r>
            <w:r>
              <w:rPr>
                <w:rFonts w:hint="default"/>
                <w:lang w:eastAsia="zh-CN"/>
              </w:rPr>
              <w:t xml:space="preserve">relevant </w:t>
            </w:r>
            <w:r>
              <w:rPr>
                <w:rFonts w:hint="default"/>
                <w:lang w:val="en-US" w:eastAsia="zh-CN"/>
              </w:rPr>
              <w:t>institutional baseline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Mission Alignment</w:t>
            </w:r>
          </w:p>
        </w:tc>
        <w:tc>
          <w:tcPr>
            <w:tcW w:w="8988" w:type="dxa"/>
            <w:shd w:val="clear" w:color="auto" w:fill="auto"/>
            <w:tcMar>
              <w:top w:w="150" w:type="dxa"/>
              <w:left w:w="240" w:type="dxa"/>
              <w:bottom w:w="150" w:type="dxa"/>
              <w:right w:w="0" w:type="dxa"/>
            </w:tcMar>
            <w:vAlign w:val="center"/>
          </w:tcPr>
          <w:p>
            <w:pPr>
              <w:rPr>
                <w:rFonts w:hint="default"/>
              </w:rPr>
            </w:pPr>
            <w:r>
              <w:rPr>
                <w:rFonts w:hint="default"/>
                <w:lang w:val="en-US" w:eastAsia="zh-CN"/>
              </w:rPr>
              <w:t>Alignment with the mission of continental development and technological sovereignty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Sovereign Valuation</w:t>
            </w:r>
          </w:p>
        </w:tc>
        <w:tc>
          <w:tcPr>
            <w:tcW w:w="8988" w:type="dxa"/>
            <w:shd w:val="clear" w:color="auto" w:fill="auto"/>
            <w:tcMar>
              <w:top w:w="150" w:type="dxa"/>
              <w:left w:w="240" w:type="dxa"/>
              <w:bottom w:w="150" w:type="dxa"/>
              <w:right w:w="0" w:type="dxa"/>
            </w:tcMar>
            <w:vAlign w:val="center"/>
          </w:tcPr>
          <w:p>
            <w:pPr>
              <w:rPr>
                <w:rFonts w:hint="default"/>
              </w:rPr>
            </w:pPr>
            <w:r>
              <w:rPr>
                <w:rFonts w:hint="default"/>
                <w:lang w:val="en-US" w:eastAsia="zh-CN"/>
              </w:rPr>
              <w:t>Independent third-party asset valuation to establish starting NAV before unit issuance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2" w:type="dxa"/>
            <w:shd w:val="clear" w:color="auto" w:fill="auto"/>
            <w:tcMar>
              <w:top w:w="150" w:type="dxa"/>
              <w:left w:w="0" w:type="dxa"/>
              <w:bottom w:w="150" w:type="dxa"/>
              <w:right w:w="240" w:type="dxa"/>
            </w:tcMar>
            <w:vAlign w:val="center"/>
          </w:tcPr>
          <w:p>
            <w:pPr>
              <w:rPr>
                <w:rFonts w:hint="default"/>
              </w:rPr>
            </w:pPr>
            <w:r>
              <w:rPr>
                <w:rFonts w:hint="default"/>
                <w:lang w:eastAsia="zh-CN"/>
              </w:rPr>
              <w:t>Asta</w:t>
            </w:r>
            <w:r>
              <w:rPr>
                <w:rFonts w:hint="default"/>
                <w:lang w:val="en-US" w:eastAsia="zh-CN"/>
              </w:rPr>
              <w:t xml:space="preserve"> Integration</w:t>
            </w:r>
          </w:p>
        </w:tc>
        <w:tc>
          <w:tcPr>
            <w:tcW w:w="8988" w:type="dxa"/>
            <w:shd w:val="clear" w:color="auto" w:fill="auto"/>
            <w:tcMar>
              <w:top w:w="150" w:type="dxa"/>
              <w:left w:w="240" w:type="dxa"/>
              <w:bottom w:w="150" w:type="dxa"/>
              <w:right w:w="0" w:type="dxa"/>
            </w:tcMar>
            <w:vAlign w:val="center"/>
          </w:tcPr>
          <w:p>
            <w:pPr>
              <w:rPr>
                <w:rFonts w:hint="default"/>
              </w:rPr>
            </w:pPr>
            <w:r>
              <w:rPr>
                <w:rFonts w:hint="default"/>
                <w:lang w:val="en-US" w:eastAsia="zh-CN"/>
              </w:rPr>
              <w:t xml:space="preserve">Active participation in the Jowih </w:t>
            </w:r>
            <w:r>
              <w:rPr>
                <w:rFonts w:hint="default"/>
                <w:lang w:eastAsia="zh-CN"/>
              </w:rPr>
              <w:t>Ecosystem</w:t>
            </w:r>
            <w:r>
              <w:rPr>
                <w:rFonts w:hint="default"/>
                <w:lang w:val="en-US" w:eastAsia="zh-CN"/>
              </w:rPr>
              <w:t xml:space="preserve"> </w:t>
            </w:r>
            <w:r>
              <w:rPr>
                <w:rFonts w:hint="default"/>
                <w:lang w:eastAsia="zh-CN"/>
              </w:rPr>
              <w:t>-Asta</w:t>
            </w:r>
            <w:r>
              <w:rPr>
                <w:rFonts w:hint="default"/>
                <w:lang w:val="en-US" w:eastAsia="zh-CN"/>
              </w:rPr>
              <w:t xml:space="preserve"> integration, GAG alignment, or partner registry status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Scalability</w:t>
            </w:r>
          </w:p>
        </w:tc>
        <w:tc>
          <w:tcPr>
            <w:tcW w:w="8988" w:type="dxa"/>
            <w:shd w:val="clear" w:color="auto" w:fill="auto"/>
            <w:tcMar>
              <w:top w:w="150" w:type="dxa"/>
              <w:left w:w="240" w:type="dxa"/>
              <w:bottom w:w="150" w:type="dxa"/>
              <w:right w:w="0" w:type="dxa"/>
            </w:tcMar>
            <w:vAlign w:val="center"/>
          </w:tcPr>
          <w:p>
            <w:pPr>
              <w:rPr>
                <w:rFonts w:hint="default"/>
              </w:rPr>
            </w:pPr>
            <w:r>
              <w:rPr>
                <w:rFonts w:hint="default"/>
                <w:lang w:val="en-US" w:eastAsia="zh-CN"/>
              </w:rPr>
              <w:t>Demonstrated ability to scale across markets or sectors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Data Compliance</w:t>
            </w:r>
          </w:p>
        </w:tc>
        <w:tc>
          <w:tcPr>
            <w:tcW w:w="8988" w:type="dxa"/>
            <w:shd w:val="clear" w:color="auto" w:fill="auto"/>
            <w:tcMar>
              <w:top w:w="150" w:type="dxa"/>
              <w:left w:w="240" w:type="dxa"/>
              <w:bottom w:w="150" w:type="dxa"/>
              <w:right w:w="0" w:type="dxa"/>
            </w:tcMar>
            <w:vAlign w:val="center"/>
          </w:tcPr>
          <w:p>
            <w:pPr>
              <w:rPr>
                <w:rFonts w:hint="default"/>
              </w:rPr>
            </w:pPr>
            <w:r>
              <w:rPr>
                <w:rFonts w:hint="default"/>
                <w:lang w:val="en-US" w:eastAsia="zh-CN"/>
              </w:rPr>
              <w:t xml:space="preserve">Adherence to </w:t>
            </w:r>
            <w:r>
              <w:rPr>
                <w:rFonts w:hint="default"/>
                <w:lang w:eastAsia="zh-CN"/>
              </w:rPr>
              <w:t xml:space="preserve">required </w:t>
            </w:r>
            <w:r>
              <w:rPr>
                <w:rFonts w:hint="default"/>
                <w:lang w:val="en-US" w:eastAsia="zh-CN"/>
              </w:rPr>
              <w:t xml:space="preserve">data residency, privacy, and sovereignty </w:t>
            </w:r>
            <w:r>
              <w:rPr>
                <w:rFonts w:hint="default"/>
                <w:lang w:eastAsia="zh-CN"/>
              </w:rPr>
              <w:t>.</w:t>
            </w:r>
          </w:p>
        </w:tc>
      </w:tr>
    </w:tbl>
    <w:p>
      <w:pPr>
        <w:rPr>
          <w:rFonts w:hint="default"/>
        </w:rPr>
      </w:pPr>
    </w:p>
    <w:p>
      <w:pPr>
        <w:rPr>
          <w:rFonts w:hint="default"/>
          <w:b/>
          <w:bCs/>
        </w:rPr>
      </w:pPr>
      <w:r>
        <w:rPr>
          <w:rFonts w:hint="default"/>
          <w:b/>
          <w:bCs/>
        </w:rPr>
        <w:t>V. THE LEGAL VEHICLE: MAURITIUS VARIABLE CAPITAL COMPANY (VCC)</w:t>
      </w:r>
    </w:p>
    <w:p>
      <w:pPr>
        <w:rPr>
          <w:rFonts w:hint="default"/>
        </w:rPr>
      </w:pPr>
      <w:r>
        <w:rPr>
          <w:rFonts w:hint="default"/>
        </w:rPr>
        <w:t>Jowih utilizes the Variable Capital Company framework of Mauritius to institutionalize structural isolation. The VCC operates as a single legal entity empowered to establish contractually and statutorily segregated sub-funds, isolating assets and liabilities across different commercial sectors.</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889"/>
        <w:gridCol w:w="83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889" w:type="dxa"/>
            <w:tcBorders>
              <w:top w:val="nil"/>
            </w:tcBorders>
            <w:shd w:val="clear" w:color="auto" w:fill="auto"/>
            <w:tcMar>
              <w:top w:w="150" w:type="dxa"/>
              <w:left w:w="0" w:type="dxa"/>
              <w:bottom w:w="150" w:type="dxa"/>
              <w:right w:w="240" w:type="dxa"/>
            </w:tcMar>
            <w:vAlign w:val="center"/>
          </w:tcPr>
          <w:p>
            <w:pPr>
              <w:rPr>
                <w:rFonts w:hint="default"/>
                <w:b/>
                <w:bCs/>
              </w:rPr>
            </w:pPr>
            <w:r>
              <w:rPr>
                <w:rFonts w:hint="default"/>
                <w:b/>
                <w:bCs/>
                <w:lang w:val="en-US" w:eastAsia="zh-CN"/>
              </w:rPr>
              <w:t>VCC Feature</w:t>
            </w:r>
          </w:p>
        </w:tc>
        <w:tc>
          <w:tcPr>
            <w:tcW w:w="8391"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 xml:space="preserve">Function within the Jowih </w:t>
            </w:r>
            <w:r>
              <w:rPr>
                <w:rFonts w:hint="default"/>
                <w:b/>
                <w:bCs/>
                <w:lang w:eastAsia="zh-CN"/>
              </w:rPr>
              <w:t>Ecosystem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89" w:type="dxa"/>
            <w:shd w:val="clear" w:color="auto" w:fill="auto"/>
            <w:tcMar>
              <w:top w:w="150" w:type="dxa"/>
              <w:left w:w="0" w:type="dxa"/>
              <w:bottom w:w="150" w:type="dxa"/>
              <w:right w:w="240" w:type="dxa"/>
            </w:tcMar>
            <w:vAlign w:val="center"/>
          </w:tcPr>
          <w:p>
            <w:pPr>
              <w:rPr>
                <w:rFonts w:hint="default"/>
              </w:rPr>
            </w:pPr>
            <w:r>
              <w:rPr>
                <w:rFonts w:hint="default"/>
                <w:lang w:val="en-US" w:eastAsia="zh-CN"/>
              </w:rPr>
              <w:t>Segregated Sub-Funds</w:t>
            </w:r>
          </w:p>
        </w:tc>
        <w:tc>
          <w:tcPr>
            <w:tcW w:w="83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Partitions independent commercial divisions into distinct, ring-fenced investment cells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89" w:type="dxa"/>
            <w:shd w:val="clear" w:color="auto" w:fill="auto"/>
            <w:tcMar>
              <w:top w:w="150" w:type="dxa"/>
              <w:left w:w="0" w:type="dxa"/>
              <w:bottom w:w="150" w:type="dxa"/>
              <w:right w:w="240" w:type="dxa"/>
            </w:tcMar>
            <w:vAlign w:val="center"/>
          </w:tcPr>
          <w:p>
            <w:pPr>
              <w:rPr>
                <w:rFonts w:hint="default"/>
              </w:rPr>
            </w:pPr>
            <w:r>
              <w:rPr>
                <w:rFonts w:hint="default"/>
                <w:lang w:val="en-US" w:eastAsia="zh-CN"/>
              </w:rPr>
              <w:t>Separate Legal Personality</w:t>
            </w:r>
          </w:p>
        </w:tc>
        <w:tc>
          <w:tcPr>
            <w:tcW w:w="83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Enforces complete cell-level asset insulation. Liabilities of one sub-fund cannot attach to another.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89" w:type="dxa"/>
            <w:shd w:val="clear" w:color="auto" w:fill="auto"/>
            <w:tcMar>
              <w:top w:w="150" w:type="dxa"/>
              <w:left w:w="0" w:type="dxa"/>
              <w:bottom w:w="150" w:type="dxa"/>
              <w:right w:w="240" w:type="dxa"/>
            </w:tcMar>
            <w:vAlign w:val="center"/>
          </w:tcPr>
          <w:p>
            <w:pPr>
              <w:rPr>
                <w:rFonts w:hint="default"/>
              </w:rPr>
            </w:pPr>
            <w:r>
              <w:rPr>
                <w:rFonts w:hint="default"/>
                <w:lang w:val="en-US" w:eastAsia="zh-CN"/>
              </w:rPr>
              <w:t>Unified Master Licensing</w:t>
            </w:r>
          </w:p>
        </w:tc>
        <w:tc>
          <w:tcPr>
            <w:tcW w:w="83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A single Global Business Licence covers the core VCC structure and all downstream sub-funds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89"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Infinite Sub-Fund Scalability</w:t>
            </w:r>
          </w:p>
        </w:tc>
        <w:tc>
          <w:tcPr>
            <w:tcW w:w="83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New investment cells can be introduced as the GAG expands, without altering the corporate shell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89" w:type="dxa"/>
            <w:shd w:val="clear" w:color="auto" w:fill="auto"/>
            <w:tcMar>
              <w:top w:w="150" w:type="dxa"/>
              <w:left w:w="0" w:type="dxa"/>
              <w:bottom w:w="150" w:type="dxa"/>
              <w:right w:w="240" w:type="dxa"/>
            </w:tcMar>
            <w:vAlign w:val="center"/>
          </w:tcPr>
          <w:p>
            <w:pPr>
              <w:rPr>
                <w:rFonts w:hint="default"/>
              </w:rPr>
            </w:pPr>
            <w:r>
              <w:rPr>
                <w:rFonts w:hint="default"/>
                <w:lang w:val="en-US" w:eastAsia="zh-CN"/>
              </w:rPr>
              <w:t>Consolidated Tax Architecture</w:t>
            </w:r>
          </w:p>
        </w:tc>
        <w:tc>
          <w:tcPr>
            <w:tcW w:w="83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Losses in one sub-fund can offset gains in another under a single tax return option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89" w:type="dxa"/>
            <w:shd w:val="clear" w:color="auto" w:fill="auto"/>
            <w:tcMar>
              <w:top w:w="150" w:type="dxa"/>
              <w:left w:w="0" w:type="dxa"/>
              <w:bottom w:w="150" w:type="dxa"/>
              <w:right w:w="240" w:type="dxa"/>
            </w:tcMar>
            <w:vAlign w:val="center"/>
          </w:tcPr>
          <w:p>
            <w:pPr>
              <w:rPr>
                <w:rFonts w:hint="default"/>
              </w:rPr>
            </w:pPr>
            <w:r>
              <w:rPr>
                <w:rFonts w:hint="default"/>
                <w:lang w:val="en-US" w:eastAsia="zh-CN"/>
              </w:rPr>
              <w:t>Autonomous Tax Residency</w:t>
            </w:r>
          </w:p>
        </w:tc>
        <w:tc>
          <w:tcPr>
            <w:tcW w:w="83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Individual sub-funds secure independent Tax Residency Certificates for treaty protections</w:t>
            </w:r>
          </w:p>
        </w:tc>
      </w:tr>
    </w:tbl>
    <w:p>
      <w:pPr>
        <w:rPr>
          <w:rFonts w:hint="default"/>
        </w:rPr>
      </w:pPr>
    </w:p>
    <w:p>
      <w:pPr>
        <w:rPr>
          <w:rFonts w:hint="default"/>
          <w:b/>
          <w:bCs/>
        </w:rPr>
      </w:pPr>
      <w:r>
        <w:rPr>
          <w:rFonts w:hint="default"/>
          <w:b/>
          <w:bCs/>
        </w:rPr>
        <w:t>VI. THE PASS-THROUGH ASSET VAULTING FRAMEWORK</w:t>
      </w:r>
    </w:p>
    <w:p>
      <w:pPr>
        <w:rPr>
          <w:rFonts w:hint="default"/>
        </w:rPr>
      </w:pPr>
      <w:r>
        <w:rPr>
          <w:rFonts w:hint="default"/>
        </w:rPr>
        <w:t>The VCC sub-fund cells function as regulated asset vaults. They absorb primary corporate equities deposited by onboarding partner companies, lock them securely, and use them as collateral to issue a distinct class of Non-Voting Investment Units.</w:t>
      </w:r>
    </w:p>
    <w:p>
      <w:pPr>
        <w:rPr>
          <w:rFonts w:hint="default"/>
        </w:rPr>
      </w:pPr>
      <w:r>
        <w:rPr>
          <w:rFonts w:hint="default"/>
        </w:rPr>
        <w:t>┌─────────────────────────────────────────────────────────────────────────────┐</w:t>
      </w:r>
    </w:p>
    <w:p>
      <w:pPr>
        <w:rPr>
          <w:rFonts w:hint="default"/>
        </w:rPr>
      </w:pPr>
      <w:r>
        <w:rPr>
          <w:rFonts w:hint="default"/>
        </w:rPr>
        <w:t xml:space="preserve">│ THE PARTNER REGISTRY TIER                                                   </w:t>
      </w:r>
    </w:p>
    <w:p>
      <w:pPr>
        <w:rPr>
          <w:rFonts w:hint="default"/>
        </w:rPr>
      </w:pPr>
      <w:r>
        <w:rPr>
          <w:rFonts w:hint="default"/>
        </w:rPr>
        <w:t xml:space="preserve">│                                                                             </w:t>
      </w:r>
    </w:p>
    <w:p>
      <w:pPr>
        <w:rPr>
          <w:rFonts w:hint="default"/>
        </w:rPr>
      </w:pPr>
      <w:r>
        <w:rPr>
          <w:rFonts w:hint="default"/>
        </w:rPr>
        <w:t xml:space="preserve">│ Partner Companies deposit Ordinary Shares into the VCC Cell.                </w:t>
      </w:r>
    </w:p>
    <w:p>
      <w:pPr>
        <w:rPr>
          <w:rFonts w:hint="default"/>
        </w:rPr>
      </w:pPr>
      <w:r>
        <w:rPr>
          <w:rFonts w:hint="default"/>
        </w:rPr>
        <w:t xml:space="preserve">│ Shares remain legally whole. Voting rights anchored at the corporate tier.  </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 xml:space="preserve">│ THE JOWIH SUB-FUND CELL TREASURY                                            </w:t>
      </w:r>
    </w:p>
    <w:p>
      <w:pPr>
        <w:rPr>
          <w:rFonts w:hint="default"/>
        </w:rPr>
      </w:pPr>
      <w:r>
        <w:rPr>
          <w:rFonts w:hint="default"/>
        </w:rPr>
        <w:t xml:space="preserve">│                                                                             </w:t>
      </w:r>
    </w:p>
    <w:p>
      <w:pPr>
        <w:rPr>
          <w:rFonts w:hint="default"/>
        </w:rPr>
      </w:pPr>
      <w:r>
        <w:rPr>
          <w:rFonts w:hint="default"/>
        </w:rPr>
        <w:t xml:space="preserve">│ • Holds the complete asset block of voting shares.                          </w:t>
      </w:r>
    </w:p>
    <w:p>
      <w:pPr>
        <w:rPr>
          <w:rFonts w:hint="default"/>
        </w:rPr>
      </w:pPr>
      <w:r>
        <w:rPr>
          <w:rFonts w:hint="default"/>
        </w:rPr>
        <w:t xml:space="preserve">│ • Acts as the asset backing/vault for the cell.                             </w:t>
      </w:r>
    </w:p>
    <w:p>
      <w:pPr>
        <w:rPr>
          <w:rFonts w:hint="default"/>
        </w:rPr>
      </w:pPr>
      <w:r>
        <w:rPr>
          <w:rFonts w:hint="default"/>
        </w:rPr>
        <w:t xml:space="preserve">│ • Re-classifies the downstream distribution layer.                          </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 xml:space="preserve">                                      │ Strips 100% of Governance Weights</w:t>
      </w:r>
    </w:p>
    <w:p>
      <w:pPr>
        <w:rPr>
          <w:rFonts w:hint="default"/>
        </w:rPr>
      </w:pPr>
      <w:r>
        <w:rPr>
          <w:rFonts w:hint="default"/>
        </w:rPr>
        <w:t xml:space="preserve">                                      ▼</w:t>
      </w:r>
    </w:p>
    <w:p>
      <w:pPr>
        <w:rPr>
          <w:rFonts w:hint="default"/>
        </w:rPr>
      </w:pPr>
      <w:r>
        <w:rPr>
          <w:rFonts w:hint="default"/>
        </w:rPr>
        <w:t>┌──────────────────────────────────────</w:t>
      </w:r>
      <w:bookmarkStart w:id="0" w:name="_GoBack"/>
      <w:bookmarkEnd w:id="0"/>
      <w:r>
        <w:rPr>
          <w:rFonts w:hint="default"/>
        </w:rPr>
        <w:t>───────────────────────────────────────┐</w:t>
      </w:r>
    </w:p>
    <w:p>
      <w:pPr>
        <w:rPr>
          <w:rFonts w:hint="default"/>
        </w:rPr>
      </w:pPr>
      <w:r>
        <w:rPr>
          <w:rFonts w:hint="default"/>
        </w:rPr>
        <w:t xml:space="preserve">│ THE PUBLIC INVESTMENT INTERFACE                                             </w:t>
      </w:r>
    </w:p>
    <w:p>
      <w:pPr>
        <w:rPr>
          <w:rFonts w:hint="default"/>
        </w:rPr>
      </w:pPr>
      <w:r>
        <w:rPr>
          <w:rFonts w:hint="default"/>
        </w:rPr>
        <w:t xml:space="preserve">│                                                                             </w:t>
      </w:r>
    </w:p>
    <w:p>
      <w:pPr>
        <w:rPr>
          <w:rFonts w:hint="default"/>
        </w:rPr>
      </w:pPr>
      <w:r>
        <w:rPr>
          <w:rFonts w:hint="default"/>
        </w:rPr>
        <w:t xml:space="preserve">│ • The cell issues newly minted Non-Voting Units.                            </w:t>
      </w:r>
    </w:p>
    <w:p>
      <w:pPr>
        <w:rPr>
          <w:rFonts w:hint="default"/>
        </w:rPr>
      </w:pPr>
      <w:r>
        <w:rPr>
          <w:rFonts w:hint="default"/>
        </w:rPr>
        <w:t xml:space="preserve">│ • Investors buy these units via </w:t>
      </w:r>
      <w:r>
        <w:rPr>
          <w:rFonts w:hint="default"/>
        </w:rPr>
        <w:t>Stock Exchanges / Asta wallet</w:t>
      </w:r>
      <w:r>
        <w:rPr>
          <w:rFonts w:hint="default"/>
        </w:rPr>
        <w:t xml:space="preserve">.                               </w:t>
      </w:r>
    </w:p>
    <w:p>
      <w:pPr>
        <w:rPr>
          <w:rFonts w:hint="default"/>
        </w:rPr>
      </w:pPr>
      <w:r>
        <w:rPr>
          <w:rFonts w:hint="default"/>
        </w:rPr>
        <w:t xml:space="preserve">│ • 100% economic exposure | 0% corporate intervention.                       </w:t>
      </w:r>
    </w:p>
    <w:p>
      <w:pPr>
        <w:rPr>
          <w:rFonts w:hint="default"/>
        </w:rPr>
      </w:pPr>
      <w:r>
        <w:rPr>
          <w:rFonts w:hint="default"/>
        </w:rPr>
        <w:t>└─────────────────────────────────────────────────────────────────────────────┘</w:t>
      </w:r>
    </w:p>
    <w:p>
      <w:pPr>
        <w:rPr>
          <w:rFonts w:hint="default"/>
          <w:b/>
          <w:bCs/>
        </w:rPr>
      </w:pPr>
      <w:r>
        <w:rPr>
          <w:rFonts w:hint="default"/>
          <w:b/>
          <w:bCs/>
        </w:rPr>
        <w:t>Asset Vaulting and Unit Synthesis</w:t>
      </w:r>
    </w:p>
    <w:p>
      <w:pPr>
        <w:rPr>
          <w:rFonts w:hint="default"/>
          <w:b/>
          <w:bCs/>
        </w:rPr>
      </w:pPr>
    </w:p>
    <w:p>
      <w:pPr>
        <w:rPr>
          <w:rFonts w:hint="default"/>
        </w:rPr>
      </w:pPr>
      <w:r>
        <w:rPr>
          <w:rFonts w:hint="default"/>
          <w:b/>
          <w:bCs/>
        </w:rPr>
        <w:t>Institutional Vaulting of Primary Equity:</w:t>
      </w:r>
      <w:r>
        <w:rPr>
          <w:rFonts w:hint="default"/>
        </w:rPr>
        <w:t> The aggregate block of ordinary shares issued by participating partner enterprises is transferred into the custody of the specific VCC sub-fund compartment. Underlying shares remain legally whole, unmodified, and retain their native voting weights within the cell's secured inventory.</w:t>
      </w:r>
    </w:p>
    <w:p>
      <w:pPr>
        <w:rPr>
          <w:rFonts w:hint="default"/>
        </w:rPr>
      </w:pPr>
      <w:r>
        <w:rPr>
          <w:rFonts w:hint="default"/>
          <w:b/>
          <w:bCs/>
        </w:rPr>
        <w:t>Downstream Unit Synthesis:</w:t>
      </w:r>
      <w:r>
        <w:rPr>
          <w:rFonts w:hint="default"/>
        </w:rPr>
        <w:t> Against the vaulted equity, the sub-fund mints Jowih Master Ecosystem Units. These units carry pure economic exposure -no voting rights, no governance weight, no board control.</w:t>
      </w:r>
    </w:p>
    <w:p>
      <w:pPr>
        <w:rPr>
          <w:rFonts w:hint="default"/>
        </w:rPr>
      </w:pPr>
      <w:r>
        <w:rPr>
          <w:rFonts w:hint="default"/>
          <w:b/>
          <w:bCs/>
        </w:rPr>
        <w:t>Pro-Rata Financial Pass-Through: </w:t>
      </w:r>
      <w:r>
        <w:rPr>
          <w:rFonts w:hint="default"/>
        </w:rPr>
        <w:t>The synthesized units grant holders a contractually protected right to linear Net Asset Value appreciation and pro-rata dividend yields flowing out of the vaulted asset pool. Retail capital expansion scales infinitely within the downstream interface without ever altering the primary corporate share structure.</w:t>
      </w:r>
    </w:p>
    <w:p>
      <w:pPr>
        <w:rPr>
          <w:rFonts w:hint="default"/>
        </w:rPr>
      </w:pPr>
    </w:p>
    <w:p>
      <w:pPr>
        <w:rPr>
          <w:rFonts w:hint="default"/>
          <w:b/>
          <w:bCs/>
        </w:rPr>
      </w:pPr>
      <w:r>
        <w:rPr>
          <w:rFonts w:hint="default"/>
          <w:b/>
          <w:bCs/>
        </w:rPr>
        <w:t>VII. VALUATION-WEIGHTED ALLOCATION ENGINE with EXAMPLE</w:t>
      </w:r>
    </w:p>
    <w:p>
      <w:pPr>
        <w:rPr>
          <w:rFonts w:hint="default"/>
        </w:rPr>
      </w:pPr>
      <w:r>
        <w:rPr>
          <w:rFonts w:hint="default"/>
        </w:rPr>
        <w:t>Capital distribution follows the dollar value of vaulted equity, not the equity percentage. Partners deposit equity. The dollar value of that equity determines their weight. This is standard index fund methodology.</w:t>
      </w:r>
    </w:p>
    <w:p>
      <w:pPr>
        <w:rPr>
          <w:rFonts w:hint="default"/>
        </w:rPr>
      </w:pPr>
      <w:r>
        <w:rPr>
          <w:rFonts w:hint="default"/>
        </w:rPr>
        <w:t>The Capital Split</w:t>
      </w:r>
    </w:p>
    <w:tbl>
      <w:tblPr>
        <w:tblStyle w:val="7"/>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790"/>
        <w:gridCol w:w="1915"/>
        <w:gridCol w:w="35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5790" w:type="dxa"/>
            <w:tcBorders>
              <w:top w:val="nil"/>
            </w:tcBorders>
            <w:shd w:val="clear" w:color="auto" w:fill="auto"/>
            <w:tcMar>
              <w:top w:w="150" w:type="dxa"/>
              <w:left w:w="0" w:type="dxa"/>
              <w:bottom w:w="150" w:type="dxa"/>
              <w:right w:w="240" w:type="dxa"/>
            </w:tcMar>
            <w:vAlign w:val="center"/>
          </w:tcPr>
          <w:p>
            <w:pPr>
              <w:rPr>
                <w:rFonts w:hint="default"/>
                <w:b/>
                <w:bCs/>
              </w:rPr>
            </w:pPr>
            <w:r>
              <w:rPr>
                <w:rFonts w:hint="default"/>
                <w:b/>
                <w:bCs/>
                <w:lang w:val="en-US" w:eastAsia="zh-CN"/>
              </w:rPr>
              <w:t>Bucket</w:t>
            </w:r>
          </w:p>
        </w:tc>
        <w:tc>
          <w:tcPr>
            <w:tcW w:w="1915"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Share</w:t>
            </w:r>
          </w:p>
        </w:tc>
        <w:tc>
          <w:tcPr>
            <w:tcW w:w="3574"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Amount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790" w:type="dxa"/>
            <w:shd w:val="clear" w:color="auto" w:fill="auto"/>
            <w:tcMar>
              <w:top w:w="150" w:type="dxa"/>
              <w:left w:w="0" w:type="dxa"/>
              <w:bottom w:w="150" w:type="dxa"/>
              <w:right w:w="240" w:type="dxa"/>
            </w:tcMar>
            <w:vAlign w:val="center"/>
          </w:tcPr>
          <w:p>
            <w:pPr>
              <w:rPr>
                <w:rFonts w:hint="default"/>
              </w:rPr>
            </w:pPr>
            <w:r>
              <w:rPr>
                <w:rFonts w:hint="default"/>
                <w:lang w:val="en-US" w:eastAsia="zh-CN"/>
              </w:rPr>
              <w:t>Jowih Core Sub-Bucket</w:t>
            </w:r>
          </w:p>
        </w:tc>
        <w:tc>
          <w:tcPr>
            <w:tcW w:w="19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30%</w:t>
            </w:r>
          </w:p>
        </w:tc>
        <w:tc>
          <w:tcPr>
            <w:tcW w:w="3574" w:type="dxa"/>
            <w:shd w:val="clear" w:color="auto" w:fill="auto"/>
            <w:tcMar>
              <w:top w:w="150" w:type="dxa"/>
              <w:left w:w="240" w:type="dxa"/>
              <w:bottom w:w="150" w:type="dxa"/>
              <w:right w:w="0" w:type="dxa"/>
            </w:tcMar>
            <w:vAlign w:val="center"/>
          </w:tcPr>
          <w:p>
            <w:pPr>
              <w:rPr>
                <w:rFonts w:hint="default"/>
              </w:rPr>
            </w:pPr>
            <w:r>
              <w:rPr>
                <w:rFonts w:hint="default"/>
                <w:lang w:val="en-US" w:eastAsia="zh-CN"/>
              </w:rPr>
              <w:t>$600,000,000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790" w:type="dxa"/>
            <w:shd w:val="clear" w:color="auto" w:fill="auto"/>
            <w:tcMar>
              <w:top w:w="150" w:type="dxa"/>
              <w:left w:w="0" w:type="dxa"/>
              <w:bottom w:w="150" w:type="dxa"/>
              <w:right w:w="240" w:type="dxa"/>
            </w:tcMar>
            <w:vAlign w:val="center"/>
          </w:tcPr>
          <w:p>
            <w:pPr>
              <w:rPr>
                <w:rFonts w:hint="default"/>
              </w:rPr>
            </w:pPr>
            <w:r>
              <w:rPr>
                <w:rFonts w:hint="default"/>
                <w:lang w:eastAsia="zh-CN"/>
              </w:rPr>
              <w:t>Ecosystem</w:t>
            </w:r>
            <w:r>
              <w:rPr>
                <w:rFonts w:hint="default"/>
                <w:lang w:val="en-US" w:eastAsia="zh-CN"/>
              </w:rPr>
              <w:t xml:space="preserve"> Partner Sub-Bucket</w:t>
            </w:r>
          </w:p>
        </w:tc>
        <w:tc>
          <w:tcPr>
            <w:tcW w:w="19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70%</w:t>
            </w:r>
          </w:p>
        </w:tc>
        <w:tc>
          <w:tcPr>
            <w:tcW w:w="3574" w:type="dxa"/>
            <w:shd w:val="clear" w:color="auto" w:fill="auto"/>
            <w:tcMar>
              <w:top w:w="150" w:type="dxa"/>
              <w:left w:w="240" w:type="dxa"/>
              <w:bottom w:w="150" w:type="dxa"/>
              <w:right w:w="0" w:type="dxa"/>
            </w:tcMar>
            <w:vAlign w:val="center"/>
          </w:tcPr>
          <w:p>
            <w:pPr>
              <w:rPr>
                <w:rFonts w:hint="default"/>
              </w:rPr>
            </w:pPr>
            <w:r>
              <w:rPr>
                <w:rFonts w:hint="default"/>
                <w:lang w:val="en-US" w:eastAsia="zh-CN"/>
              </w:rPr>
              <w:t>$1,400,000,000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790" w:type="dxa"/>
            <w:shd w:val="clear" w:color="auto" w:fill="auto"/>
            <w:tcMar>
              <w:top w:w="150" w:type="dxa"/>
              <w:left w:w="0" w:type="dxa"/>
              <w:bottom w:w="150" w:type="dxa"/>
              <w:right w:w="240" w:type="dxa"/>
            </w:tcMar>
            <w:vAlign w:val="center"/>
          </w:tcPr>
          <w:p>
            <w:pPr>
              <w:rPr>
                <w:rFonts w:hint="default"/>
              </w:rPr>
            </w:pPr>
            <w:r>
              <w:rPr>
                <w:rFonts w:hint="default"/>
                <w:lang w:val="en-US" w:eastAsia="zh-CN"/>
              </w:rPr>
              <w:t>Total Fund Capitalization</w:t>
            </w:r>
          </w:p>
        </w:tc>
        <w:tc>
          <w:tcPr>
            <w:tcW w:w="19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100%</w:t>
            </w:r>
          </w:p>
        </w:tc>
        <w:tc>
          <w:tcPr>
            <w:tcW w:w="3574" w:type="dxa"/>
            <w:shd w:val="clear" w:color="auto" w:fill="auto"/>
            <w:tcMar>
              <w:top w:w="150" w:type="dxa"/>
              <w:left w:w="240" w:type="dxa"/>
              <w:bottom w:w="150" w:type="dxa"/>
              <w:right w:w="0" w:type="dxa"/>
            </w:tcMar>
            <w:vAlign w:val="center"/>
          </w:tcPr>
          <w:p>
            <w:pPr>
              <w:rPr>
                <w:rFonts w:hint="default"/>
              </w:rPr>
            </w:pPr>
            <w:r>
              <w:rPr>
                <w:rFonts w:hint="default"/>
                <w:lang w:val="en-US" w:eastAsia="zh-CN"/>
              </w:rPr>
              <w:t>$2,000,000,000</w:t>
            </w:r>
          </w:p>
        </w:tc>
      </w:tr>
    </w:tbl>
    <w:p>
      <w:pPr>
        <w:rPr>
          <w:rFonts w:hint="default"/>
        </w:rPr>
      </w:pPr>
    </w:p>
    <w:p>
      <w:pPr>
        <w:rPr>
          <w:rFonts w:hint="default"/>
        </w:rPr>
      </w:pPr>
      <w:r>
        <w:rPr>
          <w:rFonts w:hint="default"/>
        </w:rPr>
        <w:t>Partner Deposits (Illustrative -20 Partners)</w:t>
      </w:r>
    </w:p>
    <w:tbl>
      <w:tblPr>
        <w:tblStyle w:val="7"/>
        <w:tblW w:w="94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96"/>
        <w:gridCol w:w="1525"/>
        <w:gridCol w:w="2204"/>
        <w:gridCol w:w="2412"/>
        <w:gridCol w:w="28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496" w:type="dxa"/>
            <w:tcBorders>
              <w:top w:val="nil"/>
            </w:tcBorders>
            <w:shd w:val="clear" w:color="auto" w:fill="auto"/>
            <w:tcMar>
              <w:top w:w="150" w:type="dxa"/>
              <w:left w:w="0" w:type="dxa"/>
              <w:bottom w:w="150" w:type="dxa"/>
              <w:right w:w="240" w:type="dxa"/>
            </w:tcMar>
            <w:vAlign w:val="center"/>
          </w:tcPr>
          <w:p>
            <w:pPr>
              <w:rPr>
                <w:rFonts w:hint="default"/>
                <w:b/>
                <w:bCs/>
              </w:rPr>
            </w:pPr>
            <w:r>
              <w:rPr>
                <w:rFonts w:hint="default"/>
                <w:b/>
                <w:bCs/>
                <w:lang w:val="en-US" w:eastAsia="zh-CN"/>
              </w:rPr>
              <w:t>#</w:t>
            </w:r>
          </w:p>
        </w:tc>
        <w:tc>
          <w:tcPr>
            <w:tcW w:w="1525"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Company</w:t>
            </w:r>
          </w:p>
        </w:tc>
        <w:tc>
          <w:tcPr>
            <w:tcW w:w="2204"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Total Valuation</w:t>
            </w:r>
          </w:p>
        </w:tc>
        <w:tc>
          <w:tcPr>
            <w:tcW w:w="2412"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Equity Deposited</w:t>
            </w:r>
          </w:p>
        </w:tc>
        <w:tc>
          <w:tcPr>
            <w:tcW w:w="2806"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Dollar Value Vaulted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A</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$1,000,000,000</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B</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$500,000,000</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C</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$250,000,000</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20%</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4</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D</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$200,000,000</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25%</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5</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E</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$166,666,667</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30%</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6</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F</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$142,857,143</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35%</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7</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G</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$125,000,000</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40%</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8</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H</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$111,111,111</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45%</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9</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I</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$100,000,000</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$49,000,000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10</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J</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$90,909,091</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$44,545,455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11</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K</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$83,333,333</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$40,833,333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12</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L</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$76,923,077</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$37,692,308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13</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$71,428,571</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$35,000,000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14</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N</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$66,666,667</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$32,666,667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15</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O</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$50,000,000</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$24,500,000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16</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P</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$40,000,000</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$19,600,000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17</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Q</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$33,333,333</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$16,333,333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18</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R</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$28,571,429</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$14,000,000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19</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S</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$25,000,000</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$12,250,000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r>
              <w:rPr>
                <w:rFonts w:hint="default"/>
                <w:lang w:val="en-US" w:eastAsia="zh-CN"/>
              </w:rPr>
              <w:t>20</w:t>
            </w: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T</w:t>
            </w:r>
          </w:p>
        </w:tc>
        <w:tc>
          <w:tcPr>
            <w:tcW w:w="22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$20,408,163</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96" w:type="dxa"/>
            <w:shd w:val="clear" w:color="auto" w:fill="auto"/>
            <w:tcMar>
              <w:top w:w="150" w:type="dxa"/>
              <w:left w:w="0" w:type="dxa"/>
              <w:bottom w:w="150" w:type="dxa"/>
              <w:right w:w="240" w:type="dxa"/>
            </w:tcMar>
            <w:vAlign w:val="center"/>
          </w:tcPr>
          <w:p>
            <w:pPr>
              <w:rPr>
                <w:rFonts w:hint="default"/>
              </w:rPr>
            </w:pPr>
          </w:p>
        </w:tc>
        <w:tc>
          <w:tcPr>
            <w:tcW w:w="15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Total</w:t>
            </w:r>
          </w:p>
        </w:tc>
        <w:tc>
          <w:tcPr>
            <w:tcW w:w="2204" w:type="dxa"/>
            <w:shd w:val="clear" w:color="auto" w:fill="auto"/>
            <w:tcMar>
              <w:top w:w="150" w:type="dxa"/>
              <w:left w:w="240" w:type="dxa"/>
              <w:bottom w:w="150" w:type="dxa"/>
              <w:right w:w="240" w:type="dxa"/>
            </w:tcMar>
            <w:vAlign w:val="center"/>
          </w:tcPr>
          <w:p>
            <w:pPr>
              <w:rPr>
                <w:rFonts w:hint="default"/>
              </w:rPr>
            </w:pPr>
          </w:p>
        </w:tc>
        <w:tc>
          <w:tcPr>
            <w:tcW w:w="2412" w:type="dxa"/>
            <w:shd w:val="clear" w:color="auto" w:fill="auto"/>
            <w:tcMar>
              <w:top w:w="150" w:type="dxa"/>
              <w:left w:w="240" w:type="dxa"/>
              <w:bottom w:w="150" w:type="dxa"/>
              <w:right w:w="240" w:type="dxa"/>
            </w:tcMar>
            <w:vAlign w:val="center"/>
          </w:tcPr>
          <w:p>
            <w:pPr>
              <w:rPr>
                <w:rFonts w:hint="default"/>
              </w:rPr>
            </w:pPr>
          </w:p>
        </w:tc>
        <w:tc>
          <w:tcPr>
            <w:tcW w:w="28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$685,020,404</w:t>
            </w:r>
          </w:p>
        </w:tc>
      </w:tr>
    </w:tbl>
    <w:p>
      <w:pPr>
        <w:rPr>
          <w:rFonts w:hint="default"/>
        </w:rPr>
      </w:pPr>
    </w:p>
    <w:p>
      <w:pPr>
        <w:rPr>
          <w:rFonts w:hint="default"/>
          <w:b/>
          <w:bCs/>
        </w:rPr>
      </w:pPr>
      <w:r>
        <w:rPr>
          <w:rFonts w:hint="default"/>
          <w:b/>
          <w:bCs/>
        </w:rPr>
        <w:t>Index Weights</w:t>
      </w:r>
    </w:p>
    <w:p>
      <w:pPr>
        <w:rPr>
          <w:rFonts w:hint="default"/>
          <w:b/>
          <w:bCs/>
        </w:rPr>
      </w:pPr>
      <w:r>
        <w:rPr>
          <w:rFonts w:hint="default"/>
          <w:b/>
          <w:bCs/>
        </w:rPr>
        <w:t>Index Weight = Net Dollar Value Vaulted ÷ Total Vaulted Value</w:t>
      </w:r>
    </w:p>
    <w:p>
      <w:pPr>
        <w:rPr>
          <w:rFonts w:hint="default"/>
          <w:b/>
          <w:bCs/>
        </w:rPr>
      </w:pPr>
    </w:p>
    <w:tbl>
      <w:tblPr>
        <w:tblStyle w:val="7"/>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602"/>
        <w:gridCol w:w="4426"/>
        <w:gridCol w:w="42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602" w:type="dxa"/>
            <w:tcBorders>
              <w:top w:val="nil"/>
            </w:tcBorders>
            <w:shd w:val="clear" w:color="auto" w:fill="auto"/>
            <w:tcMar>
              <w:top w:w="150" w:type="dxa"/>
              <w:left w:w="0" w:type="dxa"/>
              <w:bottom w:w="150" w:type="dxa"/>
              <w:right w:w="240" w:type="dxa"/>
            </w:tcMar>
            <w:vAlign w:val="center"/>
          </w:tcPr>
          <w:p>
            <w:pPr>
              <w:rPr>
                <w:rFonts w:hint="default"/>
                <w:b/>
                <w:bCs/>
              </w:rPr>
            </w:pPr>
            <w:r>
              <w:rPr>
                <w:rFonts w:hint="default"/>
                <w:b/>
                <w:bCs/>
                <w:lang w:val="en-US" w:eastAsia="zh-CN"/>
              </w:rPr>
              <w:t>Partner</w:t>
            </w:r>
          </w:p>
        </w:tc>
        <w:tc>
          <w:tcPr>
            <w:tcW w:w="4426"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Vaulted Value</w:t>
            </w:r>
          </w:p>
        </w:tc>
        <w:tc>
          <w:tcPr>
            <w:tcW w:w="4251"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Index Weight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A</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B</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C</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D</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E</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F</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G</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H</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I</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7.15%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J</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$44,545,455</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6.50%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K</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$40,833,333</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5.96%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L</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$37,692,308</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M</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$35,000,000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5.11%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N</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$32,666,667</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4.77%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O</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$24,500,000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3.58%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P</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$19,600,000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2.86%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Q</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$16,333,333</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2.38%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R</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$14,000,000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2.04%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S</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$12,250,000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1.79%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T</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$10,000,000</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1.46%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02" w:type="dxa"/>
            <w:shd w:val="clear" w:color="auto" w:fill="auto"/>
            <w:tcMar>
              <w:top w:w="150" w:type="dxa"/>
              <w:left w:w="0" w:type="dxa"/>
              <w:bottom w:w="150" w:type="dxa"/>
              <w:right w:w="240" w:type="dxa"/>
            </w:tcMar>
            <w:vAlign w:val="center"/>
          </w:tcPr>
          <w:p>
            <w:pPr>
              <w:rPr>
                <w:rFonts w:hint="default"/>
              </w:rPr>
            </w:pPr>
            <w:r>
              <w:rPr>
                <w:rFonts w:hint="default"/>
                <w:lang w:val="en-US" w:eastAsia="zh-CN"/>
              </w:rPr>
              <w:t>Total</w:t>
            </w:r>
          </w:p>
        </w:tc>
        <w:tc>
          <w:tcPr>
            <w:tcW w:w="442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$685,020,404</w:t>
            </w:r>
          </w:p>
        </w:tc>
        <w:tc>
          <w:tcPr>
            <w:tcW w:w="4251"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100.00%</w:t>
            </w:r>
          </w:p>
        </w:tc>
      </w:tr>
    </w:tbl>
    <w:p>
      <w:pPr>
        <w:rPr>
          <w:rFonts w:hint="default"/>
        </w:rPr>
      </w:pPr>
    </w:p>
    <w:p>
      <w:pPr>
        <w:rPr>
          <w:rFonts w:hint="default"/>
          <w:b/>
          <w:bCs/>
        </w:rPr>
      </w:pPr>
      <w:r>
        <w:rPr>
          <w:rFonts w:hint="default"/>
          <w:b/>
          <w:bCs/>
        </w:rPr>
        <w:t>Capital Distribution</w:t>
      </w:r>
    </w:p>
    <w:p>
      <w:pPr>
        <w:rPr>
          <w:rFonts w:hint="default"/>
          <w:b/>
          <w:bCs/>
        </w:rPr>
      </w:pPr>
      <w:r>
        <w:rPr>
          <w:rFonts w:hint="default"/>
          <w:b/>
          <w:bCs/>
        </w:rPr>
        <w:t>Each partner receives: Index Weight × $1,400,000,000</w:t>
      </w:r>
    </w:p>
    <w:p>
      <w:pPr>
        <w:rPr>
          <w:rFonts w:hint="default"/>
          <w:b/>
          <w:bCs/>
        </w:rPr>
      </w:pPr>
    </w:p>
    <w:tbl>
      <w:tblPr>
        <w:tblStyle w:val="7"/>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60"/>
        <w:gridCol w:w="4021"/>
        <w:gridCol w:w="47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460" w:type="dxa"/>
            <w:tcBorders>
              <w:top w:val="nil"/>
            </w:tcBorders>
            <w:shd w:val="clear" w:color="auto" w:fill="auto"/>
            <w:tcMar>
              <w:top w:w="150" w:type="dxa"/>
              <w:left w:w="0" w:type="dxa"/>
              <w:bottom w:w="150" w:type="dxa"/>
              <w:right w:w="240" w:type="dxa"/>
            </w:tcMar>
            <w:vAlign w:val="center"/>
          </w:tcPr>
          <w:p>
            <w:pPr>
              <w:rPr>
                <w:rFonts w:hint="default"/>
                <w:b/>
                <w:bCs/>
              </w:rPr>
            </w:pPr>
            <w:r>
              <w:rPr>
                <w:rFonts w:hint="default"/>
                <w:b/>
                <w:bCs/>
                <w:lang w:val="en-US" w:eastAsia="zh-CN"/>
              </w:rPr>
              <w:t>Partner</w:t>
            </w:r>
          </w:p>
        </w:tc>
        <w:tc>
          <w:tcPr>
            <w:tcW w:w="4021"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Index Weight</w:t>
            </w:r>
          </w:p>
        </w:tc>
        <w:tc>
          <w:tcPr>
            <w:tcW w:w="4798"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Capital Received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A</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7.30%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$102,200,000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B</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7.30%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$102,200,000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C</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7.30%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$102,200,000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D</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7.30%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$102,200,000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E</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7.30%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$102,200,000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F</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7.30%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$102,200,000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G</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7.30%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$102,200,000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H</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7.30%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$102,200,000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I</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7.15%</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$100,100,000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J</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6.50%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$91,000,000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K</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5.96%</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$83,440,000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L</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5.50%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$77,000,000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M</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5.11%</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$71,540,000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N</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4.77%</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$66,780,000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O</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3.58%</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$50,120,000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P</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2.86%</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$40,040,000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Q</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2.38%</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$33,320,000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R</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2.04%</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$28,560,000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S</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1.79%</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$25,060,000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T</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1.46%</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$20,440,000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0" w:type="dxa"/>
            <w:shd w:val="clear" w:color="auto" w:fill="auto"/>
            <w:tcMar>
              <w:top w:w="150" w:type="dxa"/>
              <w:left w:w="0" w:type="dxa"/>
              <w:bottom w:w="150" w:type="dxa"/>
              <w:right w:w="240" w:type="dxa"/>
            </w:tcMar>
            <w:vAlign w:val="center"/>
          </w:tcPr>
          <w:p>
            <w:pPr>
              <w:rPr>
                <w:rFonts w:hint="default"/>
              </w:rPr>
            </w:pPr>
            <w:r>
              <w:rPr>
                <w:rFonts w:hint="default"/>
                <w:lang w:val="en-US" w:eastAsia="zh-CN"/>
              </w:rPr>
              <w:t>Total</w:t>
            </w:r>
          </w:p>
        </w:tc>
        <w:tc>
          <w:tcPr>
            <w:tcW w:w="402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100.00%</w:t>
            </w:r>
          </w:p>
        </w:tc>
        <w:tc>
          <w:tcPr>
            <w:tcW w:w="4798" w:type="dxa"/>
            <w:shd w:val="clear" w:color="auto" w:fill="auto"/>
            <w:tcMar>
              <w:top w:w="150" w:type="dxa"/>
              <w:left w:w="240" w:type="dxa"/>
              <w:bottom w:w="150" w:type="dxa"/>
              <w:right w:w="0" w:type="dxa"/>
            </w:tcMar>
            <w:vAlign w:val="center"/>
          </w:tcPr>
          <w:p>
            <w:pPr>
              <w:rPr>
                <w:rFonts w:hint="default"/>
              </w:rPr>
            </w:pPr>
            <w:r>
              <w:rPr>
                <w:rFonts w:hint="default"/>
                <w:lang w:val="en-US" w:eastAsia="zh-CN"/>
              </w:rPr>
              <w:t>$1,400,000,000</w:t>
            </w:r>
          </w:p>
        </w:tc>
      </w:tr>
    </w:tbl>
    <w:p>
      <w:pPr>
        <w:rPr>
          <w:rFonts w:hint="default"/>
          <w:b/>
          <w:bCs/>
        </w:rPr>
      </w:pPr>
    </w:p>
    <w:p>
      <w:pPr>
        <w:rPr>
          <w:rFonts w:hint="default"/>
          <w:b/>
          <w:bCs/>
        </w:rPr>
      </w:pPr>
      <w:r>
        <w:rPr>
          <w:rFonts w:hint="default"/>
          <w:b/>
          <w:bCs/>
        </w:rPr>
        <w:t>The Key Insight</w:t>
      </w:r>
    </w:p>
    <w:tbl>
      <w:tblPr>
        <w:tblStyle w:val="7"/>
        <w:tblW w:w="9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85"/>
        <w:gridCol w:w="1561"/>
        <w:gridCol w:w="2412"/>
        <w:gridCol w:w="2063"/>
        <w:gridCol w:w="23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285" w:type="dxa"/>
            <w:tcBorders>
              <w:top w:val="nil"/>
            </w:tcBorders>
            <w:shd w:val="clear" w:color="auto" w:fill="auto"/>
            <w:tcMar>
              <w:top w:w="150" w:type="dxa"/>
              <w:left w:w="0" w:type="dxa"/>
              <w:bottom w:w="150" w:type="dxa"/>
              <w:right w:w="240" w:type="dxa"/>
            </w:tcMar>
            <w:vAlign w:val="center"/>
          </w:tcPr>
          <w:p>
            <w:pPr>
              <w:rPr>
                <w:rFonts w:hint="default"/>
                <w:b/>
                <w:bCs/>
              </w:rPr>
            </w:pPr>
            <w:r>
              <w:rPr>
                <w:rFonts w:hint="default"/>
                <w:b/>
                <w:bCs/>
                <w:lang w:val="en-US" w:eastAsia="zh-CN"/>
              </w:rPr>
              <w:t>Company</w:t>
            </w:r>
          </w:p>
        </w:tc>
        <w:tc>
          <w:tcPr>
            <w:tcW w:w="1561"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Valuation</w:t>
            </w:r>
          </w:p>
        </w:tc>
        <w:tc>
          <w:tcPr>
            <w:tcW w:w="2412"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Equity Deposited</w:t>
            </w:r>
          </w:p>
        </w:tc>
        <w:tc>
          <w:tcPr>
            <w:tcW w:w="2063"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Vaulted Value</w:t>
            </w:r>
          </w:p>
        </w:tc>
        <w:tc>
          <w:tcPr>
            <w:tcW w:w="2365"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Capital Received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285"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A</w:t>
            </w:r>
          </w:p>
        </w:tc>
        <w:tc>
          <w:tcPr>
            <w:tcW w:w="156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$1B</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w:t>
            </w:r>
          </w:p>
        </w:tc>
        <w:tc>
          <w:tcPr>
            <w:tcW w:w="206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$50M</w:t>
            </w:r>
          </w:p>
        </w:tc>
        <w:tc>
          <w:tcPr>
            <w:tcW w:w="2365"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$102.2M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285"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T</w:t>
            </w:r>
          </w:p>
        </w:tc>
        <w:tc>
          <w:tcPr>
            <w:tcW w:w="156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$20.4M</w:t>
            </w:r>
          </w:p>
        </w:tc>
        <w:tc>
          <w:tcPr>
            <w:tcW w:w="24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49%</w:t>
            </w:r>
          </w:p>
        </w:tc>
        <w:tc>
          <w:tcPr>
            <w:tcW w:w="206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$10M</w:t>
            </w:r>
          </w:p>
        </w:tc>
        <w:tc>
          <w:tcPr>
            <w:tcW w:w="2365" w:type="dxa"/>
            <w:shd w:val="clear" w:color="auto" w:fill="auto"/>
            <w:tcMar>
              <w:top w:w="150" w:type="dxa"/>
              <w:left w:w="240" w:type="dxa"/>
              <w:bottom w:w="150" w:type="dxa"/>
              <w:right w:w="0" w:type="dxa"/>
            </w:tcMar>
            <w:vAlign w:val="center"/>
          </w:tcPr>
          <w:p>
            <w:pPr>
              <w:rPr>
                <w:rFonts w:hint="default"/>
              </w:rPr>
            </w:pPr>
            <w:r>
              <w:rPr>
                <w:rFonts w:hint="default"/>
                <w:lang w:val="en-US" w:eastAsia="zh-CN"/>
              </w:rPr>
              <w:t>$20.4M</w:t>
            </w:r>
          </w:p>
        </w:tc>
      </w:tr>
    </w:tbl>
    <w:p>
      <w:pPr>
        <w:rPr>
          <w:rFonts w:hint="default"/>
        </w:rPr>
      </w:pPr>
      <w:r>
        <w:rPr>
          <w:rFonts w:hint="default"/>
        </w:rPr>
        <w:t>Partner A gave up 5% of a $1B company and received $102.2M.</w:t>
      </w:r>
      <w:r>
        <w:rPr>
          <w:rFonts w:hint="default"/>
        </w:rPr>
        <w:br w:type="textWrapping"/>
      </w:r>
      <w:r>
        <w:rPr>
          <w:rFonts w:hint="default"/>
        </w:rPr>
        <w:t>Partner T gave up 49% of a $20.4M company and received $20.4M.</w:t>
      </w:r>
    </w:p>
    <w:p>
      <w:pPr>
        <w:rPr>
          <w:rFonts w:hint="default"/>
        </w:rPr>
      </w:pPr>
      <w:r>
        <w:rPr>
          <w:rFonts w:hint="default"/>
        </w:rPr>
        <w:t>Capital follows the dollar value, not the equity percentage.</w:t>
      </w:r>
    </w:p>
    <w:p>
      <w:pPr>
        <w:rPr>
          <w:rFonts w:hint="default"/>
        </w:rPr>
      </w:pPr>
    </w:p>
    <w:p>
      <w:pPr>
        <w:rPr>
          <w:rFonts w:hint="default"/>
          <w:b/>
          <w:bCs/>
        </w:rPr>
      </w:pPr>
      <w:r>
        <w:rPr>
          <w:rFonts w:hint="default"/>
          <w:b/>
          <w:bCs/>
        </w:rPr>
        <w:t>VIII. THE VAULT RULES</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234"/>
        <w:gridCol w:w="60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5234" w:type="dxa"/>
            <w:tcBorders>
              <w:top w:val="nil"/>
            </w:tcBorders>
            <w:shd w:val="clear" w:color="auto" w:fill="auto"/>
            <w:tcMar>
              <w:top w:w="150" w:type="dxa"/>
              <w:left w:w="0" w:type="dxa"/>
              <w:bottom w:w="150" w:type="dxa"/>
              <w:right w:w="240" w:type="dxa"/>
            </w:tcMar>
            <w:vAlign w:val="center"/>
          </w:tcPr>
          <w:p>
            <w:pPr>
              <w:rPr>
                <w:rFonts w:hint="default"/>
                <w:b/>
                <w:bCs/>
              </w:rPr>
            </w:pPr>
            <w:r>
              <w:rPr>
                <w:rFonts w:hint="default"/>
                <w:b/>
                <w:bCs/>
                <w:lang w:val="en-US" w:eastAsia="zh-CN"/>
              </w:rPr>
              <w:t>Rule</w:t>
            </w:r>
          </w:p>
        </w:tc>
        <w:tc>
          <w:tcPr>
            <w:tcW w:w="6046"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Threshold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2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Maximum equity a partner can deposit</w:t>
            </w:r>
          </w:p>
        </w:tc>
        <w:tc>
          <w:tcPr>
            <w:tcW w:w="60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2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Minimum equity a partner must retain</w:t>
            </w:r>
          </w:p>
        </w:tc>
        <w:tc>
          <w:tcPr>
            <w:tcW w:w="60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2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Voting rights transferred to the fund</w:t>
            </w:r>
          </w:p>
        </w:tc>
        <w:tc>
          <w:tcPr>
            <w:tcW w:w="60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2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Board seats transferred to the fund</w:t>
            </w:r>
          </w:p>
        </w:tc>
        <w:tc>
          <w:tcPr>
            <w:tcW w:w="60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2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Operational control transferred to the fund</w:t>
            </w:r>
          </w:p>
        </w:tc>
        <w:tc>
          <w:tcPr>
            <w:tcW w:w="60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2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Capital allocation method</w:t>
            </w:r>
          </w:p>
        </w:tc>
        <w:tc>
          <w:tcPr>
            <w:tcW w:w="60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Valuation-weighted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2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retains right to raise future capital</w:t>
            </w:r>
          </w:p>
        </w:tc>
        <w:tc>
          <w:tcPr>
            <w:tcW w:w="60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Yes, subject to 49% cap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2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retains right to buy back vaulted shares</w:t>
            </w:r>
          </w:p>
        </w:tc>
        <w:tc>
          <w:tcPr>
            <w:tcW w:w="60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Yes, after lock-up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2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Jowih Group exemption</w:t>
            </w:r>
          </w:p>
        </w:tc>
        <w:tc>
          <w:tcPr>
            <w:tcW w:w="6046" w:type="dxa"/>
            <w:shd w:val="clear" w:color="auto" w:fill="auto"/>
            <w:tcMar>
              <w:top w:w="150" w:type="dxa"/>
              <w:left w:w="240" w:type="dxa"/>
              <w:bottom w:w="150" w:type="dxa"/>
              <w:right w:w="0" w:type="dxa"/>
            </w:tcMar>
            <w:vAlign w:val="center"/>
          </w:tcPr>
          <w:p>
            <w:pPr>
              <w:rPr>
                <w:rFonts w:hint="default"/>
              </w:rPr>
            </w:pPr>
            <w:r>
              <w:rPr>
                <w:rFonts w:hint="default"/>
                <w:lang w:eastAsia="zh-CN"/>
              </w:rPr>
              <w:t xml:space="preserve">Equity or </w:t>
            </w:r>
            <w:r>
              <w:rPr>
                <w:rFonts w:hint="default"/>
                <w:lang w:val="en-US" w:eastAsia="zh-CN"/>
              </w:rPr>
              <w:t>49% cap does not apply</w:t>
            </w:r>
            <w:r>
              <w:rPr>
                <w:rFonts w:hint="default"/>
                <w:lang w:eastAsia="zh-CN"/>
              </w:rPr>
              <w:t xml:space="preserve"> in the Jowih bucket </w:t>
            </w:r>
          </w:p>
        </w:tc>
      </w:tr>
    </w:tbl>
    <w:p>
      <w:pPr>
        <w:rPr>
          <w:rFonts w:hint="default"/>
          <w:b/>
          <w:bCs/>
        </w:rPr>
      </w:pPr>
    </w:p>
    <w:p>
      <w:pPr>
        <w:rPr>
          <w:rFonts w:hint="default"/>
          <w:b/>
          <w:bCs/>
        </w:rPr>
      </w:pPr>
      <w:r>
        <w:rPr>
          <w:rFonts w:hint="default"/>
          <w:b/>
          <w:bCs/>
        </w:rPr>
        <w:t>IX. INVESTOR RIGHTS AND RESTRICTIONS</w:t>
      </w:r>
    </w:p>
    <w:p>
      <w:pPr>
        <w:rPr>
          <w:rFonts w:hint="default"/>
          <w:b/>
          <w:bCs/>
        </w:rPr>
      </w:pPr>
      <w:r>
        <w:rPr>
          <w:rFonts w:hint="default"/>
          <w:b/>
          <w:bCs/>
        </w:rPr>
        <w:t>Rights Conferred to Investors</w:t>
      </w:r>
    </w:p>
    <w:p>
      <w:pPr>
        <w:rPr>
          <w:rFonts w:hint="default"/>
        </w:rPr>
      </w:pPr>
    </w:p>
    <w:p>
      <w:r>
        <w:rPr>
          <w:rFonts w:hint="default"/>
        </w:rPr>
        <w:t>NAV Exposure: Direct, pro-rata economic participation in the financial growth, capital appreciation, and net profits of the specific sub-fund cell in which units are held.</w:t>
      </w:r>
    </w:p>
    <w:p/>
    <w:p>
      <w:r>
        <w:rPr>
          <w:rFonts w:hint="default"/>
        </w:rPr>
        <w:t>Contractual Redemption: Right to exit or liquidate investment units based on the net asset value valuation frequency and redemption schedules in the sub-fund's private placement memorandum.</w:t>
      </w:r>
    </w:p>
    <w:p/>
    <w:p>
      <w:r>
        <w:rPr>
          <w:rFonts w:hint="default"/>
        </w:rPr>
        <w:t>Regulatory Reporting: Guaranteed access to independently audited financial statements, performance disclosures, and asset valuations as mandated by international fund regulations.</w:t>
      </w:r>
    </w:p>
    <w:p/>
    <w:p/>
    <w:p>
      <w:r>
        <w:rPr>
          <w:rFonts w:hint="default"/>
        </w:rPr>
        <w:t>Dividend Yield Distribution: Distribution rights to pro-rata capital yields generated by the operational performance of the underlying commercial holdings.</w:t>
      </w:r>
    </w:p>
    <w:p/>
    <w:p>
      <w:r>
        <w:rPr>
          <w:rFonts w:hint="default"/>
          <w:b/>
          <w:bCs/>
        </w:rPr>
        <w:t>Restrictions Enforced Upon Investors</w:t>
      </w:r>
    </w:p>
    <w:p>
      <w:r>
        <w:rPr>
          <w:rFonts w:hint="default"/>
        </w:rPr>
        <w:t>Exclusion from Foundation Governance: Zero voting rights, zero constitutional override capability, zero vector paths to alter the non-profit, humanitarian, or infrastructural mandate.</w:t>
      </w:r>
    </w:p>
    <w:p/>
    <w:p>
      <w:r>
        <w:rPr>
          <w:rFonts w:hint="default"/>
        </w:rPr>
        <w:t>Exclusion from Corporate Holding Management: No voting rights within Jowih Holdings Limited and zero capability to appoint board members or direct corporate management personnel.</w:t>
      </w:r>
    </w:p>
    <w:p/>
    <w:p>
      <w:r>
        <w:rPr>
          <w:rFonts w:hint="default"/>
        </w:rPr>
        <w:t>Zero Systemic Strategic Control: No mechanism to modify core platform metrics, alter open-source API pricing thresholds, or dictate regional data routing compliance parameters.</w:t>
      </w:r>
    </w:p>
    <w:p/>
    <w:p>
      <w:r>
        <w:rPr>
          <w:rFonts w:hint="default"/>
        </w:rPr>
        <w:t>No Direct Asset Claims: Investment units confer ownership in the fund vehicle's equity classes, not direct, fractional physical title to data centers, network nodes, or sovereign software protocols.</w:t>
      </w:r>
    </w:p>
    <w:p>
      <w:pPr>
        <w:rPr>
          <w:rFonts w:hint="default"/>
        </w:rPr>
      </w:pPr>
    </w:p>
    <w:p>
      <w:pPr>
        <w:rPr>
          <w:rFonts w:hint="default"/>
          <w:b/>
          <w:bCs/>
        </w:rPr>
      </w:pPr>
      <w:r>
        <w:rPr>
          <w:rFonts w:hint="default"/>
          <w:b/>
          <w:bCs/>
        </w:rPr>
        <w:t>X. THE REGULATORY AND COMPLIANCE PATHWAY</w:t>
      </w:r>
    </w:p>
    <w:p>
      <w:pPr>
        <w:rPr>
          <w:rFonts w:hint="default"/>
        </w:rPr>
      </w:pPr>
      <w:r>
        <w:rPr>
          <w:rFonts w:hint="default"/>
        </w:rPr>
        <w:t>The Jowih Master Ecosystem Fund operates in absolute compliance with the Financial Services Commission (FSC) of Mauritius, satisfying all international anti-money laundering (AML), counter-terrorism financing (CTF), and tax transparency standards.</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          MAURITIUS FSC REGULATORY REGIME              </w:t>
      </w:r>
      <w:r>
        <w:rPr>
          <w:rFonts w:hint="default"/>
          <w:lang w:eastAsia="zh-CN"/>
        </w:rPr>
        <w:tab/>
      </w:r>
      <w:r>
        <w:rPr>
          <w:rFonts w:hint="default"/>
          <w:lang w:eastAsia="zh-CN"/>
        </w:rPr>
        <w:t xml:space="preserve">   </w:t>
      </w:r>
      <w:r>
        <w:rPr>
          <w:rFonts w:hint="default"/>
          <w:lang w:val="en-US" w:eastAsia="zh-CN"/>
        </w:rPr>
        <w:t xml:space="preserve"> │</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                          </w:t>
      </w:r>
      <w:r>
        <w:rPr>
          <w:rFonts w:hint="default"/>
          <w:lang w:eastAsia="zh-CN"/>
        </w:rPr>
        <w:tab/>
      </w:r>
      <w:r>
        <w:rPr>
          <w:rFonts w:hint="default"/>
          <w:lang w:eastAsia="zh-CN"/>
        </w:rPr>
        <w:tab/>
      </w:r>
      <w:r>
        <w:rPr>
          <w:rFonts w:hint="default"/>
          <w:lang w:val="en-US" w:eastAsia="zh-CN"/>
        </w:rPr>
        <w:t xml:space="preserve">   ▼                      </w:t>
      </w:r>
      <w:r>
        <w:rPr>
          <w:rFonts w:hint="default"/>
          <w:lang w:eastAsia="zh-CN"/>
        </w:rPr>
        <w:tab/>
      </w:r>
      <w:r>
        <w:rPr>
          <w:rFonts w:hint="default"/>
          <w:lang w:eastAsia="zh-CN"/>
        </w:rPr>
        <w:tab/>
      </w:r>
      <w:r>
        <w:rPr>
          <w:rFonts w:hint="default"/>
          <w:lang w:val="en-US" w:eastAsia="zh-CN"/>
        </w:rPr>
        <w:t xml:space="preserve">      ▼</w:t>
      </w:r>
    </w:p>
    <w:p>
      <w:pPr>
        <w:rPr>
          <w:rFonts w:hint="default"/>
          <w:lang w:val="en-US" w:eastAsia="zh-CN"/>
        </w:rPr>
      </w:pPr>
      <w:r>
        <w:rPr>
          <w:rFonts w:hint="default"/>
          <w:lang w:val="en-US" w:eastAsia="zh-CN"/>
        </w:rPr>
        <w:t>┌───────────────────────────┐ ┌───────────────────────────┐ ┌───────────────────────────┐</w:t>
      </w:r>
    </w:p>
    <w:p>
      <w:pPr>
        <w:rPr>
          <w:rFonts w:hint="default"/>
          <w:lang w:val="en-US" w:eastAsia="zh-CN"/>
        </w:rPr>
      </w:pPr>
      <w:r>
        <w:rPr>
          <w:rFonts w:hint="default"/>
          <w:lang w:val="en-US" w:eastAsia="zh-CN"/>
        </w:rPr>
        <w:t xml:space="preserve">│     VCC FUND REGIME       </w:t>
      </w:r>
      <w:r>
        <w:rPr>
          <w:rFonts w:hint="default"/>
          <w:lang w:eastAsia="zh-CN"/>
        </w:rPr>
        <w:tab/>
      </w:r>
      <w:r>
        <w:rPr>
          <w:rFonts w:hint="default"/>
          <w:lang w:val="en-US" w:eastAsia="zh-CN"/>
        </w:rPr>
        <w:t xml:space="preserve">│ │        CIS LICENSE        </w:t>
      </w:r>
      <w:r>
        <w:rPr>
          <w:rFonts w:hint="default"/>
          <w:lang w:eastAsia="zh-CN"/>
        </w:rPr>
        <w:tab/>
      </w:r>
      <w:r>
        <w:rPr>
          <w:rFonts w:hint="default"/>
          <w:lang w:eastAsia="zh-CN"/>
        </w:rPr>
        <w:t xml:space="preserve">  </w:t>
      </w:r>
      <w:r>
        <w:rPr>
          <w:rFonts w:hint="default"/>
          <w:lang w:val="en-US" w:eastAsia="zh-CN"/>
        </w:rPr>
        <w:t xml:space="preserve">│ │     VAITOS REGULATION     </w:t>
      </w:r>
      <w:r>
        <w:rPr>
          <w:rFonts w:hint="default"/>
          <w:lang w:eastAsia="zh-CN"/>
        </w:rPr>
        <w:t xml:space="preserve"> </w:t>
      </w:r>
      <w:r>
        <w:rPr>
          <w:rFonts w:hint="default"/>
          <w:lang w:eastAsia="zh-CN"/>
        </w:rPr>
        <w:tab/>
      </w:r>
      <w:r>
        <w:rPr>
          <w:rFonts w:hint="default"/>
          <w:lang w:val="en-US" w:eastAsia="zh-CN"/>
        </w:rPr>
        <w:t>│</w:t>
      </w:r>
    </w:p>
    <w:p>
      <w:pPr>
        <w:rPr>
          <w:rFonts w:hint="default"/>
          <w:lang w:val="en-US" w:eastAsia="zh-CN"/>
        </w:rPr>
      </w:pPr>
      <w:r>
        <w:rPr>
          <w:rFonts w:hint="default"/>
          <w:lang w:val="en-US" w:eastAsia="zh-CN"/>
        </w:rPr>
        <w:t xml:space="preserve">│                           </w:t>
      </w:r>
      <w:r>
        <w:rPr>
          <w:rFonts w:hint="default"/>
          <w:lang w:eastAsia="zh-CN"/>
        </w:rPr>
        <w:tab/>
      </w:r>
      <w:r>
        <w:rPr>
          <w:rFonts w:hint="default"/>
          <w:lang w:eastAsia="zh-CN"/>
        </w:rPr>
        <w:tab/>
      </w:r>
      <w:r>
        <w:rPr>
          <w:rFonts w:hint="default"/>
          <w:lang w:val="en-US" w:eastAsia="zh-CN"/>
        </w:rPr>
        <w:t xml:space="preserve">│ │                           </w:t>
      </w:r>
      <w:r>
        <w:rPr>
          <w:rFonts w:hint="default"/>
          <w:lang w:eastAsia="zh-CN"/>
        </w:rPr>
        <w:tab/>
      </w:r>
      <w:r>
        <w:rPr>
          <w:rFonts w:hint="default"/>
          <w:lang w:eastAsia="zh-CN"/>
        </w:rPr>
        <w:t xml:space="preserve">  </w:t>
      </w:r>
      <w:r>
        <w:rPr>
          <w:rFonts w:hint="default"/>
          <w:lang w:val="en-US" w:eastAsia="zh-CN"/>
        </w:rPr>
        <w:t xml:space="preserve">│ │                           </w:t>
      </w:r>
      <w:r>
        <w:rPr>
          <w:rFonts w:hint="default"/>
          <w:lang w:eastAsia="zh-CN"/>
        </w:rPr>
        <w:tab/>
      </w:r>
      <w:r>
        <w:rPr>
          <w:rFonts w:hint="default"/>
          <w:lang w:eastAsia="zh-CN"/>
        </w:rPr>
        <w:tab/>
      </w:r>
      <w:r>
        <w:rPr>
          <w:rFonts w:hint="default"/>
          <w:lang w:val="en-US" w:eastAsia="zh-CN"/>
        </w:rPr>
        <w:t>│</w:t>
      </w:r>
    </w:p>
    <w:p>
      <w:pPr>
        <w:rPr>
          <w:rFonts w:hint="default"/>
          <w:lang w:val="en-US" w:eastAsia="zh-CN"/>
        </w:rPr>
      </w:pPr>
      <w:r>
        <w:rPr>
          <w:rFonts w:hint="default"/>
          <w:lang w:val="en-US" w:eastAsia="zh-CN"/>
        </w:rPr>
        <w:t xml:space="preserve">│ Enforces multi-asset cell </w:t>
      </w:r>
      <w:r>
        <w:rPr>
          <w:rFonts w:hint="default"/>
          <w:lang w:eastAsia="zh-CN"/>
        </w:rPr>
        <w:tab/>
      </w:r>
      <w:r>
        <w:rPr>
          <w:rFonts w:hint="default"/>
          <w:lang w:eastAsia="zh-CN"/>
        </w:rPr>
        <w:tab/>
      </w:r>
      <w:r>
        <w:rPr>
          <w:rFonts w:hint="default"/>
          <w:lang w:val="en-US" w:eastAsia="zh-CN"/>
        </w:rPr>
        <w:t xml:space="preserve">│ │ Authorizes open/closed  </w:t>
      </w:r>
      <w:r>
        <w:rPr>
          <w:rFonts w:hint="default"/>
          <w:lang w:eastAsia="zh-CN"/>
        </w:rPr>
        <w:tab/>
      </w:r>
      <w:r>
        <w:rPr>
          <w:rFonts w:hint="default"/>
          <w:lang w:eastAsia="zh-CN"/>
        </w:rPr>
        <w:tab/>
      </w:r>
      <w:r>
        <w:rPr>
          <w:rFonts w:hint="default"/>
          <w:lang w:eastAsia="zh-CN"/>
        </w:rPr>
        <w:t xml:space="preserve">  </w:t>
      </w:r>
      <w:r>
        <w:rPr>
          <w:rFonts w:hint="default"/>
          <w:lang w:val="en-US" w:eastAsia="zh-CN"/>
        </w:rPr>
        <w:t xml:space="preserve">│ │ Governs future tokenized  </w:t>
      </w:r>
      <w:r>
        <w:rPr>
          <w:rFonts w:hint="default"/>
          <w:lang w:eastAsia="zh-CN"/>
        </w:rPr>
        <w:tab/>
      </w:r>
      <w:r>
        <w:rPr>
          <w:rFonts w:hint="default"/>
          <w:lang w:eastAsia="zh-CN"/>
        </w:rPr>
        <w:tab/>
      </w:r>
      <w:r>
        <w:rPr>
          <w:rFonts w:hint="default"/>
          <w:lang w:val="en-US" w:eastAsia="zh-CN"/>
        </w:rPr>
        <w:t>│</w:t>
      </w:r>
    </w:p>
    <w:p>
      <w:pPr>
        <w:rPr>
          <w:rFonts w:hint="default"/>
          <w:lang w:val="en-US" w:eastAsia="zh-CN"/>
        </w:rPr>
      </w:pPr>
      <w:r>
        <w:rPr>
          <w:rFonts w:hint="default"/>
          <w:lang w:val="en-US" w:eastAsia="zh-CN"/>
        </w:rPr>
        <w:t xml:space="preserve">│ isolation and reporting.  </w:t>
      </w:r>
      <w:r>
        <w:rPr>
          <w:rFonts w:hint="default"/>
          <w:lang w:eastAsia="zh-CN"/>
        </w:rPr>
        <w:tab/>
      </w:r>
      <w:r>
        <w:rPr>
          <w:rFonts w:hint="default"/>
          <w:lang w:eastAsia="zh-CN"/>
        </w:rPr>
        <w:tab/>
      </w:r>
      <w:r>
        <w:rPr>
          <w:rFonts w:hint="default"/>
          <w:lang w:val="en-US" w:eastAsia="zh-CN"/>
        </w:rPr>
        <w:t>│ │ pooled capital management.</w:t>
      </w:r>
      <w:r>
        <w:rPr>
          <w:rFonts w:hint="default"/>
          <w:lang w:eastAsia="zh-CN"/>
        </w:rPr>
        <w:t xml:space="preserve">   </w:t>
      </w:r>
      <w:r>
        <w:rPr>
          <w:rFonts w:hint="default"/>
          <w:lang w:val="en-US" w:eastAsia="zh-CN"/>
        </w:rPr>
        <w:t xml:space="preserve">│ │ micro-fractional units.   </w:t>
      </w:r>
      <w:r>
        <w:rPr>
          <w:rFonts w:hint="default"/>
          <w:lang w:eastAsia="zh-CN"/>
        </w:rPr>
        <w:tab/>
      </w:r>
      <w:r>
        <w:rPr>
          <w:rFonts w:hint="default"/>
          <w:lang w:eastAsia="zh-CN"/>
        </w:rPr>
        <w:tab/>
      </w:r>
      <w:r>
        <w:rPr>
          <w:rFonts w:hint="default"/>
          <w:lang w:val="en-US" w:eastAsia="zh-CN"/>
        </w:rPr>
        <w:t>│</w:t>
      </w:r>
    </w:p>
    <w:p>
      <w:r>
        <w:rPr>
          <w:rFonts w:hint="default"/>
          <w:lang w:val="en-US" w:eastAsia="zh-CN"/>
        </w:rPr>
        <w:t>└───────────────────────────┘ └───────────────────────────┘ └───────────────────────────┘</w:t>
      </w:r>
    </w:p>
    <w:p>
      <w:r>
        <w:rPr>
          <w:rFonts w:hint="default"/>
          <w:b/>
          <w:bCs/>
        </w:rPr>
        <w:t>VCC Fund Regime: </w:t>
      </w:r>
      <w:r>
        <w:rPr>
          <w:rFonts w:hint="default"/>
        </w:rPr>
        <w:t>The structural foundation used to govern multi-tiered, cross-border equity portfolios cleanly across independent sub-funds.</w:t>
      </w:r>
    </w:p>
    <w:p/>
    <w:p>
      <w:r>
        <w:rPr>
          <w:rFonts w:hint="default"/>
          <w:b/>
          <w:bCs/>
        </w:rPr>
        <w:t>CIS License:</w:t>
      </w:r>
      <w:r>
        <w:rPr>
          <w:rFonts w:hint="default"/>
        </w:rPr>
        <w:t> Authorizes the fund to aggregate capital from institutional wealth managers, qualified diaspora investors, and retail networks.</w:t>
      </w:r>
    </w:p>
    <w:p/>
    <w:p>
      <w:r>
        <w:rPr>
          <w:rFonts w:hint="default"/>
          <w:b/>
          <w:bCs/>
        </w:rPr>
        <w:t>VAITOS Act:</w:t>
      </w:r>
      <w:r>
        <w:rPr>
          <w:rFonts w:hint="default"/>
        </w:rPr>
        <w:t xml:space="preserve"> The compliance framework for subsequent phases where investment fund units are digitalized or tokenized, enabling retail micro-fractional investments through the </w:t>
      </w:r>
      <w:r>
        <w:rPr>
          <w:rFonts w:hint="default"/>
        </w:rPr>
        <w:t>Asta wallet</w:t>
      </w:r>
      <w:r>
        <w:rPr>
          <w:rFonts w:hint="default"/>
        </w:rPr>
        <w:t>.</w:t>
      </w:r>
    </w:p>
    <w:p/>
    <w:p>
      <w:pPr>
        <w:rPr>
          <w:rFonts w:hint="default"/>
          <w:b/>
          <w:bCs/>
        </w:rPr>
      </w:pPr>
      <w:r>
        <w:rPr>
          <w:rFonts w:hint="default"/>
          <w:b/>
          <w:bCs/>
        </w:rPr>
        <w:t>The Regulatory Sandbox Protocol</w:t>
      </w:r>
    </w:p>
    <w:p>
      <w:pPr>
        <w:rPr>
          <w:rFonts w:hint="default"/>
        </w:rPr>
      </w:pPr>
      <w:r>
        <w:rPr>
          <w:rFonts w:hint="default"/>
        </w:rPr>
        <w:t>Jowih initiates fundraising operations through the FSC Regulatory Sandbox framework. Operating under a 12-month supervised pilot phase (extendable upon review), the sandbox allows Jowih to test asset valuation mechanisms, cross-border compliance routing, and distribution software. Operations are limited to a defined group of qualified, vetted investors under stringent risk parameters, ensuring absolute compliance before scaling into a full VCC Fund license.</w:t>
      </w:r>
    </w:p>
    <w:p>
      <w:pPr>
        <w:rPr>
          <w:rFonts w:hint="default"/>
        </w:rPr>
      </w:pPr>
    </w:p>
    <w:p>
      <w:pPr>
        <w:rPr>
          <w:rFonts w:hint="default"/>
          <w:b/>
          <w:bCs/>
        </w:rPr>
      </w:pPr>
      <w:r>
        <w:rPr>
          <w:rFonts w:hint="default"/>
          <w:b/>
          <w:bCs/>
        </w:rPr>
        <w:t>XI. STOCK EXCHANGE DISTRIBUTION MATRIX</w:t>
      </w:r>
    </w:p>
    <w:p>
      <w:pPr>
        <w:rPr>
          <w:rFonts w:hint="default"/>
        </w:rPr>
      </w:pPr>
      <w:r>
        <w:rPr>
          <w:rFonts w:hint="default"/>
        </w:rPr>
        <w:t>Jowih integrates regional stock exchanges not as competitors, but as localized capital distribution and clearing interfaces.</w:t>
      </w:r>
    </w:p>
    <w:p>
      <w:pPr>
        <w:rPr>
          <w:rFonts w:hint="default"/>
          <w:b/>
          <w:bCs/>
        </w:rPr>
      </w:pPr>
      <w:r>
        <w:rPr>
          <w:rFonts w:hint="default"/>
          <w:b/>
          <w:bCs/>
        </w:rPr>
        <w:t>Secondary Listing Framework</w:t>
      </w:r>
    </w:p>
    <w:p>
      <w:pPr>
        <w:rPr>
          <w:rFonts w:hint="default"/>
        </w:rPr>
      </w:pPr>
      <w:r>
        <w:rPr>
          <w:rFonts w:hint="default"/>
        </w:rPr>
        <w:t>The Master Ecosystem Fund utilizes its Mauritius VCC regulatory license to establish secondary cross-border listings as a standardized Exchange Traded Fund or collective investment asset class across participating regional bourses (e.g., NSE, NGX, JSE).</w:t>
      </w:r>
    </w:p>
    <w:p>
      <w:pPr>
        <w:rPr>
          <w:rFonts w:hint="default"/>
          <w:b/>
          <w:bCs/>
        </w:rPr>
      </w:pPr>
      <w:r>
        <w:rPr>
          <w:rFonts w:hint="default"/>
          <w:b/>
          <w:bCs/>
        </w:rPr>
        <w:t>Localized Liquidity Clearing</w:t>
      </w:r>
    </w:p>
    <w:p>
      <w:pPr>
        <w:rPr>
          <w:rFonts w:hint="default"/>
        </w:rPr>
      </w:pPr>
      <w:r>
        <w:rPr>
          <w:rFonts w:hint="default"/>
        </w:rPr>
        <w:t>National securities exchanges handle the administrative overhead of user compliance, order matching, and fiat currency settlement within their respective sovereign jurisdictions. Local citizens purchase Master Units directly via their domestic brokers in local currencies, eliminating foreign exchange conversion friction at the consumer level.</w:t>
      </w:r>
    </w:p>
    <w:p>
      <w:pPr>
        <w:rPr>
          <w:rFonts w:hint="default"/>
          <w:b/>
          <w:bCs/>
        </w:rPr>
      </w:pPr>
      <w:r>
        <w:rPr>
          <w:rFonts w:hint="default"/>
          <w:b/>
          <w:bCs/>
        </w:rPr>
        <w:t>Interoperable Settlement Funnel</w:t>
      </w:r>
    </w:p>
    <w:p>
      <w:pPr>
        <w:rPr>
          <w:rFonts w:hint="default"/>
        </w:rPr>
      </w:pPr>
      <w:r>
        <w:rPr>
          <w:rFonts w:hint="default"/>
        </w:rPr>
        <w:t>The aggregated capital captured by regional exchanges is cleared and settled horizontally across the Jowih Payment Rail directly into the master VCC treasury bucket. This architecture enables infinite capital scaling across African markets while maintaining centralized asset isolation, immutable trust configurations, and a pristine corporate cap table.</w:t>
      </w:r>
    </w:p>
    <w:p>
      <w:pPr>
        <w:rPr>
          <w:rFonts w:hint="default"/>
        </w:rPr>
      </w:pPr>
    </w:p>
    <w:p>
      <w:pPr>
        <w:rPr>
          <w:rFonts w:hint="default"/>
          <w:b/>
          <w:bCs/>
        </w:rPr>
      </w:pPr>
      <w:r>
        <w:rPr>
          <w:rFonts w:hint="default"/>
          <w:b/>
          <w:bCs/>
        </w:rPr>
        <w:t>XII. SYSTEM VERIFICATION METRICS</w:t>
      </w:r>
    </w:p>
    <w:p>
      <w:pPr>
        <w:rPr>
          <w:rFonts w:hint="default"/>
        </w:rPr>
      </w:pPr>
      <w:r>
        <w:rPr>
          <w:rFonts w:hint="default"/>
        </w:rPr>
        <w:t>By locking down this architecture, the system establishes three distinct operational guarantees:</w:t>
      </w:r>
    </w:p>
    <w:p/>
    <w:p>
      <w:r>
        <w:rPr>
          <w:rFonts w:hint="default"/>
          <w:b/>
          <w:bCs/>
        </w:rPr>
        <w:t>Pristine Cap Tables:</w:t>
      </w:r>
      <w:r>
        <w:rPr>
          <w:rFonts w:hint="default"/>
        </w:rPr>
        <w:t> The partner company's corporate registry shows one single, clean institutional entry: the Jowih VCC Sector Sub-Fund. It does not list thousands of retail investors, preserving the ability to raise future venture capital smoothly.</w:t>
      </w:r>
    </w:p>
    <w:p/>
    <w:p>
      <w:r>
        <w:rPr>
          <w:rFonts w:hint="default"/>
          <w:b/>
          <w:bCs/>
        </w:rPr>
        <w:t>Absolute Protection from Governance Disruption: </w:t>
      </w:r>
      <w:r>
        <w:rPr>
          <w:rFonts w:hint="default"/>
        </w:rPr>
        <w:t>Because the units distributed via the app/stock exchanges possess zero voting weights, it is structurally impossible for public investor blocks to organize online to disrupt the partner company's local management, alter strategies, or initiate hostile corporate actions.</w:t>
      </w:r>
    </w:p>
    <w:p/>
    <w:p>
      <w:r>
        <w:rPr>
          <w:rFonts w:hint="default"/>
          <w:b/>
          <w:bCs/>
        </w:rPr>
        <w:t>Instant Liquidity Generation:</w:t>
      </w:r>
      <w:r>
        <w:rPr>
          <w:rFonts w:hint="default"/>
        </w:rPr>
        <w:t xml:space="preserve"> Because the sub-fund synthesizes units internally against the vaulted stock, Jowih can manage unit redemptions, trading, and fractional cash-ins inside the </w:t>
      </w:r>
      <w:r>
        <w:rPr>
          <w:rFonts w:hint="default"/>
        </w:rPr>
        <w:t>Asta wallet</w:t>
      </w:r>
      <w:r>
        <w:rPr>
          <w:rFonts w:hint="default"/>
        </w:rPr>
        <w:t xml:space="preserve"> plane without ever touching or disturbing the partner company's physical shares.</w:t>
      </w:r>
    </w:p>
    <w:p>
      <w:pPr>
        <w:rPr>
          <w:rFonts w:hint="default"/>
          <w:b/>
          <w:bCs/>
        </w:rPr>
      </w:pPr>
    </w:p>
    <w:p>
      <w:pPr>
        <w:rPr>
          <w:rFonts w:hint="default"/>
          <w:b/>
          <w:bCs/>
        </w:rPr>
      </w:pPr>
      <w:r>
        <w:rPr>
          <w:rFonts w:hint="default"/>
          <w:b/>
          <w:bCs/>
        </w:rPr>
        <w:t>XIII. THE STAGED ROADMAP TO CONTINENTAL IMPLEMENTATION</w:t>
      </w:r>
    </w:p>
    <w:p>
      <w:pPr>
        <w:rPr>
          <w:rFonts w:hint="default"/>
        </w:rPr>
      </w:pPr>
      <w:r>
        <w:rPr>
          <w:rFonts w:hint="default"/>
          <w:lang w:val="en-US" w:eastAsia="zh-CN"/>
        </w:rPr>
        <w:t>text</w:t>
      </w:r>
    </w:p>
    <w:p>
      <w:pPr>
        <w:rPr>
          <w:rFonts w:hint="default"/>
        </w:rPr>
      </w:pPr>
      <w:r>
        <w:rPr>
          <w:rFonts w:hint="default"/>
        </w:rPr>
        <w:t>┌─────────────────────────────────────────────────────────────────────────────┐</w:t>
      </w:r>
    </w:p>
    <w:p>
      <w:pPr>
        <w:rPr>
          <w:rFonts w:hint="default"/>
        </w:rPr>
      </w:pPr>
      <w:r>
        <w:rPr>
          <w:rFonts w:hint="default"/>
        </w:rPr>
        <w:t xml:space="preserve">│ STAGE 1: FOUNDATION                                                         </w:t>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w:t>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Establish Foundation (CLG), Jowih Holdings, &amp; Operating Core.               </w:t>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 xml:space="preserve">│ STAGE 2: SANDBOX PILOT                                                      </w:t>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w:t>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Deploy VCC under FSC Sandbox with limited qualified investors.              </w:t>
      </w:r>
      <w:r>
        <w:rPr>
          <w:rFonts w:hint="default"/>
        </w:rPr>
        <w:tab/>
      </w:r>
      <w:r>
        <w:rPr>
          <w:rFonts w:hint="default"/>
        </w:rPr>
        <w:tab/>
      </w:r>
      <w:r>
        <w:rPr>
          <w:rFonts w:hint="default"/>
        </w:rPr>
        <w:tab/>
      </w:r>
      <w:r>
        <w:rPr>
          <w:rFonts w:hint="default"/>
        </w:rPr>
        <w:t xml:space="preserve">  │</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 xml:space="preserve">│ STAGE 3: LICENSING                                                          </w:t>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w:t>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Transition to full VCC Fund License; open public participation.             </w:t>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 xml:space="preserve">│ STAGE 4: EXPANSION                                                          </w:t>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w:t>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Scale specialized sub-funds and initiate VAITOS tokenization.               </w:t>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w:t>
      </w:r>
    </w:p>
    <w:p>
      <w:r>
        <w:rPr>
          <w:rFonts w:hint="default"/>
          <w:b/>
          <w:bCs/>
        </w:rPr>
        <w:t>Stage 1: Foundation and Structural Setup</w:t>
      </w:r>
    </w:p>
    <w:p>
      <w:r>
        <w:rPr>
          <w:rFonts w:hint="default"/>
        </w:rPr>
        <w:t>Incorporate the Jowih Foundation as a non-profit Company Limited by Guarantee under Mauritius law, establishing the irrevocable asset lock.</w:t>
      </w:r>
    </w:p>
    <w:p>
      <w:r>
        <w:rPr>
          <w:rFonts w:hint="default"/>
        </w:rPr>
        <w:t>Establish Jowih Holdings Limited and configure the Purpose and Family Trust voting mechanics.</w:t>
      </w:r>
    </w:p>
    <w:p/>
    <w:p>
      <w:r>
        <w:rPr>
          <w:rFonts w:hint="default"/>
        </w:rPr>
        <w:t>Deploy initial commercial operating companies to begin building core Asta infra, implementing The GAG without external commercial capital. This is through the Jowih Grid Bond.</w:t>
      </w:r>
    </w:p>
    <w:p>
      <w:pPr>
        <w:rPr>
          <w:b/>
          <w:bCs/>
        </w:rPr>
      </w:pPr>
    </w:p>
    <w:p>
      <w:r>
        <w:rPr>
          <w:rFonts w:hint="default"/>
          <w:b/>
          <w:bCs/>
        </w:rPr>
        <w:t>Stage 2: Sandbox Pilot Execution</w:t>
      </w:r>
    </w:p>
    <w:p>
      <w:r>
        <w:rPr>
          <w:rFonts w:hint="default"/>
        </w:rPr>
        <w:t>Launch the VCC shell within the FSC Regulatory Sandbox framework.</w:t>
      </w:r>
    </w:p>
    <w:p>
      <w:r>
        <w:rPr>
          <w:rFonts w:hint="default"/>
        </w:rPr>
        <w:t>Onboard a ring-fenced group of qualified seed allocators to test the ledger, micro-transaction processing, and automated auditing systems.</w:t>
      </w:r>
    </w:p>
    <w:p>
      <w:r>
        <w:rPr>
          <w:rFonts w:hint="default"/>
        </w:rPr>
        <w:t>Formalize the asset eligibility valuation rubrics for the initial infrastructure components.</w:t>
      </w:r>
    </w:p>
    <w:p/>
    <w:p>
      <w:r>
        <w:rPr>
          <w:rFonts w:hint="default"/>
          <w:b/>
          <w:bCs/>
        </w:rPr>
        <w:t>Stage 3: Full Fund Licensing and Public Onboarding</w:t>
      </w:r>
    </w:p>
    <w:p>
      <w:r>
        <w:rPr>
          <w:rFonts w:hint="default"/>
        </w:rPr>
        <w:t>Complete the sandbox tracking period and exit into full VCC Fund and CIS licensing status.</w:t>
      </w:r>
    </w:p>
    <w:p>
      <w:r>
        <w:rPr>
          <w:rFonts w:hint="default"/>
        </w:rPr>
        <w:t>Package mature, revenue-generating commercial assets into the active investable portfolio.</w:t>
      </w:r>
    </w:p>
    <w:p>
      <w:r>
        <w:rPr>
          <w:rFonts w:hint="default"/>
        </w:rPr>
        <w:t>Open investment unit subscription options to pan-African citizens and international diaspora networks under strict compliance protocols.</w:t>
      </w:r>
    </w:p>
    <w:p/>
    <w:p>
      <w:r>
        <w:rPr>
          <w:rFonts w:hint="default"/>
          <w:b/>
          <w:bCs/>
        </w:rPr>
        <w:t>Stage 4: High-Scale Continental Expansion</w:t>
      </w:r>
    </w:p>
    <w:p>
      <w:r>
        <w:rPr>
          <w:rFonts w:hint="default"/>
        </w:rPr>
        <w:t>Introduce specialized, sector-specific sub-funds focusing on decentralized renewable energy grids, smart municipal nodes, and regional transit lines.</w:t>
      </w:r>
    </w:p>
    <w:p>
      <w:r>
        <w:rPr>
          <w:rFonts w:hint="default"/>
        </w:rPr>
        <w:t>Operationalize the VAITOS tokenization layer, allowing automated micro-fractional investment entries to execute natively inside the consumer Ecosystem.</w:t>
      </w:r>
    </w:p>
    <w:p>
      <w:r>
        <w:rPr>
          <w:rFonts w:hint="default"/>
        </w:rPr>
        <w:t>Explore secondary market listings of closed-end sub-funds on regulated regional African securities exchanges to maximize investor exit liquidity.</w:t>
      </w:r>
    </w:p>
    <w:p/>
    <w:p>
      <w:pPr>
        <w:rPr>
          <w:rFonts w:hint="default"/>
        </w:rPr>
      </w:pPr>
    </w:p>
    <w:p>
      <w:pPr>
        <w:rPr>
          <w:rFonts w:hint="default"/>
          <w:b/>
          <w:bCs/>
        </w:rPr>
      </w:pPr>
      <w:r>
        <w:rPr>
          <w:rFonts w:hint="default"/>
          <w:b/>
          <w:bCs/>
        </w:rPr>
        <w:t>XIV. ARCHITECTURAL OBJECTIVES MATRIX</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979"/>
        <w:gridCol w:w="83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979" w:type="dxa"/>
            <w:tcBorders>
              <w:top w:val="nil"/>
            </w:tcBorders>
            <w:shd w:val="clear" w:color="auto" w:fill="auto"/>
            <w:tcMar>
              <w:top w:w="150" w:type="dxa"/>
              <w:left w:w="0" w:type="dxa"/>
              <w:bottom w:w="150" w:type="dxa"/>
              <w:right w:w="240" w:type="dxa"/>
            </w:tcMar>
            <w:vAlign w:val="center"/>
          </w:tcPr>
          <w:p>
            <w:pPr>
              <w:rPr>
                <w:rFonts w:hint="default"/>
                <w:b/>
                <w:bCs/>
              </w:rPr>
            </w:pPr>
            <w:r>
              <w:rPr>
                <w:rFonts w:hint="default"/>
                <w:b/>
                <w:bCs/>
                <w:lang w:val="en-US" w:eastAsia="zh-CN"/>
              </w:rPr>
              <w:t>Core Objective</w:t>
            </w:r>
          </w:p>
        </w:tc>
        <w:tc>
          <w:tcPr>
            <w:tcW w:w="8301" w:type="dxa"/>
            <w:tcBorders>
              <w:top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Structural Execution Mechanism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Absolute Foundation Non-Dilution</w:t>
            </w:r>
          </w:p>
        </w:tc>
        <w:tc>
          <w:tcPr>
            <w:tcW w:w="8301" w:type="dxa"/>
            <w:shd w:val="clear" w:color="auto" w:fill="auto"/>
            <w:tcMar>
              <w:top w:w="150" w:type="dxa"/>
              <w:left w:w="240" w:type="dxa"/>
              <w:bottom w:w="150" w:type="dxa"/>
              <w:right w:w="0" w:type="dxa"/>
            </w:tcMar>
            <w:vAlign w:val="center"/>
          </w:tcPr>
          <w:p>
            <w:pPr>
              <w:rPr>
                <w:rFonts w:hint="default"/>
              </w:rPr>
            </w:pPr>
            <w:r>
              <w:rPr>
                <w:rFonts w:hint="default"/>
                <w:lang w:val="en-US" w:eastAsia="zh-CN"/>
              </w:rPr>
              <w:t>Foundation is a Company Limited by Guarantee. Zero share capital. Cannot issue equity. Structurally impossible to dilute or purchase.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Total Insulation from Hostile Takeover</w:t>
            </w:r>
          </w:p>
        </w:tc>
        <w:tc>
          <w:tcPr>
            <w:tcW w:w="8301" w:type="dxa"/>
            <w:shd w:val="clear" w:color="auto" w:fill="auto"/>
            <w:tcMar>
              <w:top w:w="150" w:type="dxa"/>
              <w:left w:w="240" w:type="dxa"/>
              <w:bottom w:w="150" w:type="dxa"/>
              <w:right w:w="0" w:type="dxa"/>
            </w:tcMar>
            <w:vAlign w:val="center"/>
          </w:tcPr>
          <w:p>
            <w:pPr>
              <w:rPr>
                <w:rFonts w:hint="default"/>
              </w:rPr>
            </w:pPr>
            <w:r>
              <w:rPr>
                <w:rFonts w:hint="default"/>
                <w:lang w:val="en-US" w:eastAsia="zh-CN"/>
              </w:rPr>
              <w:t>VCC sub-fund units grant economic exposure only. Voting weight is quarantined within the Purpose and Family Trusts.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Democratized Pan-African Capitalization</w:t>
            </w:r>
          </w:p>
        </w:tc>
        <w:tc>
          <w:tcPr>
            <w:tcW w:w="830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Citizens and diaspora acquire liquid, regulated fund units directly through native financial interfaces and regional stock exchanges.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Permanent Mission Integrity</w:t>
            </w:r>
          </w:p>
        </w:tc>
        <w:tc>
          <w:tcPr>
            <w:tcW w:w="8301" w:type="dxa"/>
            <w:shd w:val="clear" w:color="auto" w:fill="auto"/>
            <w:tcMar>
              <w:top w:w="150" w:type="dxa"/>
              <w:left w:w="240" w:type="dxa"/>
              <w:bottom w:w="150" w:type="dxa"/>
              <w:right w:w="0" w:type="dxa"/>
            </w:tcMar>
            <w:vAlign w:val="center"/>
          </w:tcPr>
          <w:p>
            <w:pPr>
              <w:rPr>
                <w:rFonts w:hint="default"/>
              </w:rPr>
            </w:pPr>
            <w:r>
              <w:rPr>
                <w:rFonts w:hint="default"/>
                <w:lang w:val="en-US" w:eastAsia="zh-CN"/>
              </w:rPr>
              <w:t>Asset Lock, Mission-Lock, and the Foundation's Golden Vote remain completely outside the investable plane.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Sustainable Capital Recirculation</w:t>
            </w:r>
          </w:p>
        </w:tc>
        <w:tc>
          <w:tcPr>
            <w:tcW w:w="8301" w:type="dxa"/>
            <w:shd w:val="clear" w:color="auto" w:fill="auto"/>
            <w:tcMar>
              <w:top w:w="150" w:type="dxa"/>
              <w:left w:w="240" w:type="dxa"/>
              <w:bottom w:w="150" w:type="dxa"/>
              <w:right w:w="0" w:type="dxa"/>
            </w:tcMar>
            <w:vAlign w:val="center"/>
          </w:tcPr>
          <w:p>
            <w:pPr>
              <w:rPr>
                <w:rFonts w:hint="default"/>
              </w:rPr>
            </w:pPr>
            <w:r>
              <w:rPr>
                <w:rFonts w:hint="default"/>
                <w:lang w:val="en-US" w:eastAsia="zh-CN"/>
              </w:rPr>
              <w:t>Fund injects capital into revenue-generating components. 90% of holding-level profits route back to the Foundation.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De-Risked Cross-Border Operations</w:t>
            </w:r>
          </w:p>
        </w:tc>
        <w:tc>
          <w:tcPr>
            <w:tcW w:w="8301" w:type="dxa"/>
            <w:shd w:val="clear" w:color="auto" w:fill="auto"/>
            <w:tcMar>
              <w:top w:w="150" w:type="dxa"/>
              <w:left w:w="240" w:type="dxa"/>
              <w:bottom w:w="150" w:type="dxa"/>
              <w:right w:w="0" w:type="dxa"/>
            </w:tcMar>
            <w:vAlign w:val="center"/>
          </w:tcPr>
          <w:p>
            <w:pPr>
              <w:rPr>
                <w:rFonts w:hint="default"/>
              </w:rPr>
            </w:pPr>
            <w:r>
              <w:rPr>
                <w:rFonts w:hint="default"/>
                <w:lang w:val="en-US" w:eastAsia="zh-CN"/>
              </w:rPr>
              <w:t>Entire architecture governed by Mauritius FSC frameworks, providing institutional-grade trust to global investors.</w:t>
            </w:r>
          </w:p>
        </w:tc>
      </w:tr>
    </w:tbl>
    <w:p>
      <w:pPr>
        <w:rPr>
          <w:rFonts w:hint="default"/>
        </w:rPr>
      </w:pPr>
    </w:p>
    <w:p>
      <w:pPr>
        <w:rPr>
          <w:rFonts w:hint="default"/>
          <w:b/>
          <w:bCs/>
        </w:rPr>
      </w:pPr>
      <w:r>
        <w:rPr>
          <w:rFonts w:hint="default"/>
          <w:b/>
          <w:bCs/>
        </w:rPr>
        <w:t>XV. ADMINISTRATIVE AND OPERATIONAL CONSTRAINTS</w:t>
      </w:r>
    </w:p>
    <w:p>
      <w:r>
        <w:rPr>
          <w:rFonts w:hint="default"/>
        </w:rPr>
        <w:t>This architecture is a sophisticated institutional financial product requiring rigorous ongoing compliance:</w:t>
      </w:r>
    </w:p>
    <w:p>
      <w:r>
        <w:rPr>
          <w:rFonts w:hint="default"/>
        </w:rPr>
        <w:t>Specialized Legal Counsel: Retention of tier-one securities, fund, and tax attorneys within Mauritius and target African jurisdictions.</w:t>
      </w:r>
    </w:p>
    <w:p>
      <w:r>
        <w:rPr>
          <w:rFonts w:hint="default"/>
        </w:rPr>
        <w:t>Regulatory Oversight: Ongoing sandbox reporting, full licensing filings, and regular compliance audits by the Mauritius FSC.</w:t>
      </w:r>
    </w:p>
    <w:p>
      <w:r>
        <w:rPr>
          <w:rFonts w:hint="default"/>
        </w:rPr>
        <w:t>Ecosystem Custodianship: Appointment of independent fund administrators, independent asset valuation experts, licensed custodians, and international auditors.</w:t>
      </w:r>
    </w:p>
    <w:p>
      <w:r>
        <w:rPr>
          <w:rFonts w:hint="default"/>
        </w:rPr>
        <w:t>Compliance Infrastructure: Continuous deployment of institutional-grade AML and KYC screening across all digital investment entry interfaces.</w:t>
      </w:r>
    </w:p>
    <w:p/>
    <w:p>
      <w:pPr>
        <w:rPr>
          <w:rFonts w:hint="default"/>
          <w:b/>
          <w:bCs/>
        </w:rPr>
      </w:pPr>
    </w:p>
    <w:p>
      <w:pPr>
        <w:rPr>
          <w:rFonts w:hint="default"/>
          <w:b/>
          <w:bCs/>
        </w:rPr>
      </w:pPr>
      <w:r>
        <w:rPr>
          <w:rFonts w:hint="default"/>
          <w:b/>
          <w:bCs/>
        </w:rPr>
        <w:t>DEFINITIVE SUMMARY</w:t>
      </w:r>
    </w:p>
    <w:p>
      <w:pPr>
        <w:rPr>
          <w:rFonts w:hint="default"/>
        </w:rPr>
      </w:pPr>
      <w:r>
        <w:rPr>
          <w:rFonts w:hint="default"/>
        </w:rPr>
        <w:t>The Jowih Master Ecosystem Fund is the Jowih 100 -an index of the top 500 eligible companies in Africa, including Jowih's own. Partners deposit equity into the vault. The dollar value of that equity determines their weight. Capital is distributed by valuation weight, not by equity percentage. A 5% stake in a $1B company gets more capital than a 49% stake in a $20M company. Jowih takes 30% for the core. Partners divide 70% pro-rata to the dollar value they vaulted. Investors buy non-voting units for pure economic exposure. The mission layer is untouched.</w:t>
      </w:r>
    </w:p>
    <w:p>
      <w:pPr>
        <w:rPr>
          <w:rFonts w:hint="default"/>
        </w:rPr>
      </w:pPr>
      <w:r>
        <w:rPr>
          <w:rFonts w:hint="default"/>
        </w:rPr>
        <w:t>Jowih opens its commercial operating layer to highly liquid, regulated economic participation by African citizens and the diaspora, while permanently locking the non-profit foundation layer to ensure absolute mission immunity, non-dilutability, and long-term infrastructural neutrality.</w:t>
      </w:r>
    </w:p>
    <w:p/>
    <w:sectPr>
      <w:pgSz w:w="16783" w:h="23757"/>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Bitstream Charter">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99FABA9"/>
    <w:rsid w:val="76BFD93A"/>
    <w:rsid w:val="7BF80711"/>
    <w:rsid w:val="A731C519"/>
    <w:rsid w:val="CB8F3DA5"/>
    <w:rsid w:val="D99FABA9"/>
    <w:rsid w:val="DE9B6C4F"/>
    <w:rsid w:val="EFADFF33"/>
    <w:rsid w:val="F7B99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5202</Words>
  <Characters>21556</Characters>
  <Lines>0</Lines>
  <Paragraphs>0</Paragraphs>
  <TotalTime>64</TotalTime>
  <ScaleCrop>false</ScaleCrop>
  <LinksUpToDate>false</LinksUpToDate>
  <CharactersWithSpaces>27836</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2026-09-20T16:53:00Z</dcterms:created>
  <dc:creator>jowih-corporation</dc:creator>
  <cp:lastModifiedBy>jowih-corporation</cp:lastModifiedBy>
  <dcterms:modified xsi:type="dcterms:W3CDTF">2026-09-21T16:28:49Z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