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default"/>
          <w:lang w:val="en-US" w:eastAsia="zh-CN"/>
        </w:rPr>
        <w:t>Land in the Neutral Reserve = appreciates when development happens around it. Because no new units are minted, the appreciation flows directly to NAV per unit. Unit holders' units appreciate without dilution. The reserve is still there when the next batch of units is sold. The next batch is sold at a higher NAV per unit. The Foundation gets its 30% share of the sale. The Foundation has made up its 30% whether its companies are worth it or not. **The NAV jumped to US$150B** where the reserve contributed US$30B. It is a fair game.] this section is misleading coz its should now showcase the minting of units at 0.05 from that NAV ..then this is a serious jowih 100 so raising 20b i.the 80Bn is the NAV at the begginin then we sold units geberated 80% ,,use that amount to calculate now the illustrative not the 20% subscription and the valuation example,,same to staged scalabilty this section is misleading ...[Internal 30/70 = the split between Foundation and Partner buckets. Never changes. Total Outstanding % = the circulating units. Remains 30/70 internally. Neutral Reserve = a percentage backing. Does not take outstanding. Does not dilute. Adds to NAV. Backs every unit. Land in the Neutral Reserve = appreciates when development happens around it. Because no new units are minted, the appreciation flows directly to NAV per unit. Unit holders' units appreciate without dilution. The reserve is still there when the next batch of units is sold. The next batch is sold at a higher NAV per unit. The Foundation gets its 30% share of the sale. The Foundation has made up its 30% whether its companies are worth it or not. **The NAV jumped to US$150B** where the reserve contributed US$30B. It is a fair game.] it doesnot tal in terms of units geerated and the 80% sold in stage 2...also i said you add a specific section under land just for this why neutral rerseve section</w:t>
      </w:r>
    </w:p>
    <w:p>
      <w:r>
        <w:rPr>
          <w:rFonts w:hint="default"/>
        </w:rPr>
        <w:t>JOWIH MASTER ECOSYSTEM FUND</w:t>
      </w:r>
    </w:p>
    <w:p>
      <w:pPr>
        <w:rPr>
          <w:rFonts w:hint="default"/>
        </w:rPr>
      </w:pPr>
      <w:r>
        <w:rPr>
          <w:rFonts w:hint="default"/>
        </w:rPr>
        <w:t>CONSOLIDATED INSTITUTIONAL BLUEPRINT — VERSION 11.0</w:t>
      </w:r>
    </w:p>
    <w:p>
      <w:pPr>
        <w:rPr>
          <w:rFonts w:hint="default"/>
        </w:rPr>
      </w:pPr>
      <w:r>
        <w:rPr>
          <w:rFonts w:hint="default"/>
        </w:rPr>
        <w:t>Jowih 100 → Jowih 500 Index</w:t>
      </w:r>
    </w:p>
    <w:p>
      <w:pPr>
        <w:rPr>
          <w:rFonts w:hint="default"/>
        </w:rPr>
      </w:pPr>
      <w:r>
        <w:rPr>
          <w:rFonts w:hint="default"/>
        </w:rPr>
        <w:t>Regulated Economic Participation, Asset Vaulting &amp; Development Capital Architecture</w:t>
      </w:r>
    </w:p>
    <w:p>
      <w:r>
        <w:rPr>
          <w:rFonts w:hint="default"/>
        </w:rPr>
        <w:pict>
          <v:rect id="_x0000_i1073" o:spt="1" style="height:1.5pt;width:432pt;" fillcolor="#A0A0A0" filled="t" stroked="f" coordsize="21600,21600" o:hr="t" o:hrstd="t" o:hralign="center">
            <v:path/>
            <v:fill on="t" focussize="0,0"/>
            <v:stroke on="f"/>
            <v:imagedata o:title=""/>
            <o:lock v:ext="edit"/>
            <w10:wrap type="none"/>
            <w10:anchorlock/>
          </v:rect>
        </w:pict>
      </w:r>
    </w:p>
    <w:p>
      <w:r>
        <w:rPr>
          <w:rFonts w:hint="default"/>
        </w:rPr>
        <w:t>Document Classification:</w:t>
      </w:r>
      <w:r>
        <w:rPr>
          <w:rFonts w:hint="default"/>
        </w:rPr>
        <w:t xml:space="preserve"> Institutional Architecture Blueprint</w:t>
      </w:r>
    </w:p>
    <w:p>
      <w:r>
        <w:rPr>
          <w:rFonts w:hint="default"/>
        </w:rPr>
        <w:t>Status:</w:t>
      </w:r>
      <w:r>
        <w:rPr>
          <w:rFonts w:hint="default"/>
        </w:rPr>
        <w:t xml:space="preserve"> Proposed Architecture — Subject to Final Legal, Regulatory, Tax, Valuation and Structural Implementation</w:t>
      </w:r>
    </w:p>
    <w:p>
      <w:r>
        <w:rPr>
          <w:rFonts w:hint="default"/>
        </w:rPr>
        <w:t>Primary Jurisdictional Architecture:</w:t>
      </w:r>
      <w:r>
        <w:rPr>
          <w:rFonts w:hint="default"/>
        </w:rPr>
        <w:t xml:space="preserve"> Mauritius, with applicable host-jurisdiction requirements governed by the Accelerated Development Framework Agreement (ADFA)</w:t>
      </w:r>
    </w:p>
    <w:p>
      <w:r>
        <w:rPr>
          <w:rFonts w:hint="default"/>
        </w:rPr>
        <w:t>Listing Partners:</w:t>
      </w:r>
      <w:r>
        <w:rPr>
          <w:rFonts w:hint="default"/>
        </w:rPr>
        <w:t xml:space="preserve"> NSE (Nairobi Securities Exchange) and other regulated African securities exchanges</w:t>
      </w:r>
    </w:p>
    <w:p>
      <w:r>
        <w:pict>
          <v:rect id="_x0000_i1074"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EXECUTIVE ARCHITECTURE STATEMENT</w:t>
      </w:r>
    </w:p>
    <w:p>
      <w:r>
        <w:rPr>
          <w:rFonts w:hint="default"/>
        </w:rPr>
        <w:t xml:space="preserve">The </w:t>
      </w:r>
      <w:r>
        <w:rPr>
          <w:rFonts w:hint="default"/>
        </w:rPr>
        <w:t>Jowih Master Ecosystem Fund ("Master Fund")</w:t>
      </w:r>
      <w:r>
        <w:rPr>
          <w:rFonts w:hint="default"/>
        </w:rPr>
        <w:t xml:space="preserve"> is the definitive regulated economic-participation and asset-capital layer of the Jowih commercial ecosystem.</w:t>
      </w:r>
    </w:p>
    <w:p>
      <w:r>
        <w:rPr>
          <w:rFonts w:hint="default"/>
        </w:rPr>
        <w:t xml:space="preserve">The Master Fund is designed to aggregate qualifying commercial assets, establish independently determined valuations, issue regulated non-voting investment units, and provide permitted investors with economic exposure to defined Fund portfolios without providing governance access to the </w:t>
      </w:r>
      <w:r>
        <w:rPr>
          <w:rFonts w:hint="default"/>
        </w:rPr>
        <w:t>Jowih Foundation</w:t>
      </w:r>
      <w:r>
        <w:rPr>
          <w:rFonts w:hint="default"/>
        </w:rPr>
        <w:t>, its constitutional mission, or its protected governance architecture.</w:t>
      </w:r>
    </w:p>
    <w:p>
      <w:r>
        <w:rPr>
          <w:rFonts w:hint="default"/>
        </w:rPr>
        <w:t>The architecture establishes a permanent separation between:</w:t>
      </w:r>
    </w:p>
    <w:p/>
    <w:p>
      <w:r>
        <w:rPr>
          <w:rFonts w:hint="default"/>
        </w:rPr>
        <w:t>mission governance;</w:t>
      </w:r>
    </w:p>
    <w:p/>
    <w:p/>
    <w:p>
      <w:r>
        <w:rPr>
          <w:rFonts w:hint="default"/>
        </w:rPr>
        <w:t>commercial ownership and strategic control;</w:t>
      </w:r>
    </w:p>
    <w:p/>
    <w:p/>
    <w:p>
      <w:r>
        <w:rPr>
          <w:rFonts w:hint="default"/>
        </w:rPr>
        <w:t>operational execution;</w:t>
      </w:r>
      <w:r>
        <w:rPr>
          <w:rFonts w:hint="default"/>
        </w:rPr>
        <w:t xml:space="preserve"> and</w:t>
      </w:r>
    </w:p>
    <w:p/>
    <w:p/>
    <w:p>
      <w:r>
        <w:rPr>
          <w:rFonts w:hint="default"/>
        </w:rPr>
        <w:t>regulated economic participation.</w:t>
      </w:r>
    </w:p>
    <w:p/>
    <w:p>
      <w:r>
        <w:rPr>
          <w:rFonts w:hint="default"/>
        </w:rPr>
        <w:t xml:space="preserve">The Master Fund begins with the </w:t>
      </w:r>
      <w:r>
        <w:rPr>
          <w:rFonts w:hint="default"/>
        </w:rPr>
        <w:t>Jowih 100</w:t>
      </w:r>
      <w:r>
        <w:rPr>
          <w:rFonts w:hint="default"/>
        </w:rPr>
        <w:t xml:space="preserve">—an initial qualifying universe of up to 100 eligible commercial enterprises—and is designed to expand progressively toward the </w:t>
      </w:r>
      <w:r>
        <w:rPr>
          <w:rFonts w:hint="default"/>
        </w:rPr>
        <w:t>Jowih 500</w:t>
      </w:r>
      <w:r>
        <w:rPr>
          <w:rFonts w:hint="default"/>
        </w:rPr>
        <w:t xml:space="preserve"> as qualifying enterprises, sectors, geographic coverage, and underlying asset value increase.</w:t>
      </w:r>
    </w:p>
    <w:p>
      <w:r>
        <w:rPr>
          <w:rFonts w:hint="default"/>
        </w:rPr>
        <w:t>The principal commercial allocation is:</w:t>
      </w:r>
    </w:p>
    <w:p>
      <w:r>
        <w:rPr>
          <w:rFonts w:hint="eastAsia"/>
        </w:rPr>
        <w:t>30% Jowih Core / 70% Ecosystem Partners</w:t>
      </w:r>
    </w:p>
    <w:p>
      <w:r>
        <w:rPr>
          <w:rFonts w:hint="default"/>
        </w:rPr>
        <w:t xml:space="preserve">A separate </w:t>
      </w:r>
      <w:r>
        <w:rPr>
          <w:rFonts w:hint="default"/>
        </w:rPr>
        <w:t>Neutral Reserve</w:t>
      </w:r>
      <w:r>
        <w:rPr>
          <w:rFonts w:hint="default"/>
        </w:rPr>
        <w:t xml:space="preserve"> accommodates qualifying assets that do not belong to either Core or Partner category, with land serving as the principal contemplated example.</w:t>
      </w:r>
    </w:p>
    <w:p>
      <w:r>
        <w:rPr>
          <w:rFonts w:hint="default"/>
        </w:rPr>
        <w:t xml:space="preserve">Separately, the </w:t>
      </w:r>
      <w:r>
        <w:rPr>
          <w:rFonts w:hint="default"/>
        </w:rPr>
        <w:t>Land Acquisition &amp; Settlement Facility</w:t>
      </w:r>
      <w:r>
        <w:rPr>
          <w:rFonts w:hint="default"/>
        </w:rPr>
        <w:t xml:space="preserve"> provides an approved mechanism through which qualifying projects may, where legally permissible, combine cash consideration with Master Fund Units when acquiring land required for development.</w:t>
      </w:r>
    </w:p>
    <w:p>
      <w:r>
        <w:rPr>
          <w:rFonts w:hint="default"/>
        </w:rPr>
        <w:t>The architecture therefore creates two distinct functions:</w:t>
      </w:r>
    </w:p>
    <w:p>
      <w:r>
        <w:rPr>
          <w:rFonts w:hint="default"/>
        </w:rPr>
        <w:t>Asset Participation:</w:t>
      </w:r>
      <w:r>
        <w:rPr>
          <w:rFonts w:hint="default"/>
        </w:rPr>
        <w:br w:type="textWrapping"/>
      </w:r>
      <w:r>
        <w:rPr>
          <w:rFonts w:hint="default"/>
        </w:rPr>
        <w:t>Eligible assets are vaulted into the Fund and represented through regulated economic participation.</w:t>
      </w:r>
    </w:p>
    <w:p>
      <w:r>
        <w:rPr>
          <w:rFonts w:hint="default"/>
        </w:rPr>
        <w:t>Development Settlement:</w:t>
      </w:r>
      <w:r>
        <w:rPr>
          <w:rFonts w:hint="default"/>
        </w:rPr>
        <w:br w:type="textWrapping"/>
      </w:r>
      <w:r>
        <w:rPr>
          <w:rFonts w:hint="default"/>
        </w:rPr>
        <w:t>Approved projects may use Fund Units as part of legally permissible consideration for qualifying land transactions.</w:t>
      </w:r>
    </w:p>
    <w:p>
      <w:r>
        <w:rPr>
          <w:rFonts w:hint="default"/>
        </w:rPr>
        <w:t>Neither mechanism transfers governance of the Jowih Foundation to Fund participants.</w:t>
      </w:r>
    </w:p>
    <w:p>
      <w:r>
        <w:rPr>
          <w:rFonts w:hint="eastAsia"/>
        </w:rPr>
        <w:t>Illustrative Example Only:</w:t>
      </w:r>
      <w:r>
        <w:rPr>
          <w:rFonts w:hint="eastAsia"/>
        </w:rPr>
        <w:t xml:space="preserve"> All numerical figures in this Blueprint are illustrative examples of the architecture's mechanics. They do not constitute a valuation, a capital raise target, a guarantee, or a permanent Fund ceiling. Actual authorized capacity and unit pricing shall be determined by the independently established valuation of qualifying vaulted assets at the time of Fund establishment and thereafter adjusted through the approved authorization mechanism.</w:t>
      </w:r>
    </w:p>
    <w:p>
      <w:r>
        <w:rPr>
          <w:rFonts w:hint="eastAsia"/>
        </w:rPr>
        <w:t>Unit Pricing Principle:</w:t>
      </w:r>
      <w:r>
        <w:rPr>
          <w:rFonts w:hint="eastAsia"/>
        </w:rPr>
        <w:t xml:space="preserve"> The Fund shall issue units at a price accessible to African citizens and the diaspora. The illustrative unit price used in this Blueprint is </w:t>
      </w:r>
      <w:r>
        <w:rPr>
          <w:rFonts w:hint="eastAsia"/>
        </w:rPr>
        <w:t>US$0.05 (five cents)</w:t>
      </w:r>
      <w:r>
        <w:rPr>
          <w:rFonts w:hint="eastAsia"/>
        </w:rPr>
        <w:t>. This is an example only. The final unit price shall be determined at Fund establishment based on independently established NAV, accessibility objectives, and regulatory requirements.</w:t>
      </w:r>
    </w:p>
    <w:p>
      <w:r>
        <w:pict>
          <v:rect id="_x0000_i1075"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I. PURPOSE AND CORE PRINCIPLES</w:t>
      </w:r>
    </w:p>
    <w:p>
      <w:pPr>
        <w:rPr>
          <w:rFonts w:hint="default"/>
        </w:rPr>
      </w:pPr>
      <w:r>
        <w:rPr>
          <w:rFonts w:hint="default"/>
        </w:rPr>
        <w:t>1.1 Purpose</w:t>
      </w:r>
    </w:p>
    <w:p>
      <w:r>
        <w:rPr>
          <w:rFonts w:hint="default"/>
        </w:rPr>
        <w:t>This Blueprint establishes the proposed institutional framework for:</w:t>
      </w:r>
    </w:p>
    <w:p/>
    <w:p>
      <w:r>
        <w:rPr>
          <w:rFonts w:hint="default"/>
        </w:rPr>
        <w:t>capital aggregation;</w:t>
      </w:r>
    </w:p>
    <w:p/>
    <w:p/>
    <w:p>
      <w:r>
        <w:rPr>
          <w:rFonts w:hint="default"/>
        </w:rPr>
        <w:t>economic participation;</w:t>
      </w:r>
    </w:p>
    <w:p/>
    <w:p/>
    <w:p>
      <w:r>
        <w:rPr>
          <w:rFonts w:hint="default"/>
        </w:rPr>
        <w:t>commercial asset vaulting;</w:t>
      </w:r>
    </w:p>
    <w:p/>
    <w:p/>
    <w:p>
      <w:r>
        <w:rPr>
          <w:rFonts w:hint="default"/>
        </w:rPr>
        <w:t>regulated investment-unit issuance;</w:t>
      </w:r>
    </w:p>
    <w:p/>
    <w:p/>
    <w:p>
      <w:r>
        <w:rPr>
          <w:rFonts w:hint="default"/>
        </w:rPr>
        <w:t>valuation and NAV administration;</w:t>
      </w:r>
    </w:p>
    <w:p/>
    <w:p/>
    <w:p>
      <w:r>
        <w:rPr>
          <w:rFonts w:hint="default"/>
        </w:rPr>
        <w:t>Treasury capacity management;</w:t>
      </w:r>
    </w:p>
    <w:p/>
    <w:p/>
    <w:p>
      <w:r>
        <w:rPr>
          <w:rFonts w:hint="default"/>
        </w:rPr>
        <w:t>qualifying neutral-asset integration;</w:t>
      </w:r>
    </w:p>
    <w:p/>
    <w:p/>
    <w:p>
      <w:r>
        <w:rPr>
          <w:rFonts w:hint="default"/>
        </w:rPr>
        <w:t>development-linked economic settlement; and</w:t>
      </w:r>
    </w:p>
    <w:p/>
    <w:p/>
    <w:p>
      <w:r>
        <w:rPr>
          <w:rFonts w:hint="default"/>
        </w:rPr>
        <w:t>scalable participation across the Jowih commercial ecosystem.</w:t>
      </w:r>
    </w:p>
    <w:p/>
    <w:p>
      <w:r>
        <w:rPr>
          <w:rFonts w:hint="default"/>
        </w:rPr>
        <w:t>The architecture is designed to provide African citizens, members of the global African diaspora, qualified ecosystem participants, and other permitted investors with regulated economic exposure to eligible Jowih commercial assets without creating governance access to the Jowih Foundation or its protected mission architecture.</w:t>
      </w:r>
    </w:p>
    <w:p>
      <w:pPr>
        <w:rPr>
          <w:rFonts w:hint="default"/>
        </w:rPr>
      </w:pPr>
      <w:r>
        <w:rPr>
          <w:rFonts w:hint="default"/>
        </w:rPr>
        <w:t>1.2 Structural Separation Principle</w:t>
      </w:r>
    </w:p>
    <w:p>
      <w:r>
        <w:rPr>
          <w:rFonts w:hint="default"/>
        </w:rPr>
        <w:t>The Master Fund operates on three foundational principles: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251"/>
        <w:gridCol w:w="80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325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Principle</w:t>
            </w:r>
          </w:p>
        </w:tc>
        <w:tc>
          <w:tcPr>
            <w:tcW w:w="8029"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Structural Requirement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251" w:type="dxa"/>
            <w:shd w:val="clear"/>
            <w:tcMar>
              <w:top w:w="150" w:type="dxa"/>
              <w:left w:w="0" w:type="dxa"/>
              <w:bottom w:w="150" w:type="dxa"/>
              <w:right w:w="240" w:type="dxa"/>
            </w:tcMar>
            <w:vAlign w:val="center"/>
          </w:tcPr>
          <w:p>
            <w:pPr>
              <w:rPr>
                <w:rFonts w:hint="default"/>
              </w:rPr>
            </w:pPr>
            <w:r>
              <w:rPr>
                <w:rFonts w:hint="default"/>
                <w:lang w:val="en-US" w:eastAsia="zh-CN"/>
              </w:rPr>
              <w:t>Economic Participation ≠ Governance</w:t>
            </w:r>
          </w:p>
        </w:tc>
        <w:tc>
          <w:tcPr>
            <w:tcW w:w="8029" w:type="dxa"/>
            <w:shd w:val="clear"/>
            <w:tcMar>
              <w:top w:w="150" w:type="dxa"/>
              <w:left w:w="240" w:type="dxa"/>
              <w:bottom w:w="150" w:type="dxa"/>
              <w:right w:w="0" w:type="dxa"/>
            </w:tcMar>
            <w:vAlign w:val="center"/>
          </w:tcPr>
          <w:p>
            <w:pPr>
              <w:rPr>
                <w:rFonts w:hint="default"/>
              </w:rPr>
            </w:pPr>
            <w:r>
              <w:rPr>
                <w:rFonts w:hint="default"/>
                <w:lang w:val="en-US" w:eastAsia="zh-CN"/>
              </w:rPr>
              <w:t>Investment units provide defined economic rights but do not provide Foundation governance rights.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251" w:type="dxa"/>
            <w:shd w:val="clear"/>
            <w:tcMar>
              <w:top w:w="150" w:type="dxa"/>
              <w:left w:w="0" w:type="dxa"/>
              <w:bottom w:w="150" w:type="dxa"/>
              <w:right w:w="240" w:type="dxa"/>
            </w:tcMar>
            <w:vAlign w:val="center"/>
          </w:tcPr>
          <w:p>
            <w:pPr>
              <w:rPr>
                <w:rFonts w:hint="default"/>
              </w:rPr>
            </w:pPr>
            <w:r>
              <w:rPr>
                <w:rFonts w:hint="default"/>
                <w:lang w:val="en-US" w:eastAsia="zh-CN"/>
              </w:rPr>
              <w:t>Downstream Investment ≠ Upstream Control</w:t>
            </w:r>
          </w:p>
        </w:tc>
        <w:tc>
          <w:tcPr>
            <w:tcW w:w="8029" w:type="dxa"/>
            <w:shd w:val="clear"/>
            <w:tcMar>
              <w:top w:w="150" w:type="dxa"/>
              <w:left w:w="240" w:type="dxa"/>
              <w:bottom w:w="150" w:type="dxa"/>
              <w:right w:w="0" w:type="dxa"/>
            </w:tcMar>
            <w:vAlign w:val="center"/>
          </w:tcPr>
          <w:p>
            <w:pPr>
              <w:rPr>
                <w:rFonts w:hint="default"/>
              </w:rPr>
            </w:pPr>
            <w:r>
              <w:rPr>
                <w:rFonts w:hint="default"/>
                <w:lang w:val="en-US" w:eastAsia="zh-CN"/>
              </w:rPr>
              <w:t>Participation in the Fund does not transfer control of the underlying operating companies, Jowih Holdings, or the Foundation.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251" w:type="dxa"/>
            <w:shd w:val="clear"/>
            <w:tcMar>
              <w:top w:w="150" w:type="dxa"/>
              <w:left w:w="0" w:type="dxa"/>
              <w:bottom w:w="150" w:type="dxa"/>
              <w:right w:w="240" w:type="dxa"/>
            </w:tcMar>
            <w:vAlign w:val="center"/>
          </w:tcPr>
          <w:p>
            <w:pPr>
              <w:rPr>
                <w:rFonts w:hint="default"/>
              </w:rPr>
            </w:pPr>
            <w:r>
              <w:rPr>
                <w:rFonts w:hint="default"/>
                <w:lang w:val="en-US" w:eastAsia="zh-CN"/>
              </w:rPr>
              <w:t>Mission Protection</w:t>
            </w:r>
          </w:p>
        </w:tc>
        <w:tc>
          <w:tcPr>
            <w:tcW w:w="8029" w:type="dxa"/>
            <w:shd w:val="clear"/>
            <w:tcMar>
              <w:top w:w="150" w:type="dxa"/>
              <w:left w:w="240" w:type="dxa"/>
              <w:bottom w:w="150" w:type="dxa"/>
              <w:right w:w="0" w:type="dxa"/>
            </w:tcMar>
            <w:vAlign w:val="center"/>
          </w:tcPr>
          <w:p>
            <w:pPr>
              <w:rPr>
                <w:rFonts w:hint="default"/>
              </w:rPr>
            </w:pPr>
            <w:r>
              <w:rPr>
                <w:rFonts w:hint="default"/>
                <w:lang w:val="en-US" w:eastAsia="zh-CN"/>
              </w:rPr>
              <w:t>The Foundation's mission, constitutional protections and protected governance architecture remain outside the investable plane.</w:t>
            </w:r>
          </w:p>
        </w:tc>
      </w:tr>
    </w:tbl>
    <w:p>
      <w:pPr>
        <w:rPr>
          <w:rFonts w:hint="default"/>
        </w:rPr>
      </w:pPr>
      <w:r>
        <w:rPr>
          <w:rFonts w:hint="default"/>
        </w:rPr>
        <w:t>1.3 Core Ownership Statement</w:t>
      </w:r>
    </w:p>
    <w:p>
      <w:r>
        <w:rPr>
          <w:rFonts w:hint="default"/>
        </w:rPr>
        <w:t>For the avoidance of doubt:</w:t>
      </w:r>
    </w:p>
    <w:p>
      <w:r>
        <w:rPr>
          <w:rFonts w:hint="eastAsia"/>
        </w:rPr>
        <w:t>Using Jowih services does not constitute ownership. Integrating with Jowih does not constitute ownership. Investing through the Master Fund does not constitute ownership or control of the Jowih Foundation.</w:t>
      </w:r>
    </w:p>
    <w:p>
      <w:r>
        <w:pict>
          <v:rect id="_x0000_i1076"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II. ECOSYSTEM PARTICIPATION ARCHITECTURE</w:t>
      </w:r>
    </w:p>
    <w:p>
      <w:r>
        <w:rPr>
          <w:rFonts w:hint="default"/>
        </w:rPr>
        <w:t>Jowih distinguishes three operational participation vectors:</w:t>
      </w:r>
    </w:p>
    <w:tbl>
      <w:tblPr>
        <w:tblW w:w="134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717"/>
        <w:gridCol w:w="2732"/>
        <w:gridCol w:w="4249"/>
        <w:gridCol w:w="47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1717"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Framework Metric</w:t>
            </w:r>
          </w:p>
        </w:tc>
        <w:tc>
          <w:tcPr>
            <w:tcW w:w="273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USE</w:t>
            </w:r>
          </w:p>
        </w:tc>
        <w:tc>
          <w:tcPr>
            <w:tcW w:w="4249"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INTEGRATE</w:t>
            </w:r>
          </w:p>
        </w:tc>
        <w:tc>
          <w:tcPr>
            <w:tcW w:w="4723"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INVEST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717" w:type="dxa"/>
            <w:shd w:val="clear"/>
            <w:tcMar>
              <w:top w:w="150" w:type="dxa"/>
              <w:left w:w="0" w:type="dxa"/>
              <w:bottom w:w="150" w:type="dxa"/>
              <w:right w:w="240" w:type="dxa"/>
            </w:tcMar>
            <w:vAlign w:val="center"/>
          </w:tcPr>
          <w:p>
            <w:pPr>
              <w:rPr>
                <w:rFonts w:hint="default"/>
              </w:rPr>
            </w:pPr>
            <w:r>
              <w:rPr>
                <w:rFonts w:hint="default"/>
                <w:lang w:val="en-US" w:eastAsia="zh-CN"/>
              </w:rPr>
              <w:t>Participant Base</w:t>
            </w:r>
          </w:p>
        </w:tc>
        <w:tc>
          <w:tcPr>
            <w:tcW w:w="2732" w:type="dxa"/>
            <w:shd w:val="clear"/>
            <w:tcMar>
              <w:top w:w="150" w:type="dxa"/>
              <w:left w:w="240" w:type="dxa"/>
              <w:bottom w:w="150" w:type="dxa"/>
              <w:right w:w="240" w:type="dxa"/>
            </w:tcMar>
            <w:vAlign w:val="center"/>
          </w:tcPr>
          <w:p>
            <w:pPr>
              <w:rPr>
                <w:rFonts w:hint="default"/>
              </w:rPr>
            </w:pPr>
            <w:r>
              <w:rPr>
                <w:rFonts w:hint="default"/>
                <w:lang w:val="en-US" w:eastAsia="zh-CN"/>
              </w:rPr>
              <w:t>Consumers, citizens and end-users</w:t>
            </w:r>
          </w:p>
        </w:tc>
        <w:tc>
          <w:tcPr>
            <w:tcW w:w="4249" w:type="dxa"/>
            <w:shd w:val="clear"/>
            <w:tcMar>
              <w:top w:w="150" w:type="dxa"/>
              <w:left w:w="240" w:type="dxa"/>
              <w:bottom w:w="150" w:type="dxa"/>
              <w:right w:w="240" w:type="dxa"/>
            </w:tcMar>
            <w:vAlign w:val="center"/>
          </w:tcPr>
          <w:p>
            <w:pPr>
              <w:rPr>
                <w:rFonts w:hint="default"/>
              </w:rPr>
            </w:pPr>
            <w:r>
              <w:rPr>
                <w:rFonts w:hint="default"/>
                <w:lang w:val="en-US" w:eastAsia="zh-CN"/>
              </w:rPr>
              <w:t>Developers, commercial enterprises, infrastructure operators and qualifying institutional entities</w:t>
            </w:r>
          </w:p>
        </w:tc>
        <w:tc>
          <w:tcPr>
            <w:tcW w:w="4723" w:type="dxa"/>
            <w:shd w:val="clear"/>
            <w:tcMar>
              <w:top w:w="150" w:type="dxa"/>
              <w:left w:w="240" w:type="dxa"/>
              <w:bottom w:w="150" w:type="dxa"/>
              <w:right w:w="0" w:type="dxa"/>
            </w:tcMar>
            <w:vAlign w:val="center"/>
          </w:tcPr>
          <w:p>
            <w:pPr>
              <w:rPr>
                <w:rFonts w:hint="default"/>
              </w:rPr>
            </w:pPr>
            <w:r>
              <w:rPr>
                <w:rFonts w:hint="default"/>
                <w:lang w:val="en-US" w:eastAsia="zh-CN"/>
              </w:rPr>
              <w:t>African citizens, diaspora participants, networks and other permitted investors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717" w:type="dxa"/>
            <w:shd w:val="clear"/>
            <w:tcMar>
              <w:top w:w="150" w:type="dxa"/>
              <w:left w:w="0" w:type="dxa"/>
              <w:bottom w:w="150" w:type="dxa"/>
              <w:right w:w="240" w:type="dxa"/>
            </w:tcMar>
            <w:vAlign w:val="center"/>
          </w:tcPr>
          <w:p>
            <w:pPr>
              <w:rPr>
                <w:rFonts w:hint="default"/>
              </w:rPr>
            </w:pPr>
            <w:r>
              <w:rPr>
                <w:rFonts w:hint="default"/>
                <w:lang w:val="en-US" w:eastAsia="zh-CN"/>
              </w:rPr>
              <w:t>Primary Function</w:t>
            </w:r>
          </w:p>
        </w:tc>
        <w:tc>
          <w:tcPr>
            <w:tcW w:w="2732" w:type="dxa"/>
            <w:shd w:val="clear"/>
            <w:tcMar>
              <w:top w:w="150" w:type="dxa"/>
              <w:left w:w="240" w:type="dxa"/>
              <w:bottom w:w="150" w:type="dxa"/>
              <w:right w:w="240" w:type="dxa"/>
            </w:tcMar>
            <w:vAlign w:val="center"/>
          </w:tcPr>
          <w:p>
            <w:pPr>
              <w:rPr>
                <w:rFonts w:hint="default"/>
              </w:rPr>
            </w:pPr>
            <w:r>
              <w:rPr>
                <w:rFonts w:hint="default"/>
                <w:lang w:val="en-US" w:eastAsia="zh-CN"/>
              </w:rPr>
              <w:t>Consume Jowih services and utilities</w:t>
            </w:r>
          </w:p>
        </w:tc>
        <w:tc>
          <w:tcPr>
            <w:tcW w:w="4249" w:type="dxa"/>
            <w:shd w:val="clear"/>
            <w:tcMar>
              <w:top w:w="150" w:type="dxa"/>
              <w:left w:w="240" w:type="dxa"/>
              <w:bottom w:w="150" w:type="dxa"/>
              <w:right w:w="240" w:type="dxa"/>
            </w:tcMar>
            <w:vAlign w:val="center"/>
          </w:tcPr>
          <w:p>
            <w:pPr>
              <w:rPr>
                <w:rFonts w:hint="default"/>
              </w:rPr>
            </w:pPr>
            <w:r>
              <w:rPr>
                <w:rFonts w:hint="default"/>
                <w:lang w:val="en-US" w:eastAsia="zh-CN"/>
              </w:rPr>
              <w:t>Integrate technology, services, infrastructure and commercial capabilities</w:t>
            </w:r>
          </w:p>
        </w:tc>
        <w:tc>
          <w:tcPr>
            <w:tcW w:w="4723" w:type="dxa"/>
            <w:shd w:val="clear"/>
            <w:tcMar>
              <w:top w:w="150" w:type="dxa"/>
              <w:left w:w="240" w:type="dxa"/>
              <w:bottom w:w="150" w:type="dxa"/>
              <w:right w:w="0" w:type="dxa"/>
            </w:tcMar>
            <w:vAlign w:val="center"/>
          </w:tcPr>
          <w:p>
            <w:pPr>
              <w:rPr>
                <w:rFonts w:hint="default"/>
              </w:rPr>
            </w:pPr>
            <w:r>
              <w:rPr>
                <w:rFonts w:hint="default"/>
                <w:lang w:val="en-US" w:eastAsia="zh-CN"/>
              </w:rPr>
              <w:t>Provide or receive regulated economic capital through eligible Fund structures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717" w:type="dxa"/>
            <w:shd w:val="clear"/>
            <w:tcMar>
              <w:top w:w="150" w:type="dxa"/>
              <w:left w:w="0" w:type="dxa"/>
              <w:bottom w:w="150" w:type="dxa"/>
              <w:right w:w="240" w:type="dxa"/>
            </w:tcMar>
            <w:vAlign w:val="center"/>
          </w:tcPr>
          <w:p>
            <w:pPr>
              <w:rPr>
                <w:rFonts w:hint="default"/>
              </w:rPr>
            </w:pPr>
            <w:r>
              <w:rPr>
                <w:rFonts w:hint="default"/>
                <w:lang w:val="en-US" w:eastAsia="zh-CN"/>
              </w:rPr>
              <w:t>Operational Interface</w:t>
            </w:r>
          </w:p>
        </w:tc>
        <w:tc>
          <w:tcPr>
            <w:tcW w:w="2732" w:type="dxa"/>
            <w:shd w:val="clear"/>
            <w:tcMar>
              <w:top w:w="150" w:type="dxa"/>
              <w:left w:w="240" w:type="dxa"/>
              <w:bottom w:w="150" w:type="dxa"/>
              <w:right w:w="240" w:type="dxa"/>
            </w:tcMar>
            <w:vAlign w:val="center"/>
          </w:tcPr>
          <w:p>
            <w:pPr>
              <w:rPr>
                <w:rFonts w:hint="default"/>
              </w:rPr>
            </w:pPr>
            <w:r>
              <w:rPr>
                <w:rFonts w:hint="default"/>
                <w:lang w:val="en-US" w:eastAsia="zh-CN"/>
              </w:rPr>
              <w:t>Jowih platforms and services</w:t>
            </w:r>
          </w:p>
        </w:tc>
        <w:tc>
          <w:tcPr>
            <w:tcW w:w="4249" w:type="dxa"/>
            <w:shd w:val="clear"/>
            <w:tcMar>
              <w:top w:w="150" w:type="dxa"/>
              <w:left w:w="240" w:type="dxa"/>
              <w:bottom w:w="150" w:type="dxa"/>
              <w:right w:w="240" w:type="dxa"/>
            </w:tcMar>
            <w:vAlign w:val="center"/>
          </w:tcPr>
          <w:p>
            <w:pPr>
              <w:rPr>
                <w:rFonts w:hint="default"/>
              </w:rPr>
            </w:pPr>
            <w:r>
              <w:rPr>
                <w:rFonts w:hint="default"/>
                <w:lang w:val="en-US" w:eastAsia="zh-CN"/>
              </w:rPr>
              <w:t>APIs, SDKs, contractual interfaces and GAG infrastructure</w:t>
            </w:r>
          </w:p>
        </w:tc>
        <w:tc>
          <w:tcPr>
            <w:tcW w:w="4723" w:type="dxa"/>
            <w:shd w:val="clear"/>
            <w:tcMar>
              <w:top w:w="150" w:type="dxa"/>
              <w:left w:w="240" w:type="dxa"/>
              <w:bottom w:w="150" w:type="dxa"/>
              <w:right w:w="0" w:type="dxa"/>
            </w:tcMar>
            <w:vAlign w:val="center"/>
          </w:tcPr>
          <w:p>
            <w:pPr>
              <w:rPr>
                <w:rFonts w:hint="default"/>
              </w:rPr>
            </w:pPr>
            <w:r>
              <w:rPr>
                <w:rFonts w:hint="default"/>
                <w:lang w:val="en-US" w:eastAsia="zh-CN"/>
              </w:rPr>
              <w:t>Regulated Fund Units and approved investment channels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717" w:type="dxa"/>
            <w:shd w:val="clear"/>
            <w:tcMar>
              <w:top w:w="150" w:type="dxa"/>
              <w:left w:w="0" w:type="dxa"/>
              <w:bottom w:w="150" w:type="dxa"/>
              <w:right w:w="240" w:type="dxa"/>
            </w:tcMar>
            <w:vAlign w:val="center"/>
          </w:tcPr>
          <w:p>
            <w:pPr>
              <w:rPr>
                <w:rFonts w:hint="default"/>
              </w:rPr>
            </w:pPr>
            <w:r>
              <w:rPr>
                <w:rFonts w:hint="default"/>
                <w:lang w:val="en-US" w:eastAsia="zh-CN"/>
              </w:rPr>
              <w:t>Economic Return</w:t>
            </w:r>
          </w:p>
        </w:tc>
        <w:tc>
          <w:tcPr>
            <w:tcW w:w="2732" w:type="dxa"/>
            <w:shd w:val="clear"/>
            <w:tcMar>
              <w:top w:w="150" w:type="dxa"/>
              <w:left w:w="240" w:type="dxa"/>
              <w:bottom w:w="150" w:type="dxa"/>
              <w:right w:w="240" w:type="dxa"/>
            </w:tcMar>
            <w:vAlign w:val="center"/>
          </w:tcPr>
          <w:p>
            <w:pPr>
              <w:rPr>
                <w:rFonts w:hint="default"/>
              </w:rPr>
            </w:pPr>
            <w:r>
              <w:rPr>
                <w:rFonts w:hint="default"/>
                <w:lang w:val="en-US" w:eastAsia="zh-CN"/>
              </w:rPr>
              <w:t>Access to services and platform utility</w:t>
            </w:r>
          </w:p>
        </w:tc>
        <w:tc>
          <w:tcPr>
            <w:tcW w:w="4249" w:type="dxa"/>
            <w:shd w:val="clear"/>
            <w:tcMar>
              <w:top w:w="150" w:type="dxa"/>
              <w:left w:w="240" w:type="dxa"/>
              <w:bottom w:w="150" w:type="dxa"/>
              <w:right w:w="240" w:type="dxa"/>
            </w:tcMar>
            <w:vAlign w:val="center"/>
          </w:tcPr>
          <w:p>
            <w:pPr>
              <w:rPr>
                <w:rFonts w:hint="default"/>
              </w:rPr>
            </w:pPr>
            <w:r>
              <w:rPr>
                <w:rFonts w:hint="default"/>
                <w:lang w:val="en-US" w:eastAsia="zh-CN"/>
              </w:rPr>
              <w:t>Commercial revenue, market access and integration capability</w:t>
            </w:r>
          </w:p>
        </w:tc>
        <w:tc>
          <w:tcPr>
            <w:tcW w:w="4723" w:type="dxa"/>
            <w:shd w:val="clear"/>
            <w:tcMar>
              <w:top w:w="150" w:type="dxa"/>
              <w:left w:w="240" w:type="dxa"/>
              <w:bottom w:w="150" w:type="dxa"/>
              <w:right w:w="0" w:type="dxa"/>
            </w:tcMar>
            <w:vAlign w:val="center"/>
          </w:tcPr>
          <w:p>
            <w:pPr>
              <w:rPr>
                <w:rFonts w:hint="default"/>
              </w:rPr>
            </w:pPr>
            <w:r>
              <w:rPr>
                <w:rFonts w:hint="default"/>
                <w:lang w:val="en-US" w:eastAsia="zh-CN"/>
              </w:rPr>
              <w:t>Economic exposure to applicable Fund NAV and distributable performance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717" w:type="dxa"/>
            <w:shd w:val="clear"/>
            <w:tcMar>
              <w:top w:w="150" w:type="dxa"/>
              <w:left w:w="0" w:type="dxa"/>
              <w:bottom w:w="150" w:type="dxa"/>
              <w:right w:w="240" w:type="dxa"/>
            </w:tcMar>
            <w:vAlign w:val="center"/>
          </w:tcPr>
          <w:p>
            <w:pPr>
              <w:rPr>
                <w:rFonts w:hint="default"/>
              </w:rPr>
            </w:pPr>
            <w:r>
              <w:rPr>
                <w:rFonts w:hint="default"/>
                <w:lang w:val="en-US" w:eastAsia="zh-CN"/>
              </w:rPr>
              <w:t>Governance Access</w:t>
            </w:r>
          </w:p>
        </w:tc>
        <w:tc>
          <w:tcPr>
            <w:tcW w:w="2732" w:type="dxa"/>
            <w:shd w:val="clear"/>
            <w:tcMar>
              <w:top w:w="150" w:type="dxa"/>
              <w:left w:w="240" w:type="dxa"/>
              <w:bottom w:w="150" w:type="dxa"/>
              <w:right w:w="240" w:type="dxa"/>
            </w:tcMar>
            <w:vAlign w:val="center"/>
          </w:tcPr>
          <w:p>
            <w:pPr>
              <w:rPr>
                <w:rFonts w:hint="default"/>
              </w:rPr>
            </w:pPr>
            <w:r>
              <w:rPr>
                <w:rFonts w:hint="default"/>
                <w:lang w:val="en-US" w:eastAsia="zh-CN"/>
              </w:rPr>
              <w:t>None</w:t>
            </w:r>
          </w:p>
        </w:tc>
        <w:tc>
          <w:tcPr>
            <w:tcW w:w="4249" w:type="dxa"/>
            <w:shd w:val="clear"/>
            <w:tcMar>
              <w:top w:w="150" w:type="dxa"/>
              <w:left w:w="240" w:type="dxa"/>
              <w:bottom w:w="150" w:type="dxa"/>
              <w:right w:w="240" w:type="dxa"/>
            </w:tcMar>
            <w:vAlign w:val="center"/>
          </w:tcPr>
          <w:p>
            <w:pPr>
              <w:rPr>
                <w:rFonts w:hint="default"/>
              </w:rPr>
            </w:pPr>
            <w:r>
              <w:rPr>
                <w:rFonts w:hint="default"/>
                <w:lang w:val="en-US" w:eastAsia="zh-CN"/>
              </w:rPr>
              <w:t>None</w:t>
            </w:r>
          </w:p>
        </w:tc>
        <w:tc>
          <w:tcPr>
            <w:tcW w:w="4723" w:type="dxa"/>
            <w:shd w:val="clear"/>
            <w:tcMar>
              <w:top w:w="150" w:type="dxa"/>
              <w:left w:w="240" w:type="dxa"/>
              <w:bottom w:w="150" w:type="dxa"/>
              <w:right w:w="0" w:type="dxa"/>
            </w:tcMar>
            <w:vAlign w:val="center"/>
          </w:tcPr>
          <w:p>
            <w:pPr>
              <w:rPr>
                <w:rFonts w:hint="default"/>
              </w:rPr>
            </w:pPr>
            <w:r>
              <w:rPr>
                <w:rFonts w:hint="default"/>
                <w:lang w:val="en-US" w:eastAsia="zh-CN"/>
              </w:rPr>
              <w:t>None beyond statutory/unit-holder rights expressly provided by the applicable Fund documents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717" w:type="dxa"/>
            <w:shd w:val="clear"/>
            <w:tcMar>
              <w:top w:w="150" w:type="dxa"/>
              <w:left w:w="0" w:type="dxa"/>
              <w:bottom w:w="150" w:type="dxa"/>
              <w:right w:w="240" w:type="dxa"/>
            </w:tcMar>
            <w:vAlign w:val="center"/>
          </w:tcPr>
          <w:p>
            <w:pPr>
              <w:rPr>
                <w:rFonts w:hint="default"/>
              </w:rPr>
            </w:pPr>
            <w:r>
              <w:rPr>
                <w:rFonts w:hint="default"/>
                <w:lang w:val="en-US" w:eastAsia="zh-CN"/>
              </w:rPr>
              <w:t>Primary Instrument</w:t>
            </w:r>
          </w:p>
        </w:tc>
        <w:tc>
          <w:tcPr>
            <w:tcW w:w="2732" w:type="dxa"/>
            <w:shd w:val="clear"/>
            <w:tcMar>
              <w:top w:w="150" w:type="dxa"/>
              <w:left w:w="240" w:type="dxa"/>
              <w:bottom w:w="150" w:type="dxa"/>
              <w:right w:w="240" w:type="dxa"/>
            </w:tcMar>
            <w:vAlign w:val="center"/>
          </w:tcPr>
          <w:p>
            <w:pPr>
              <w:rPr>
                <w:rFonts w:hint="default"/>
              </w:rPr>
            </w:pPr>
            <w:r>
              <w:rPr>
                <w:rFonts w:hint="default"/>
                <w:lang w:val="en-US" w:eastAsia="zh-CN"/>
              </w:rPr>
              <w:t>Consumer account/service relationship</w:t>
            </w:r>
          </w:p>
        </w:tc>
        <w:tc>
          <w:tcPr>
            <w:tcW w:w="4249" w:type="dxa"/>
            <w:shd w:val="clear"/>
            <w:tcMar>
              <w:top w:w="150" w:type="dxa"/>
              <w:left w:w="240" w:type="dxa"/>
              <w:bottom w:w="150" w:type="dxa"/>
              <w:right w:w="240" w:type="dxa"/>
            </w:tcMar>
            <w:vAlign w:val="center"/>
          </w:tcPr>
          <w:p>
            <w:pPr>
              <w:rPr>
                <w:rFonts w:hint="default"/>
              </w:rPr>
            </w:pPr>
            <w:r>
              <w:rPr>
                <w:rFonts w:hint="default"/>
                <w:lang w:val="en-US" w:eastAsia="zh-CN"/>
              </w:rPr>
              <w:t>Commercial agreements, APIs, SDKs, SLAs and integration credentials</w:t>
            </w:r>
          </w:p>
        </w:tc>
        <w:tc>
          <w:tcPr>
            <w:tcW w:w="4723" w:type="dxa"/>
            <w:shd w:val="clear"/>
            <w:tcMar>
              <w:top w:w="150" w:type="dxa"/>
              <w:left w:w="240" w:type="dxa"/>
              <w:bottom w:w="150" w:type="dxa"/>
              <w:right w:w="0" w:type="dxa"/>
            </w:tcMar>
            <w:vAlign w:val="center"/>
          </w:tcPr>
          <w:p>
            <w:pPr>
              <w:rPr>
                <w:rFonts w:hint="default"/>
              </w:rPr>
            </w:pPr>
            <w:r>
              <w:rPr>
                <w:rFonts w:hint="default"/>
                <w:lang w:val="en-US" w:eastAsia="zh-CN"/>
              </w:rPr>
              <w:t>Regulated non-voting investment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717" w:type="dxa"/>
            <w:shd w:val="clear"/>
            <w:tcMar>
              <w:top w:w="150" w:type="dxa"/>
              <w:left w:w="0" w:type="dxa"/>
              <w:bottom w:w="150" w:type="dxa"/>
              <w:right w:w="240" w:type="dxa"/>
            </w:tcMar>
            <w:vAlign w:val="center"/>
          </w:tcPr>
          <w:p>
            <w:pPr>
              <w:rPr>
                <w:rFonts w:hint="default"/>
              </w:rPr>
            </w:pPr>
            <w:r>
              <w:rPr>
                <w:rFonts w:hint="default"/>
                <w:lang w:val="en-US" w:eastAsia="zh-CN"/>
              </w:rPr>
              <w:t>Mission Layer</w:t>
            </w:r>
          </w:p>
        </w:tc>
        <w:tc>
          <w:tcPr>
            <w:tcW w:w="2732" w:type="dxa"/>
            <w:shd w:val="clear"/>
            <w:tcMar>
              <w:top w:w="150" w:type="dxa"/>
              <w:left w:w="240" w:type="dxa"/>
              <w:bottom w:w="150" w:type="dxa"/>
              <w:right w:w="240" w:type="dxa"/>
            </w:tcMar>
            <w:vAlign w:val="center"/>
          </w:tcPr>
          <w:p>
            <w:pPr>
              <w:rPr>
                <w:rFonts w:hint="default"/>
              </w:rPr>
            </w:pPr>
            <w:r>
              <w:rPr>
                <w:rFonts w:hint="default"/>
                <w:lang w:val="en-US" w:eastAsia="zh-CN"/>
              </w:rPr>
              <w:t>Permanently insulated</w:t>
            </w:r>
          </w:p>
        </w:tc>
        <w:tc>
          <w:tcPr>
            <w:tcW w:w="4249" w:type="dxa"/>
            <w:shd w:val="clear"/>
            <w:tcMar>
              <w:top w:w="150" w:type="dxa"/>
              <w:left w:w="240" w:type="dxa"/>
              <w:bottom w:w="150" w:type="dxa"/>
              <w:right w:w="240" w:type="dxa"/>
            </w:tcMar>
            <w:vAlign w:val="center"/>
          </w:tcPr>
          <w:p>
            <w:pPr>
              <w:rPr>
                <w:rFonts w:hint="default"/>
              </w:rPr>
            </w:pPr>
            <w:r>
              <w:rPr>
                <w:rFonts w:hint="default"/>
                <w:lang w:val="en-US" w:eastAsia="zh-CN"/>
              </w:rPr>
              <w:t>Permanently insulated</w:t>
            </w:r>
          </w:p>
        </w:tc>
        <w:tc>
          <w:tcPr>
            <w:tcW w:w="4723" w:type="dxa"/>
            <w:shd w:val="clear"/>
            <w:tcMar>
              <w:top w:w="150" w:type="dxa"/>
              <w:left w:w="240" w:type="dxa"/>
              <w:bottom w:w="150" w:type="dxa"/>
              <w:right w:w="0" w:type="dxa"/>
            </w:tcMar>
            <w:vAlign w:val="center"/>
          </w:tcPr>
          <w:p>
            <w:pPr>
              <w:rPr>
                <w:rFonts w:hint="default"/>
              </w:rPr>
            </w:pPr>
            <w:r>
              <w:rPr>
                <w:rFonts w:hint="default"/>
                <w:lang w:val="en-US" w:eastAsia="zh-CN"/>
              </w:rPr>
              <w:t>Permanently insulated</w:t>
            </w:r>
          </w:p>
        </w:tc>
      </w:tr>
    </w:tbl>
    <w:p>
      <w:r>
        <w:pict>
          <v:rect id="_x0000_i1077"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III. FOUR-LAYER JOWIH CAPITAL ARCHITECTURE</w:t>
      </w:r>
    </w:p>
    <w:p>
      <w:r>
        <w:rPr>
          <w:rFonts w:hint="default"/>
        </w:rPr>
        <w:t>The Master Fund operates within a four-layer institutional structure.</w:t>
      </w:r>
    </w:p>
    <w:p>
      <w:pPr>
        <w:rPr>
          <w:rFonts w:hint="default"/>
        </w:rPr>
      </w:pPr>
      <w:r>
        <w:rPr>
          <w:rFonts w:hint="default"/>
        </w:rPr>
        <w:t>3.1 Layer 1 — Mission Layer</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922"/>
        <w:gridCol w:w="93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1922"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935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22" w:type="dxa"/>
            <w:shd w:val="clear"/>
            <w:tcMar>
              <w:top w:w="150" w:type="dxa"/>
              <w:left w:w="0" w:type="dxa"/>
              <w:bottom w:w="150" w:type="dxa"/>
              <w:right w:w="240" w:type="dxa"/>
            </w:tcMar>
            <w:vAlign w:val="center"/>
          </w:tcPr>
          <w:p>
            <w:pPr>
              <w:rPr>
                <w:rFonts w:hint="default"/>
              </w:rPr>
            </w:pPr>
            <w:r>
              <w:rPr>
                <w:rFonts w:hint="default"/>
                <w:lang w:val="en-US" w:eastAsia="zh-CN"/>
              </w:rPr>
              <w:t>Entity</w:t>
            </w:r>
          </w:p>
        </w:tc>
        <w:tc>
          <w:tcPr>
            <w:tcW w:w="9358" w:type="dxa"/>
            <w:shd w:val="clear"/>
            <w:tcMar>
              <w:top w:w="150" w:type="dxa"/>
              <w:left w:w="240" w:type="dxa"/>
              <w:bottom w:w="150" w:type="dxa"/>
              <w:right w:w="0" w:type="dxa"/>
            </w:tcMar>
            <w:vAlign w:val="center"/>
          </w:tcPr>
          <w:p>
            <w:pPr>
              <w:rPr>
                <w:rFonts w:hint="default"/>
              </w:rPr>
            </w:pPr>
            <w:r>
              <w:rPr>
                <w:rFonts w:hint="default"/>
                <w:lang w:val="en-US" w:eastAsia="zh-CN"/>
              </w:rPr>
              <w:t>Jowih Foundation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22" w:type="dxa"/>
            <w:shd w:val="clear"/>
            <w:tcMar>
              <w:top w:w="150" w:type="dxa"/>
              <w:left w:w="0" w:type="dxa"/>
              <w:bottom w:w="150" w:type="dxa"/>
              <w:right w:w="240" w:type="dxa"/>
            </w:tcMar>
            <w:vAlign w:val="center"/>
          </w:tcPr>
          <w:p>
            <w:pPr>
              <w:rPr>
                <w:rFonts w:hint="default"/>
              </w:rPr>
            </w:pPr>
            <w:r>
              <w:rPr>
                <w:rFonts w:hint="default"/>
                <w:lang w:val="en-US" w:eastAsia="zh-CN"/>
              </w:rPr>
              <w:t>Legal Form</w:t>
            </w:r>
          </w:p>
        </w:tc>
        <w:tc>
          <w:tcPr>
            <w:tcW w:w="9358" w:type="dxa"/>
            <w:shd w:val="clear"/>
            <w:tcMar>
              <w:top w:w="150" w:type="dxa"/>
              <w:left w:w="240" w:type="dxa"/>
              <w:bottom w:w="150" w:type="dxa"/>
              <w:right w:w="0" w:type="dxa"/>
            </w:tcMar>
            <w:vAlign w:val="center"/>
          </w:tcPr>
          <w:p>
            <w:pPr>
              <w:rPr>
                <w:rFonts w:hint="default"/>
              </w:rPr>
            </w:pPr>
            <w:r>
              <w:rPr>
                <w:rFonts w:hint="default"/>
                <w:lang w:val="en-US" w:eastAsia="zh-CN"/>
              </w:rPr>
              <w:t>Company Limited by Guarantee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22" w:type="dxa"/>
            <w:shd w:val="clear"/>
            <w:tcMar>
              <w:top w:w="150" w:type="dxa"/>
              <w:left w:w="0" w:type="dxa"/>
              <w:bottom w:w="150" w:type="dxa"/>
              <w:right w:w="240" w:type="dxa"/>
            </w:tcMar>
            <w:vAlign w:val="center"/>
          </w:tcPr>
          <w:p>
            <w:pPr>
              <w:rPr>
                <w:rFonts w:hint="default"/>
              </w:rPr>
            </w:pPr>
            <w:r>
              <w:rPr>
                <w:rFonts w:hint="default"/>
                <w:lang w:val="en-US" w:eastAsia="zh-CN"/>
              </w:rPr>
              <w:t>Primary Function</w:t>
            </w:r>
          </w:p>
        </w:tc>
        <w:tc>
          <w:tcPr>
            <w:tcW w:w="9358" w:type="dxa"/>
            <w:shd w:val="clear"/>
            <w:tcMar>
              <w:top w:w="150" w:type="dxa"/>
              <w:left w:w="240" w:type="dxa"/>
              <w:bottom w:w="150" w:type="dxa"/>
              <w:right w:w="0" w:type="dxa"/>
            </w:tcMar>
            <w:vAlign w:val="center"/>
          </w:tcPr>
          <w:p>
            <w:pPr>
              <w:rPr>
                <w:rFonts w:hint="default"/>
              </w:rPr>
            </w:pPr>
            <w:r>
              <w:rPr>
                <w:rFonts w:hint="default"/>
                <w:lang w:val="en-US" w:eastAsia="zh-CN"/>
              </w:rPr>
              <w:t>Mission stewardship and continental development mandate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22" w:type="dxa"/>
            <w:shd w:val="clear"/>
            <w:tcMar>
              <w:top w:w="150" w:type="dxa"/>
              <w:left w:w="0" w:type="dxa"/>
              <w:bottom w:w="150" w:type="dxa"/>
              <w:right w:w="240" w:type="dxa"/>
            </w:tcMar>
            <w:vAlign w:val="center"/>
          </w:tcPr>
          <w:p>
            <w:pPr>
              <w:rPr>
                <w:rFonts w:hint="default"/>
              </w:rPr>
            </w:pPr>
            <w:r>
              <w:rPr>
                <w:rFonts w:hint="default"/>
                <w:lang w:val="en-US" w:eastAsia="zh-CN"/>
              </w:rPr>
              <w:t>Protection</w:t>
            </w:r>
          </w:p>
        </w:tc>
        <w:tc>
          <w:tcPr>
            <w:tcW w:w="9358" w:type="dxa"/>
            <w:shd w:val="clear"/>
            <w:tcMar>
              <w:top w:w="150" w:type="dxa"/>
              <w:left w:w="240" w:type="dxa"/>
              <w:bottom w:w="150" w:type="dxa"/>
              <w:right w:w="0" w:type="dxa"/>
            </w:tcMar>
            <w:vAlign w:val="center"/>
          </w:tcPr>
          <w:p>
            <w:pPr>
              <w:rPr>
                <w:rFonts w:hint="default"/>
              </w:rPr>
            </w:pPr>
            <w:r>
              <w:rPr>
                <w:rFonts w:hint="default"/>
                <w:lang w:val="en-US" w:eastAsia="zh-CN"/>
              </w:rPr>
              <w:t>Constitutional/statutory asset-lock architecture, non-profit mandate and protected Golden Vote mechanisms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22" w:type="dxa"/>
            <w:shd w:val="clear"/>
            <w:tcMar>
              <w:top w:w="150" w:type="dxa"/>
              <w:left w:w="0" w:type="dxa"/>
              <w:bottom w:w="150" w:type="dxa"/>
              <w:right w:w="240" w:type="dxa"/>
            </w:tcMar>
            <w:vAlign w:val="center"/>
          </w:tcPr>
          <w:p>
            <w:pPr>
              <w:rPr>
                <w:rFonts w:hint="default"/>
              </w:rPr>
            </w:pPr>
            <w:r>
              <w:rPr>
                <w:rFonts w:hint="default"/>
                <w:lang w:val="en-US" w:eastAsia="zh-CN"/>
              </w:rPr>
              <w:t>Status</w:t>
            </w:r>
          </w:p>
        </w:tc>
        <w:tc>
          <w:tcPr>
            <w:tcW w:w="9358" w:type="dxa"/>
            <w:shd w:val="clear"/>
            <w:tcMar>
              <w:top w:w="150" w:type="dxa"/>
              <w:left w:w="240" w:type="dxa"/>
              <w:bottom w:w="150" w:type="dxa"/>
              <w:right w:w="0" w:type="dxa"/>
            </w:tcMar>
            <w:vAlign w:val="center"/>
          </w:tcPr>
          <w:p>
            <w:pPr>
              <w:rPr>
                <w:rFonts w:hint="default"/>
              </w:rPr>
            </w:pPr>
            <w:r>
              <w:rPr>
                <w:rFonts w:hint="default"/>
                <w:lang w:val="en-US" w:eastAsia="zh-CN"/>
              </w:rPr>
              <w:t>Non-dilutable and mission-locked, subject to applicable law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22" w:type="dxa"/>
            <w:shd w:val="clear"/>
            <w:tcMar>
              <w:top w:w="150" w:type="dxa"/>
              <w:left w:w="0" w:type="dxa"/>
              <w:bottom w:w="150" w:type="dxa"/>
              <w:right w:w="240" w:type="dxa"/>
            </w:tcMar>
            <w:vAlign w:val="center"/>
          </w:tcPr>
          <w:p>
            <w:pPr>
              <w:rPr>
                <w:rFonts w:hint="default"/>
              </w:rPr>
            </w:pPr>
            <w:r>
              <w:rPr>
                <w:rFonts w:hint="default"/>
                <w:lang w:val="en-US" w:eastAsia="zh-CN"/>
              </w:rPr>
              <w:t>Economic Position</w:t>
            </w:r>
          </w:p>
        </w:tc>
        <w:tc>
          <w:tcPr>
            <w:tcW w:w="9358" w:type="dxa"/>
            <w:shd w:val="clear"/>
            <w:tcMar>
              <w:top w:w="150" w:type="dxa"/>
              <w:left w:w="240" w:type="dxa"/>
              <w:bottom w:w="150" w:type="dxa"/>
              <w:right w:w="0" w:type="dxa"/>
            </w:tcMar>
            <w:vAlign w:val="center"/>
          </w:tcPr>
          <w:p>
            <w:pPr>
              <w:rPr>
                <w:rFonts w:hint="default"/>
              </w:rPr>
            </w:pPr>
            <w:r>
              <w:rPr>
                <w:rFonts w:hint="default"/>
                <w:lang w:val="en-US" w:eastAsia="zh-CN"/>
              </w:rPr>
              <w:t>Receives the defined upstream economic allocation from Jowih Holdings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22" w:type="dxa"/>
            <w:shd w:val="clear"/>
            <w:tcMar>
              <w:top w:w="150" w:type="dxa"/>
              <w:left w:w="0" w:type="dxa"/>
              <w:bottom w:w="150" w:type="dxa"/>
              <w:right w:w="240" w:type="dxa"/>
            </w:tcMar>
            <w:vAlign w:val="center"/>
          </w:tcPr>
          <w:p>
            <w:pPr>
              <w:rPr>
                <w:rFonts w:hint="default"/>
              </w:rPr>
            </w:pPr>
            <w:r>
              <w:rPr>
                <w:rFonts w:hint="default"/>
                <w:lang w:val="en-US" w:eastAsia="zh-CN"/>
              </w:rPr>
              <w:t>Fund Relationship</w:t>
            </w:r>
          </w:p>
        </w:tc>
        <w:tc>
          <w:tcPr>
            <w:tcW w:w="9358" w:type="dxa"/>
            <w:shd w:val="clear"/>
            <w:tcMar>
              <w:top w:w="150" w:type="dxa"/>
              <w:left w:w="240" w:type="dxa"/>
              <w:bottom w:w="150" w:type="dxa"/>
              <w:right w:w="0" w:type="dxa"/>
            </w:tcMar>
            <w:vAlign w:val="center"/>
          </w:tcPr>
          <w:p>
            <w:pPr>
              <w:rPr>
                <w:rFonts w:hint="default"/>
              </w:rPr>
            </w:pPr>
            <w:r>
              <w:rPr>
                <w:rFonts w:hint="default"/>
                <w:lang w:val="en-US" w:eastAsia="zh-CN"/>
              </w:rPr>
              <w:t>Outside the investable plane</w:t>
            </w:r>
          </w:p>
        </w:tc>
      </w:tr>
    </w:tbl>
    <w:p>
      <w:pPr>
        <w:rPr>
          <w:rFonts w:hint="default"/>
        </w:rPr>
      </w:pPr>
      <w:r>
        <w:rPr>
          <w:rFonts w:hint="default"/>
        </w:rPr>
        <w:t>3.2 Layer 2 — Ownership &amp; Governance Layer</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697"/>
        <w:gridCol w:w="85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697"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8583"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97" w:type="dxa"/>
            <w:shd w:val="clear"/>
            <w:tcMar>
              <w:top w:w="150" w:type="dxa"/>
              <w:left w:w="0" w:type="dxa"/>
              <w:bottom w:w="150" w:type="dxa"/>
              <w:right w:w="240" w:type="dxa"/>
            </w:tcMar>
            <w:vAlign w:val="center"/>
          </w:tcPr>
          <w:p>
            <w:pPr>
              <w:rPr>
                <w:rFonts w:hint="default"/>
              </w:rPr>
            </w:pPr>
            <w:r>
              <w:rPr>
                <w:rFonts w:hint="default"/>
                <w:lang w:val="en-US" w:eastAsia="zh-CN"/>
              </w:rPr>
              <w:t>Entity</w:t>
            </w:r>
          </w:p>
        </w:tc>
        <w:tc>
          <w:tcPr>
            <w:tcW w:w="8583" w:type="dxa"/>
            <w:shd w:val="clear"/>
            <w:tcMar>
              <w:top w:w="150" w:type="dxa"/>
              <w:left w:w="240" w:type="dxa"/>
              <w:bottom w:w="150" w:type="dxa"/>
              <w:right w:w="0" w:type="dxa"/>
            </w:tcMar>
            <w:vAlign w:val="center"/>
          </w:tcPr>
          <w:p>
            <w:pPr>
              <w:rPr>
                <w:rFonts w:hint="default"/>
              </w:rPr>
            </w:pPr>
            <w:r>
              <w:rPr>
                <w:rFonts w:hint="default"/>
                <w:lang w:val="en-US" w:eastAsia="zh-CN"/>
              </w:rPr>
              <w:t>Jowih Holdings Limited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97" w:type="dxa"/>
            <w:shd w:val="clear"/>
            <w:tcMar>
              <w:top w:w="150" w:type="dxa"/>
              <w:left w:w="0" w:type="dxa"/>
              <w:bottom w:w="150" w:type="dxa"/>
              <w:right w:w="240" w:type="dxa"/>
            </w:tcMar>
            <w:vAlign w:val="center"/>
          </w:tcPr>
          <w:p>
            <w:pPr>
              <w:rPr>
                <w:rFonts w:hint="default"/>
              </w:rPr>
            </w:pPr>
            <w:r>
              <w:rPr>
                <w:rFonts w:hint="default"/>
                <w:lang w:val="en-US" w:eastAsia="zh-CN"/>
              </w:rPr>
              <w:t>Function</w:t>
            </w:r>
          </w:p>
        </w:tc>
        <w:tc>
          <w:tcPr>
            <w:tcW w:w="8583" w:type="dxa"/>
            <w:shd w:val="clear"/>
            <w:tcMar>
              <w:top w:w="150" w:type="dxa"/>
              <w:left w:w="240" w:type="dxa"/>
              <w:bottom w:w="150" w:type="dxa"/>
              <w:right w:w="0" w:type="dxa"/>
            </w:tcMar>
            <w:vAlign w:val="center"/>
          </w:tcPr>
          <w:p>
            <w:pPr>
              <w:rPr>
                <w:rFonts w:hint="default"/>
              </w:rPr>
            </w:pPr>
            <w:r>
              <w:rPr>
                <w:rFonts w:hint="default"/>
                <w:lang w:val="en-US" w:eastAsia="zh-CN"/>
              </w:rPr>
              <w:t>Strategic ownership and governance of the commercial ecosystem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97" w:type="dxa"/>
            <w:shd w:val="clear"/>
            <w:tcMar>
              <w:top w:w="150" w:type="dxa"/>
              <w:left w:w="0" w:type="dxa"/>
              <w:bottom w:w="150" w:type="dxa"/>
              <w:right w:w="240" w:type="dxa"/>
            </w:tcMar>
            <w:vAlign w:val="center"/>
          </w:tcPr>
          <w:p>
            <w:pPr>
              <w:rPr>
                <w:rFonts w:hint="default"/>
              </w:rPr>
            </w:pPr>
            <w:r>
              <w:rPr>
                <w:rFonts w:hint="default"/>
                <w:lang w:val="en-US" w:eastAsia="zh-CN"/>
              </w:rPr>
              <w:t>Voting Structure</w:t>
            </w:r>
          </w:p>
        </w:tc>
        <w:tc>
          <w:tcPr>
            <w:tcW w:w="8583" w:type="dxa"/>
            <w:shd w:val="clear"/>
            <w:tcMar>
              <w:top w:w="150" w:type="dxa"/>
              <w:left w:w="240" w:type="dxa"/>
              <w:bottom w:w="150" w:type="dxa"/>
              <w:right w:w="0" w:type="dxa"/>
            </w:tcMar>
            <w:vAlign w:val="center"/>
          </w:tcPr>
          <w:p>
            <w:pPr>
              <w:rPr>
                <w:rFonts w:hint="default"/>
              </w:rPr>
            </w:pPr>
            <w:r>
              <w:rPr>
                <w:rFonts w:hint="default"/>
                <w:lang w:val="en-US" w:eastAsia="zh-CN"/>
              </w:rPr>
              <w:t>60% Jowih Purpose Trust / 40% Founder Family Trust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97" w:type="dxa"/>
            <w:shd w:val="clear"/>
            <w:tcMar>
              <w:top w:w="150" w:type="dxa"/>
              <w:left w:w="0" w:type="dxa"/>
              <w:bottom w:w="150" w:type="dxa"/>
              <w:right w:w="240" w:type="dxa"/>
            </w:tcMar>
            <w:vAlign w:val="center"/>
          </w:tcPr>
          <w:p>
            <w:pPr>
              <w:rPr>
                <w:rFonts w:hint="default"/>
              </w:rPr>
            </w:pPr>
            <w:r>
              <w:rPr>
                <w:rFonts w:hint="default"/>
                <w:lang w:val="en-US" w:eastAsia="zh-CN"/>
              </w:rPr>
              <w:t>Economic Allocation</w:t>
            </w:r>
          </w:p>
        </w:tc>
        <w:tc>
          <w:tcPr>
            <w:tcW w:w="8583" w:type="dxa"/>
            <w:shd w:val="clear"/>
            <w:tcMar>
              <w:top w:w="150" w:type="dxa"/>
              <w:left w:w="240" w:type="dxa"/>
              <w:bottom w:w="150" w:type="dxa"/>
              <w:right w:w="0" w:type="dxa"/>
            </w:tcMar>
            <w:vAlign w:val="center"/>
          </w:tcPr>
          <w:p>
            <w:pPr>
              <w:rPr>
                <w:rFonts w:hint="default"/>
              </w:rPr>
            </w:pPr>
            <w:r>
              <w:rPr>
                <w:rFonts w:hint="default"/>
                <w:lang w:val="en-US" w:eastAsia="zh-CN"/>
              </w:rPr>
              <w:t>90% Jowih Foundation / 10% Founder Family Trust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97" w:type="dxa"/>
            <w:shd w:val="clear"/>
            <w:tcMar>
              <w:top w:w="150" w:type="dxa"/>
              <w:left w:w="0" w:type="dxa"/>
              <w:bottom w:w="150" w:type="dxa"/>
              <w:right w:w="240" w:type="dxa"/>
            </w:tcMar>
            <w:vAlign w:val="center"/>
          </w:tcPr>
          <w:p>
            <w:pPr>
              <w:rPr>
                <w:rFonts w:hint="default"/>
              </w:rPr>
            </w:pPr>
            <w:r>
              <w:rPr>
                <w:rFonts w:hint="default"/>
                <w:lang w:val="en-US" w:eastAsia="zh-CN"/>
              </w:rPr>
              <w:t>Role</w:t>
            </w:r>
          </w:p>
        </w:tc>
        <w:tc>
          <w:tcPr>
            <w:tcW w:w="8583" w:type="dxa"/>
            <w:shd w:val="clear"/>
            <w:tcMar>
              <w:top w:w="150" w:type="dxa"/>
              <w:left w:w="240" w:type="dxa"/>
              <w:bottom w:w="150" w:type="dxa"/>
              <w:right w:w="0" w:type="dxa"/>
            </w:tcMar>
            <w:vAlign w:val="center"/>
          </w:tcPr>
          <w:p>
            <w:pPr>
              <w:rPr>
                <w:rFonts w:hint="default"/>
              </w:rPr>
            </w:pPr>
            <w:r>
              <w:rPr>
                <w:rFonts w:hint="default"/>
                <w:lang w:val="en-US" w:eastAsia="zh-CN"/>
              </w:rPr>
              <w:t>Strategic direction and ownership oversight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97" w:type="dxa"/>
            <w:shd w:val="clear"/>
            <w:tcMar>
              <w:top w:w="150" w:type="dxa"/>
              <w:left w:w="0" w:type="dxa"/>
              <w:bottom w:w="150" w:type="dxa"/>
              <w:right w:w="240" w:type="dxa"/>
            </w:tcMar>
            <w:vAlign w:val="center"/>
          </w:tcPr>
          <w:p>
            <w:pPr>
              <w:rPr>
                <w:rFonts w:hint="default"/>
              </w:rPr>
            </w:pPr>
            <w:r>
              <w:rPr>
                <w:rFonts w:hint="default"/>
                <w:lang w:val="en-US" w:eastAsia="zh-CN"/>
              </w:rPr>
              <w:t>Operational Status</w:t>
            </w:r>
          </w:p>
        </w:tc>
        <w:tc>
          <w:tcPr>
            <w:tcW w:w="8583" w:type="dxa"/>
            <w:shd w:val="clear"/>
            <w:tcMar>
              <w:top w:w="150" w:type="dxa"/>
              <w:left w:w="240" w:type="dxa"/>
              <w:bottom w:w="150" w:type="dxa"/>
              <w:right w:w="0" w:type="dxa"/>
            </w:tcMar>
            <w:vAlign w:val="center"/>
          </w:tcPr>
          <w:p>
            <w:pPr>
              <w:rPr>
                <w:rFonts w:hint="default"/>
              </w:rPr>
            </w:pPr>
            <w:r>
              <w:rPr>
                <w:rFonts w:hint="default"/>
                <w:lang w:val="en-US" w:eastAsia="zh-CN"/>
              </w:rPr>
              <w:t>Does not conduct ordinary day-to-day operating activities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97" w:type="dxa"/>
            <w:shd w:val="clear"/>
            <w:tcMar>
              <w:top w:w="150" w:type="dxa"/>
              <w:left w:w="0" w:type="dxa"/>
              <w:bottom w:w="150" w:type="dxa"/>
              <w:right w:w="240" w:type="dxa"/>
            </w:tcMar>
            <w:vAlign w:val="center"/>
          </w:tcPr>
          <w:p>
            <w:pPr>
              <w:rPr>
                <w:rFonts w:hint="default"/>
              </w:rPr>
            </w:pPr>
            <w:r>
              <w:rPr>
                <w:rFonts w:hint="default"/>
                <w:lang w:val="en-US" w:eastAsia="zh-CN"/>
              </w:rPr>
              <w:t>Fund Relationship</w:t>
            </w:r>
          </w:p>
        </w:tc>
        <w:tc>
          <w:tcPr>
            <w:tcW w:w="8583" w:type="dxa"/>
            <w:shd w:val="clear"/>
            <w:tcMar>
              <w:top w:w="150" w:type="dxa"/>
              <w:left w:w="240" w:type="dxa"/>
              <w:bottom w:w="150" w:type="dxa"/>
              <w:right w:w="0" w:type="dxa"/>
            </w:tcMar>
            <w:vAlign w:val="center"/>
          </w:tcPr>
          <w:p>
            <w:pPr>
              <w:rPr>
                <w:rFonts w:hint="default"/>
              </w:rPr>
            </w:pPr>
            <w:r>
              <w:rPr>
                <w:rFonts w:hint="default"/>
                <w:lang w:val="en-US" w:eastAsia="zh-CN"/>
              </w:rPr>
              <w:t>Separated from downstream Fund participation</w:t>
            </w:r>
          </w:p>
        </w:tc>
      </w:tr>
    </w:tbl>
    <w:p>
      <w:pPr>
        <w:rPr>
          <w:rFonts w:hint="default"/>
        </w:rPr>
      </w:pPr>
      <w:r>
        <w:rPr>
          <w:rFonts w:hint="default"/>
        </w:rPr>
        <w:t>3.3 Layer 3 — Operating &amp; Execution Layer</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285"/>
        <w:gridCol w:w="89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285"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8995"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85" w:type="dxa"/>
            <w:shd w:val="clear"/>
            <w:tcMar>
              <w:top w:w="150" w:type="dxa"/>
              <w:left w:w="0" w:type="dxa"/>
              <w:bottom w:w="150" w:type="dxa"/>
              <w:right w:w="240" w:type="dxa"/>
            </w:tcMar>
            <w:vAlign w:val="center"/>
          </w:tcPr>
          <w:p>
            <w:pPr>
              <w:rPr>
                <w:rFonts w:hint="default"/>
              </w:rPr>
            </w:pPr>
            <w:r>
              <w:rPr>
                <w:rFonts w:hint="default"/>
                <w:lang w:val="en-US" w:eastAsia="zh-CN"/>
              </w:rPr>
              <w:t>Entity</w:t>
            </w:r>
          </w:p>
        </w:tc>
        <w:tc>
          <w:tcPr>
            <w:tcW w:w="8995" w:type="dxa"/>
            <w:shd w:val="clear"/>
            <w:tcMar>
              <w:top w:w="150" w:type="dxa"/>
              <w:left w:w="240" w:type="dxa"/>
              <w:bottom w:w="150" w:type="dxa"/>
              <w:right w:w="0" w:type="dxa"/>
            </w:tcMar>
            <w:vAlign w:val="center"/>
          </w:tcPr>
          <w:p>
            <w:pPr>
              <w:rPr>
                <w:rFonts w:hint="default"/>
              </w:rPr>
            </w:pPr>
            <w:r>
              <w:rPr>
                <w:rFonts w:hint="default"/>
                <w:lang w:val="en-US" w:eastAsia="zh-CN"/>
              </w:rPr>
              <w:t>Jowih Group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85" w:type="dxa"/>
            <w:shd w:val="clear"/>
            <w:tcMar>
              <w:top w:w="150" w:type="dxa"/>
              <w:left w:w="0" w:type="dxa"/>
              <w:bottom w:w="150" w:type="dxa"/>
              <w:right w:w="240" w:type="dxa"/>
            </w:tcMar>
            <w:vAlign w:val="center"/>
          </w:tcPr>
          <w:p>
            <w:pPr>
              <w:rPr>
                <w:rFonts w:hint="default"/>
              </w:rPr>
            </w:pPr>
            <w:r>
              <w:rPr>
                <w:rFonts w:hint="default"/>
                <w:lang w:val="en-US" w:eastAsia="zh-CN"/>
              </w:rPr>
              <w:t>Function</w:t>
            </w:r>
          </w:p>
        </w:tc>
        <w:tc>
          <w:tcPr>
            <w:tcW w:w="8995" w:type="dxa"/>
            <w:shd w:val="clear"/>
            <w:tcMar>
              <w:top w:w="150" w:type="dxa"/>
              <w:left w:w="240" w:type="dxa"/>
              <w:bottom w:w="150" w:type="dxa"/>
              <w:right w:w="0" w:type="dxa"/>
            </w:tcMar>
            <w:vAlign w:val="center"/>
          </w:tcPr>
          <w:p>
            <w:pPr>
              <w:rPr>
                <w:rFonts w:hint="default"/>
              </w:rPr>
            </w:pPr>
            <w:r>
              <w:rPr>
                <w:rFonts w:hint="default"/>
                <w:lang w:val="en-US" w:eastAsia="zh-CN"/>
              </w:rPr>
              <w:t>Commercial execution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85" w:type="dxa"/>
            <w:shd w:val="clear"/>
            <w:tcMar>
              <w:top w:w="150" w:type="dxa"/>
              <w:left w:w="0" w:type="dxa"/>
              <w:bottom w:w="150" w:type="dxa"/>
              <w:right w:w="240" w:type="dxa"/>
            </w:tcMar>
            <w:vAlign w:val="center"/>
          </w:tcPr>
          <w:p>
            <w:pPr>
              <w:rPr>
                <w:rFonts w:hint="default"/>
              </w:rPr>
            </w:pPr>
            <w:r>
              <w:rPr>
                <w:rFonts w:hint="default"/>
                <w:lang w:val="en-US" w:eastAsia="zh-CN"/>
              </w:rPr>
              <w:t>Primary Role</w:t>
            </w:r>
          </w:p>
        </w:tc>
        <w:tc>
          <w:tcPr>
            <w:tcW w:w="8995" w:type="dxa"/>
            <w:shd w:val="clear"/>
            <w:tcMar>
              <w:top w:w="150" w:type="dxa"/>
              <w:left w:w="240" w:type="dxa"/>
              <w:bottom w:w="150" w:type="dxa"/>
              <w:right w:w="0" w:type="dxa"/>
            </w:tcMar>
            <w:vAlign w:val="center"/>
          </w:tcPr>
          <w:p>
            <w:pPr>
              <w:rPr>
                <w:rFonts w:hint="default"/>
              </w:rPr>
            </w:pPr>
            <w:r>
              <w:rPr>
                <w:rFonts w:hint="default"/>
                <w:lang w:val="en-US" w:eastAsia="zh-CN"/>
              </w:rPr>
              <w:t>Build, operate and manage specialized operating companies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85" w:type="dxa"/>
            <w:shd w:val="clear"/>
            <w:tcMar>
              <w:top w:w="150" w:type="dxa"/>
              <w:left w:w="0" w:type="dxa"/>
              <w:bottom w:w="150" w:type="dxa"/>
              <w:right w:w="240" w:type="dxa"/>
            </w:tcMar>
            <w:vAlign w:val="center"/>
          </w:tcPr>
          <w:p>
            <w:pPr>
              <w:rPr>
                <w:rFonts w:hint="default"/>
              </w:rPr>
            </w:pPr>
            <w:r>
              <w:rPr>
                <w:rFonts w:hint="default"/>
                <w:lang w:val="en-US" w:eastAsia="zh-CN"/>
              </w:rPr>
              <w:t>Infrastructure Scope</w:t>
            </w:r>
          </w:p>
        </w:tc>
        <w:tc>
          <w:tcPr>
            <w:tcW w:w="8995" w:type="dxa"/>
            <w:shd w:val="clear"/>
            <w:tcMar>
              <w:top w:w="150" w:type="dxa"/>
              <w:left w:w="240" w:type="dxa"/>
              <w:bottom w:w="150" w:type="dxa"/>
              <w:right w:w="0" w:type="dxa"/>
            </w:tcMar>
            <w:vAlign w:val="center"/>
          </w:tcPr>
          <w:p>
            <w:pPr>
              <w:rPr>
                <w:rFonts w:hint="default"/>
              </w:rPr>
            </w:pPr>
            <w:r>
              <w:rPr>
                <w:rFonts w:hint="default"/>
                <w:lang w:val="en-US" w:eastAsia="zh-CN"/>
              </w:rPr>
              <w:t>COS, GAG and associated commercial infrastructure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85" w:type="dxa"/>
            <w:shd w:val="clear"/>
            <w:tcMar>
              <w:top w:w="150" w:type="dxa"/>
              <w:left w:w="0" w:type="dxa"/>
              <w:bottom w:w="150" w:type="dxa"/>
              <w:right w:w="240" w:type="dxa"/>
            </w:tcMar>
            <w:vAlign w:val="center"/>
          </w:tcPr>
          <w:p>
            <w:pPr>
              <w:rPr>
                <w:rFonts w:hint="default"/>
              </w:rPr>
            </w:pPr>
            <w:r>
              <w:rPr>
                <w:rFonts w:hint="default"/>
                <w:lang w:val="en-US" w:eastAsia="zh-CN"/>
              </w:rPr>
              <w:t>Mandate</w:t>
            </w:r>
          </w:p>
        </w:tc>
        <w:tc>
          <w:tcPr>
            <w:tcW w:w="8995" w:type="dxa"/>
            <w:shd w:val="clear"/>
            <w:tcMar>
              <w:top w:w="150" w:type="dxa"/>
              <w:left w:w="240" w:type="dxa"/>
              <w:bottom w:w="150" w:type="dxa"/>
              <w:right w:w="0" w:type="dxa"/>
            </w:tcMar>
            <w:vAlign w:val="center"/>
          </w:tcPr>
          <w:p>
            <w:pPr>
              <w:rPr>
                <w:rFonts w:hint="default"/>
              </w:rPr>
            </w:pPr>
            <w:r>
              <w:rPr>
                <w:rFonts w:hint="default"/>
                <w:lang w:val="en-US" w:eastAsia="zh-CN"/>
              </w:rPr>
              <w:t>Execute the continental commercial and infrastructure roadmap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85" w:type="dxa"/>
            <w:shd w:val="clear"/>
            <w:tcMar>
              <w:top w:w="150" w:type="dxa"/>
              <w:left w:w="0" w:type="dxa"/>
              <w:bottom w:w="150" w:type="dxa"/>
              <w:right w:w="240" w:type="dxa"/>
            </w:tcMar>
            <w:vAlign w:val="center"/>
          </w:tcPr>
          <w:p>
            <w:pPr>
              <w:rPr>
                <w:rFonts w:hint="default"/>
              </w:rPr>
            </w:pPr>
            <w:r>
              <w:rPr>
                <w:rFonts w:hint="default"/>
                <w:lang w:val="en-US" w:eastAsia="zh-CN"/>
              </w:rPr>
              <w:t>Fund Relationship</w:t>
            </w:r>
          </w:p>
        </w:tc>
        <w:tc>
          <w:tcPr>
            <w:tcW w:w="8995" w:type="dxa"/>
            <w:shd w:val="clear"/>
            <w:tcMar>
              <w:top w:w="150" w:type="dxa"/>
              <w:left w:w="240" w:type="dxa"/>
              <w:bottom w:w="150" w:type="dxa"/>
              <w:right w:w="0" w:type="dxa"/>
            </w:tcMar>
            <w:vAlign w:val="center"/>
          </w:tcPr>
          <w:p>
            <w:pPr>
              <w:rPr>
                <w:rFonts w:hint="default"/>
              </w:rPr>
            </w:pPr>
            <w:r>
              <w:rPr>
                <w:rFonts w:hint="default"/>
                <w:lang w:val="en-US" w:eastAsia="zh-CN"/>
              </w:rPr>
              <w:t>Eligible operating companies may participate subject to Fund eligibility requirements</w:t>
            </w:r>
          </w:p>
        </w:tc>
      </w:tr>
    </w:tbl>
    <w:p>
      <w:pPr>
        <w:rPr>
          <w:rFonts w:hint="default"/>
        </w:rPr>
      </w:pPr>
      <w:r>
        <w:rPr>
          <w:rFonts w:hint="default"/>
        </w:rPr>
        <w:t>3.4 Layer 4 — Investment Vehicle Layer</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518"/>
        <w:gridCol w:w="87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518"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876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18" w:type="dxa"/>
            <w:shd w:val="clear"/>
            <w:tcMar>
              <w:top w:w="150" w:type="dxa"/>
              <w:left w:w="0" w:type="dxa"/>
              <w:bottom w:w="150" w:type="dxa"/>
              <w:right w:w="240" w:type="dxa"/>
            </w:tcMar>
            <w:vAlign w:val="center"/>
          </w:tcPr>
          <w:p>
            <w:pPr>
              <w:rPr>
                <w:rFonts w:hint="default"/>
              </w:rPr>
            </w:pPr>
            <w:r>
              <w:rPr>
                <w:rFonts w:hint="default"/>
                <w:lang w:val="en-US" w:eastAsia="zh-CN"/>
              </w:rPr>
              <w:t>Entity</w:t>
            </w:r>
          </w:p>
        </w:tc>
        <w:tc>
          <w:tcPr>
            <w:tcW w:w="8762" w:type="dxa"/>
            <w:shd w:val="clear"/>
            <w:tcMar>
              <w:top w:w="150" w:type="dxa"/>
              <w:left w:w="240" w:type="dxa"/>
              <w:bottom w:w="150" w:type="dxa"/>
              <w:right w:w="0" w:type="dxa"/>
            </w:tcMar>
            <w:vAlign w:val="center"/>
          </w:tcPr>
          <w:p>
            <w:pPr>
              <w:rPr>
                <w:rFonts w:hint="default"/>
              </w:rPr>
            </w:pPr>
            <w:r>
              <w:rPr>
                <w:rFonts w:hint="default"/>
                <w:lang w:val="en-US" w:eastAsia="zh-CN"/>
              </w:rPr>
              <w:t>Jowih Master Ecosystem Fund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18" w:type="dxa"/>
            <w:shd w:val="clear"/>
            <w:tcMar>
              <w:top w:w="150" w:type="dxa"/>
              <w:left w:w="0" w:type="dxa"/>
              <w:bottom w:w="150" w:type="dxa"/>
              <w:right w:w="240" w:type="dxa"/>
            </w:tcMar>
            <w:vAlign w:val="center"/>
          </w:tcPr>
          <w:p>
            <w:pPr>
              <w:rPr>
                <w:rFonts w:hint="default"/>
              </w:rPr>
            </w:pPr>
            <w:r>
              <w:rPr>
                <w:rFonts w:hint="default"/>
                <w:lang w:val="en-US" w:eastAsia="zh-CN"/>
              </w:rPr>
              <w:t>Proposed Structure</w:t>
            </w:r>
          </w:p>
        </w:tc>
        <w:tc>
          <w:tcPr>
            <w:tcW w:w="8762" w:type="dxa"/>
            <w:shd w:val="clear"/>
            <w:tcMar>
              <w:top w:w="150" w:type="dxa"/>
              <w:left w:w="240" w:type="dxa"/>
              <w:bottom w:w="150" w:type="dxa"/>
              <w:right w:w="0" w:type="dxa"/>
            </w:tcMar>
            <w:vAlign w:val="center"/>
          </w:tcPr>
          <w:p>
            <w:pPr>
              <w:rPr>
                <w:rFonts w:hint="default"/>
              </w:rPr>
            </w:pPr>
            <w:r>
              <w:rPr>
                <w:rFonts w:hint="default"/>
                <w:lang w:val="en-US" w:eastAsia="zh-CN"/>
              </w:rPr>
              <w:t>Mauritius Variable Capital Company architecture, subject to final legal and regulatory implementation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18" w:type="dxa"/>
            <w:shd w:val="clear"/>
            <w:tcMar>
              <w:top w:w="150" w:type="dxa"/>
              <w:left w:w="0" w:type="dxa"/>
              <w:bottom w:w="150" w:type="dxa"/>
              <w:right w:w="240" w:type="dxa"/>
            </w:tcMar>
            <w:vAlign w:val="center"/>
          </w:tcPr>
          <w:p>
            <w:pPr>
              <w:rPr>
                <w:rFonts w:hint="default"/>
              </w:rPr>
            </w:pPr>
            <w:r>
              <w:rPr>
                <w:rFonts w:hint="default"/>
                <w:lang w:val="en-US" w:eastAsia="zh-CN"/>
              </w:rPr>
              <w:t>Function</w:t>
            </w:r>
          </w:p>
        </w:tc>
        <w:tc>
          <w:tcPr>
            <w:tcW w:w="8762" w:type="dxa"/>
            <w:shd w:val="clear"/>
            <w:tcMar>
              <w:top w:w="150" w:type="dxa"/>
              <w:left w:w="240" w:type="dxa"/>
              <w:bottom w:w="150" w:type="dxa"/>
              <w:right w:w="0" w:type="dxa"/>
            </w:tcMar>
            <w:vAlign w:val="center"/>
          </w:tcPr>
          <w:p>
            <w:pPr>
              <w:rPr>
                <w:rFonts w:hint="default"/>
              </w:rPr>
            </w:pPr>
            <w:r>
              <w:rPr>
                <w:rFonts w:hint="default"/>
                <w:lang w:val="en-US" w:eastAsia="zh-CN"/>
              </w:rPr>
              <w:t>Hold and administer ring-fenced portfolios of eligible commercial and qualifying neutral assets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18" w:type="dxa"/>
            <w:shd w:val="clear"/>
            <w:tcMar>
              <w:top w:w="150" w:type="dxa"/>
              <w:left w:w="0" w:type="dxa"/>
              <w:bottom w:w="150" w:type="dxa"/>
              <w:right w:w="240" w:type="dxa"/>
            </w:tcMar>
            <w:vAlign w:val="center"/>
          </w:tcPr>
          <w:p>
            <w:pPr>
              <w:rPr>
                <w:rFonts w:hint="default"/>
              </w:rPr>
            </w:pPr>
            <w:r>
              <w:rPr>
                <w:rFonts w:hint="default"/>
                <w:lang w:val="en-US" w:eastAsia="zh-CN"/>
              </w:rPr>
              <w:t>Issuance</w:t>
            </w:r>
          </w:p>
        </w:tc>
        <w:tc>
          <w:tcPr>
            <w:tcW w:w="8762" w:type="dxa"/>
            <w:shd w:val="clear"/>
            <w:tcMar>
              <w:top w:w="150" w:type="dxa"/>
              <w:left w:w="240" w:type="dxa"/>
              <w:bottom w:w="150" w:type="dxa"/>
              <w:right w:w="0" w:type="dxa"/>
            </w:tcMar>
            <w:vAlign w:val="center"/>
          </w:tcPr>
          <w:p>
            <w:pPr>
              <w:rPr>
                <w:rFonts w:hint="default"/>
              </w:rPr>
            </w:pPr>
            <w:r>
              <w:rPr>
                <w:rFonts w:hint="default"/>
                <w:lang w:val="en-US" w:eastAsia="zh-CN"/>
              </w:rPr>
              <w:t>Regulated non-voting investment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18" w:type="dxa"/>
            <w:shd w:val="clear"/>
            <w:tcMar>
              <w:top w:w="150" w:type="dxa"/>
              <w:left w:w="0" w:type="dxa"/>
              <w:bottom w:w="150" w:type="dxa"/>
              <w:right w:w="240" w:type="dxa"/>
            </w:tcMar>
            <w:vAlign w:val="center"/>
          </w:tcPr>
          <w:p>
            <w:pPr>
              <w:rPr>
                <w:rFonts w:hint="default"/>
              </w:rPr>
            </w:pPr>
            <w:r>
              <w:rPr>
                <w:rFonts w:hint="default"/>
                <w:lang w:val="en-US" w:eastAsia="zh-CN"/>
              </w:rPr>
              <w:t>Economic Function</w:t>
            </w:r>
          </w:p>
        </w:tc>
        <w:tc>
          <w:tcPr>
            <w:tcW w:w="8762" w:type="dxa"/>
            <w:shd w:val="clear"/>
            <w:tcMar>
              <w:top w:w="150" w:type="dxa"/>
              <w:left w:w="240" w:type="dxa"/>
              <w:bottom w:w="150" w:type="dxa"/>
              <w:right w:w="0" w:type="dxa"/>
            </w:tcMar>
            <w:vAlign w:val="center"/>
          </w:tcPr>
          <w:p>
            <w:pPr>
              <w:rPr>
                <w:rFonts w:hint="default"/>
              </w:rPr>
            </w:pPr>
            <w:r>
              <w:rPr>
                <w:rFonts w:hint="default"/>
                <w:lang w:val="en-US" w:eastAsia="zh-CN"/>
              </w:rPr>
              <w:t>Provide defined economic exposure to applicable Fund portfolios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18" w:type="dxa"/>
            <w:shd w:val="clear"/>
            <w:tcMar>
              <w:top w:w="150" w:type="dxa"/>
              <w:left w:w="0" w:type="dxa"/>
              <w:bottom w:w="150" w:type="dxa"/>
              <w:right w:w="240" w:type="dxa"/>
            </w:tcMar>
            <w:vAlign w:val="center"/>
          </w:tcPr>
          <w:p>
            <w:pPr>
              <w:rPr>
                <w:rFonts w:hint="default"/>
              </w:rPr>
            </w:pPr>
            <w:r>
              <w:rPr>
                <w:rFonts w:hint="default"/>
                <w:lang w:val="en-US" w:eastAsia="zh-CN"/>
              </w:rPr>
              <w:t>Administration</w:t>
            </w:r>
          </w:p>
        </w:tc>
        <w:tc>
          <w:tcPr>
            <w:tcW w:w="8762" w:type="dxa"/>
            <w:shd w:val="clear"/>
            <w:tcMar>
              <w:top w:w="150" w:type="dxa"/>
              <w:left w:w="240" w:type="dxa"/>
              <w:bottom w:w="150" w:type="dxa"/>
              <w:right w:w="0" w:type="dxa"/>
            </w:tcMar>
            <w:vAlign w:val="center"/>
          </w:tcPr>
          <w:p>
            <w:pPr>
              <w:rPr>
                <w:rFonts w:hint="default"/>
              </w:rPr>
            </w:pPr>
            <w:r>
              <w:rPr>
                <w:rFonts w:hint="default"/>
                <w:lang w:val="en-US" w:eastAsia="zh-CN"/>
              </w:rPr>
              <w:t>Independent valuation, custody, accounting, audit and reporting infrastructure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18" w:type="dxa"/>
            <w:shd w:val="clear"/>
            <w:tcMar>
              <w:top w:w="150" w:type="dxa"/>
              <w:left w:w="0" w:type="dxa"/>
              <w:bottom w:w="150" w:type="dxa"/>
              <w:right w:w="240" w:type="dxa"/>
            </w:tcMar>
            <w:vAlign w:val="center"/>
          </w:tcPr>
          <w:p>
            <w:pPr>
              <w:rPr>
                <w:rFonts w:hint="default"/>
              </w:rPr>
            </w:pPr>
            <w:r>
              <w:rPr>
                <w:rFonts w:hint="default"/>
                <w:lang w:val="en-US" w:eastAsia="zh-CN"/>
              </w:rPr>
              <w:t>Governance Relationship</w:t>
            </w:r>
          </w:p>
        </w:tc>
        <w:tc>
          <w:tcPr>
            <w:tcW w:w="8762" w:type="dxa"/>
            <w:shd w:val="clear"/>
            <w:tcMar>
              <w:top w:w="150" w:type="dxa"/>
              <w:left w:w="240" w:type="dxa"/>
              <w:bottom w:w="150" w:type="dxa"/>
              <w:right w:w="0" w:type="dxa"/>
            </w:tcMar>
            <w:vAlign w:val="center"/>
          </w:tcPr>
          <w:p>
            <w:pPr>
              <w:rPr>
                <w:rFonts w:hint="default"/>
              </w:rPr>
            </w:pPr>
            <w:r>
              <w:rPr>
                <w:rFonts w:hint="default"/>
                <w:lang w:val="en-US" w:eastAsia="zh-CN"/>
              </w:rPr>
              <w:t>Economic participation interface only; no Foundation governance entry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18" w:type="dxa"/>
            <w:shd w:val="clear"/>
            <w:tcMar>
              <w:top w:w="150" w:type="dxa"/>
              <w:left w:w="0" w:type="dxa"/>
              <w:bottom w:w="150" w:type="dxa"/>
              <w:right w:w="240" w:type="dxa"/>
            </w:tcMar>
            <w:vAlign w:val="center"/>
          </w:tcPr>
          <w:p>
            <w:pPr>
              <w:rPr>
                <w:rFonts w:hint="default"/>
              </w:rPr>
            </w:pPr>
            <w:r>
              <w:rPr>
                <w:rFonts w:hint="default"/>
                <w:lang w:val="en-US" w:eastAsia="zh-CN"/>
              </w:rPr>
              <w:t>Establishment</w:t>
            </w:r>
          </w:p>
        </w:tc>
        <w:tc>
          <w:tcPr>
            <w:tcW w:w="8762" w:type="dxa"/>
            <w:shd w:val="clear"/>
            <w:tcMar>
              <w:top w:w="150" w:type="dxa"/>
              <w:left w:w="240" w:type="dxa"/>
              <w:bottom w:w="150" w:type="dxa"/>
              <w:right w:w="0" w:type="dxa"/>
            </w:tcMar>
            <w:vAlign w:val="center"/>
          </w:tcPr>
          <w:p>
            <w:pPr>
              <w:rPr>
                <w:rFonts w:hint="default"/>
              </w:rPr>
            </w:pPr>
            <w:r>
              <w:rPr>
                <w:rFonts w:hint="default"/>
                <w:lang w:val="en-US" w:eastAsia="zh-CN"/>
              </w:rPr>
              <w:t>Established by the Jowih Foundation; separate legal entity from Jowih Holdings</w:t>
            </w:r>
          </w:p>
        </w:tc>
      </w:tr>
    </w:tbl>
    <w:p>
      <w:r>
        <w:pict>
          <v:rect id="_x0000_i1078"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IV. FUND GOVERNANCE</w:t>
      </w:r>
    </w:p>
    <w:p>
      <w:r>
        <w:rPr>
          <w:rFonts w:hint="default"/>
        </w:rPr>
        <w:t>The Master Fund is a Foundation-established vehicle. It is not under Jowih Holdings. It is its own company with its own governance.</w:t>
      </w:r>
    </w:p>
    <w:p>
      <w:pPr>
        <w:rPr>
          <w:rFonts w:hint="default"/>
        </w:rPr>
      </w:pPr>
      <w:r>
        <w:rPr>
          <w:rFonts w:hint="default"/>
        </w:rPr>
        <w:t>4.1 VCC Board of Directors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198"/>
        <w:gridCol w:w="90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198"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908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98" w:type="dxa"/>
            <w:shd w:val="clear"/>
            <w:tcMar>
              <w:top w:w="150" w:type="dxa"/>
              <w:left w:w="0" w:type="dxa"/>
              <w:bottom w:w="150" w:type="dxa"/>
              <w:right w:w="240" w:type="dxa"/>
            </w:tcMar>
            <w:vAlign w:val="center"/>
          </w:tcPr>
          <w:p>
            <w:pPr>
              <w:rPr>
                <w:rFonts w:hint="default"/>
              </w:rPr>
            </w:pPr>
            <w:r>
              <w:rPr>
                <w:rFonts w:hint="default"/>
                <w:lang w:val="en-US" w:eastAsia="zh-CN"/>
              </w:rPr>
              <w:t>Central Board</w:t>
            </w:r>
          </w:p>
        </w:tc>
        <w:tc>
          <w:tcPr>
            <w:tcW w:w="9082" w:type="dxa"/>
            <w:shd w:val="clear"/>
            <w:tcMar>
              <w:top w:w="150" w:type="dxa"/>
              <w:left w:w="240" w:type="dxa"/>
              <w:bottom w:w="150" w:type="dxa"/>
              <w:right w:w="0" w:type="dxa"/>
            </w:tcMar>
            <w:vAlign w:val="center"/>
          </w:tcPr>
          <w:p>
            <w:pPr>
              <w:rPr>
                <w:rFonts w:hint="default"/>
              </w:rPr>
            </w:pPr>
            <w:r>
              <w:rPr>
                <w:rFonts w:hint="default"/>
                <w:lang w:val="en-US" w:eastAsia="zh-CN"/>
              </w:rPr>
              <w:t>VCC Board of Directors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98" w:type="dxa"/>
            <w:shd w:val="clear"/>
            <w:tcMar>
              <w:top w:w="150" w:type="dxa"/>
              <w:left w:w="0" w:type="dxa"/>
              <w:bottom w:w="150" w:type="dxa"/>
              <w:right w:w="240" w:type="dxa"/>
            </w:tcMar>
            <w:vAlign w:val="center"/>
          </w:tcPr>
          <w:p>
            <w:pPr>
              <w:rPr>
                <w:rFonts w:hint="default"/>
              </w:rPr>
            </w:pPr>
            <w:r>
              <w:rPr>
                <w:rFonts w:hint="default"/>
                <w:lang w:val="en-US" w:eastAsia="zh-CN"/>
              </w:rPr>
              <w:t>Board Appointment</w:t>
            </w:r>
          </w:p>
        </w:tc>
        <w:tc>
          <w:tcPr>
            <w:tcW w:w="9082" w:type="dxa"/>
            <w:shd w:val="clear"/>
            <w:tcMar>
              <w:top w:w="150" w:type="dxa"/>
              <w:left w:w="240" w:type="dxa"/>
              <w:bottom w:w="150" w:type="dxa"/>
              <w:right w:w="0" w:type="dxa"/>
            </w:tcMar>
            <w:vAlign w:val="center"/>
          </w:tcPr>
          <w:p>
            <w:pPr>
              <w:rPr>
                <w:rFonts w:hint="default"/>
              </w:rPr>
            </w:pPr>
            <w:r>
              <w:rPr>
                <w:rFonts w:hint="default"/>
                <w:lang w:val="en-US" w:eastAsia="zh-CN"/>
              </w:rPr>
              <w:t>Appointed by the Steward President of the Jowih Foundation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98" w:type="dxa"/>
            <w:shd w:val="clear"/>
            <w:tcMar>
              <w:top w:w="150" w:type="dxa"/>
              <w:left w:w="0" w:type="dxa"/>
              <w:bottom w:w="150" w:type="dxa"/>
              <w:right w:w="240" w:type="dxa"/>
            </w:tcMar>
            <w:vAlign w:val="center"/>
          </w:tcPr>
          <w:p>
            <w:pPr>
              <w:rPr>
                <w:rFonts w:hint="default"/>
              </w:rPr>
            </w:pPr>
            <w:r>
              <w:rPr>
                <w:rFonts w:hint="default"/>
                <w:lang w:val="en-US" w:eastAsia="zh-CN"/>
              </w:rPr>
              <w:t>Board Responsibilities</w:t>
            </w:r>
          </w:p>
        </w:tc>
        <w:tc>
          <w:tcPr>
            <w:tcW w:w="9082" w:type="dxa"/>
            <w:shd w:val="clear"/>
            <w:tcMar>
              <w:top w:w="150" w:type="dxa"/>
              <w:left w:w="240" w:type="dxa"/>
              <w:bottom w:w="150" w:type="dxa"/>
              <w:right w:w="0" w:type="dxa"/>
            </w:tcMar>
            <w:vAlign w:val="center"/>
          </w:tcPr>
          <w:p>
            <w:pPr>
              <w:rPr>
                <w:rFonts w:hint="default"/>
              </w:rPr>
            </w:pPr>
            <w:r>
              <w:rPr>
                <w:rFonts w:hint="default"/>
                <w:lang w:val="en-US" w:eastAsia="zh-CN"/>
              </w:rPr>
              <w:t>Appoints auditor, custodian and fund administrator; oversees valuation policy; approves new asset admissions; ensures regulatory compliance; approves sub-fund establishment; approves unit pricing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98" w:type="dxa"/>
            <w:shd w:val="clear"/>
            <w:tcMar>
              <w:top w:w="150" w:type="dxa"/>
              <w:left w:w="0" w:type="dxa"/>
              <w:bottom w:w="150" w:type="dxa"/>
              <w:right w:w="240" w:type="dxa"/>
            </w:tcMar>
            <w:vAlign w:val="center"/>
          </w:tcPr>
          <w:p>
            <w:pPr>
              <w:rPr>
                <w:rFonts w:hint="default"/>
              </w:rPr>
            </w:pPr>
            <w:r>
              <w:rPr>
                <w:rFonts w:hint="default"/>
                <w:lang w:val="en-US" w:eastAsia="zh-CN"/>
              </w:rPr>
              <w:t>Relationship to Foundation</w:t>
            </w:r>
          </w:p>
        </w:tc>
        <w:tc>
          <w:tcPr>
            <w:tcW w:w="9082" w:type="dxa"/>
            <w:shd w:val="clear"/>
            <w:tcMar>
              <w:top w:w="150" w:type="dxa"/>
              <w:left w:w="240" w:type="dxa"/>
              <w:bottom w:w="150" w:type="dxa"/>
              <w:right w:w="0" w:type="dxa"/>
            </w:tcMar>
            <w:vAlign w:val="center"/>
          </w:tcPr>
          <w:p>
            <w:pPr>
              <w:rPr>
                <w:rFonts w:hint="default"/>
              </w:rPr>
            </w:pPr>
            <w:r>
              <w:rPr>
                <w:rFonts w:hint="default"/>
                <w:lang w:val="en-US" w:eastAsia="zh-CN"/>
              </w:rPr>
              <w:t>The Fund is a Foundation-established vehicle. The Foundation retains mission protection. The Fund does not control the Foundation.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98" w:type="dxa"/>
            <w:shd w:val="clear"/>
            <w:tcMar>
              <w:top w:w="150" w:type="dxa"/>
              <w:left w:w="0" w:type="dxa"/>
              <w:bottom w:w="150" w:type="dxa"/>
              <w:right w:w="240" w:type="dxa"/>
            </w:tcMar>
            <w:vAlign w:val="center"/>
          </w:tcPr>
          <w:p>
            <w:pPr>
              <w:rPr>
                <w:rFonts w:hint="default"/>
              </w:rPr>
            </w:pPr>
            <w:r>
              <w:rPr>
                <w:rFonts w:hint="default"/>
                <w:lang w:val="en-US" w:eastAsia="zh-CN"/>
              </w:rPr>
              <w:t>Relationship to Holdings</w:t>
            </w:r>
          </w:p>
        </w:tc>
        <w:tc>
          <w:tcPr>
            <w:tcW w:w="9082" w:type="dxa"/>
            <w:shd w:val="clear"/>
            <w:tcMar>
              <w:top w:w="150" w:type="dxa"/>
              <w:left w:w="240" w:type="dxa"/>
              <w:bottom w:w="150" w:type="dxa"/>
              <w:right w:w="0" w:type="dxa"/>
            </w:tcMar>
            <w:vAlign w:val="center"/>
          </w:tcPr>
          <w:p>
            <w:pPr>
              <w:rPr>
                <w:rFonts w:hint="default"/>
              </w:rPr>
            </w:pPr>
            <w:r>
              <w:rPr>
                <w:rFonts w:hint="default"/>
                <w:lang w:val="en-US" w:eastAsia="zh-CN"/>
              </w:rPr>
              <w:t>The Fund is separate from Jowih Holdings. Holdings governs the commercial operating companies. The Fund provides economic participation.</w:t>
            </w:r>
          </w:p>
        </w:tc>
      </w:tr>
    </w:tbl>
    <w:p>
      <w:pPr>
        <w:rPr>
          <w:rFonts w:hint="default"/>
        </w:rPr>
      </w:pPr>
      <w:r>
        <w:rPr>
          <w:rFonts w:hint="default"/>
        </w:rPr>
        <w:t>4.2 Central Administration — Economies of Scale</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258"/>
        <w:gridCol w:w="90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258"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Function</w:t>
            </w:r>
          </w:p>
        </w:tc>
        <w:tc>
          <w:tcPr>
            <w:tcW w:w="902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58" w:type="dxa"/>
            <w:shd w:val="clear"/>
            <w:tcMar>
              <w:top w:w="150" w:type="dxa"/>
              <w:left w:w="0" w:type="dxa"/>
              <w:bottom w:w="150" w:type="dxa"/>
              <w:right w:w="240" w:type="dxa"/>
            </w:tcMar>
            <w:vAlign w:val="center"/>
          </w:tcPr>
          <w:p>
            <w:pPr>
              <w:rPr>
                <w:rFonts w:hint="default"/>
              </w:rPr>
            </w:pPr>
            <w:r>
              <w:rPr>
                <w:rFonts w:hint="default"/>
                <w:lang w:val="en-US" w:eastAsia="zh-CN"/>
              </w:rPr>
              <w:t>Fund Administrator</w:t>
            </w:r>
          </w:p>
        </w:tc>
        <w:tc>
          <w:tcPr>
            <w:tcW w:w="9022" w:type="dxa"/>
            <w:shd w:val="clear"/>
            <w:tcMar>
              <w:top w:w="150" w:type="dxa"/>
              <w:left w:w="240" w:type="dxa"/>
              <w:bottom w:w="150" w:type="dxa"/>
              <w:right w:w="0" w:type="dxa"/>
            </w:tcMar>
            <w:vAlign w:val="center"/>
          </w:tcPr>
          <w:p>
            <w:pPr>
              <w:rPr>
                <w:rFonts w:hint="default"/>
              </w:rPr>
            </w:pPr>
            <w:r>
              <w:rPr>
                <w:rFonts w:hint="default"/>
                <w:lang w:val="en-US" w:eastAsia="zh-CN"/>
              </w:rPr>
              <w:t>Single central fund administrator for the entire VCC framework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58" w:type="dxa"/>
            <w:shd w:val="clear"/>
            <w:tcMar>
              <w:top w:w="150" w:type="dxa"/>
              <w:left w:w="0" w:type="dxa"/>
              <w:bottom w:w="150" w:type="dxa"/>
              <w:right w:w="240" w:type="dxa"/>
            </w:tcMar>
            <w:vAlign w:val="center"/>
          </w:tcPr>
          <w:p>
            <w:pPr>
              <w:rPr>
                <w:rFonts w:hint="default"/>
              </w:rPr>
            </w:pPr>
            <w:r>
              <w:rPr>
                <w:rFonts w:hint="default"/>
                <w:lang w:val="en-US" w:eastAsia="zh-CN"/>
              </w:rPr>
              <w:t>Auditor</w:t>
            </w:r>
          </w:p>
        </w:tc>
        <w:tc>
          <w:tcPr>
            <w:tcW w:w="9022" w:type="dxa"/>
            <w:shd w:val="clear"/>
            <w:tcMar>
              <w:top w:w="150" w:type="dxa"/>
              <w:left w:w="240" w:type="dxa"/>
              <w:bottom w:w="150" w:type="dxa"/>
              <w:right w:w="0" w:type="dxa"/>
            </w:tcMar>
            <w:vAlign w:val="center"/>
          </w:tcPr>
          <w:p>
            <w:pPr>
              <w:rPr>
                <w:rFonts w:hint="default"/>
              </w:rPr>
            </w:pPr>
            <w:r>
              <w:rPr>
                <w:rFonts w:hint="default"/>
                <w:lang w:val="en-US" w:eastAsia="zh-CN"/>
              </w:rPr>
              <w:t>Single central auditor for the entire VCC framework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58" w:type="dxa"/>
            <w:shd w:val="clear"/>
            <w:tcMar>
              <w:top w:w="150" w:type="dxa"/>
              <w:left w:w="0" w:type="dxa"/>
              <w:bottom w:w="150" w:type="dxa"/>
              <w:right w:w="240" w:type="dxa"/>
            </w:tcMar>
            <w:vAlign w:val="center"/>
          </w:tcPr>
          <w:p>
            <w:pPr>
              <w:rPr>
                <w:rFonts w:hint="default"/>
              </w:rPr>
            </w:pPr>
            <w:r>
              <w:rPr>
                <w:rFonts w:hint="default"/>
                <w:lang w:val="en-US" w:eastAsia="zh-CN"/>
              </w:rPr>
              <w:t>Custodian</w:t>
            </w:r>
          </w:p>
        </w:tc>
        <w:tc>
          <w:tcPr>
            <w:tcW w:w="9022" w:type="dxa"/>
            <w:shd w:val="clear"/>
            <w:tcMar>
              <w:top w:w="150" w:type="dxa"/>
              <w:left w:w="240" w:type="dxa"/>
              <w:bottom w:w="150" w:type="dxa"/>
              <w:right w:w="0" w:type="dxa"/>
            </w:tcMar>
            <w:vAlign w:val="center"/>
          </w:tcPr>
          <w:p>
            <w:pPr>
              <w:rPr>
                <w:rFonts w:hint="default"/>
              </w:rPr>
            </w:pPr>
            <w:r>
              <w:rPr>
                <w:rFonts w:hint="default"/>
                <w:lang w:val="en-US" w:eastAsia="zh-CN"/>
              </w:rPr>
              <w:t>Single central custodian for the entire VCC framework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58" w:type="dxa"/>
            <w:shd w:val="clear"/>
            <w:tcMar>
              <w:top w:w="150" w:type="dxa"/>
              <w:left w:w="0" w:type="dxa"/>
              <w:bottom w:w="150" w:type="dxa"/>
              <w:right w:w="240" w:type="dxa"/>
            </w:tcMar>
            <w:vAlign w:val="center"/>
          </w:tcPr>
          <w:p>
            <w:pPr>
              <w:rPr>
                <w:rFonts w:hint="default"/>
              </w:rPr>
            </w:pPr>
            <w:r>
              <w:rPr>
                <w:rFonts w:hint="default"/>
                <w:lang w:val="en-US" w:eastAsia="zh-CN"/>
              </w:rPr>
              <w:t>Economies of Scale</w:t>
            </w:r>
          </w:p>
        </w:tc>
        <w:tc>
          <w:tcPr>
            <w:tcW w:w="9022" w:type="dxa"/>
            <w:shd w:val="clear"/>
            <w:tcMar>
              <w:top w:w="150" w:type="dxa"/>
              <w:left w:w="240" w:type="dxa"/>
              <w:bottom w:w="150" w:type="dxa"/>
              <w:right w:w="0" w:type="dxa"/>
            </w:tcMar>
            <w:vAlign w:val="center"/>
          </w:tcPr>
          <w:p>
            <w:pPr>
              <w:rPr>
                <w:rFonts w:hint="default"/>
              </w:rPr>
            </w:pPr>
            <w:r>
              <w:rPr>
                <w:rFonts w:hint="default"/>
                <w:lang w:val="en-US" w:eastAsia="zh-CN"/>
              </w:rPr>
              <w:t>One umbrella VCC structure means one administrator, one auditor, one custodian — significantly reducing operational costs across all sub-funds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58" w:type="dxa"/>
            <w:shd w:val="clear"/>
            <w:tcMar>
              <w:top w:w="150" w:type="dxa"/>
              <w:left w:w="0" w:type="dxa"/>
              <w:bottom w:w="150" w:type="dxa"/>
              <w:right w:w="240" w:type="dxa"/>
            </w:tcMar>
            <w:vAlign w:val="center"/>
          </w:tcPr>
          <w:p>
            <w:pPr>
              <w:rPr>
                <w:rFonts w:hint="default"/>
              </w:rPr>
            </w:pPr>
            <w:r>
              <w:rPr>
                <w:rFonts w:hint="default"/>
                <w:lang w:val="en-US" w:eastAsia="zh-CN"/>
              </w:rPr>
              <w:t>Sub-Fund Administration</w:t>
            </w:r>
          </w:p>
        </w:tc>
        <w:tc>
          <w:tcPr>
            <w:tcW w:w="9022" w:type="dxa"/>
            <w:shd w:val="clear"/>
            <w:tcMar>
              <w:top w:w="150" w:type="dxa"/>
              <w:left w:w="240" w:type="dxa"/>
              <w:bottom w:w="150" w:type="dxa"/>
              <w:right w:w="0" w:type="dxa"/>
            </w:tcMar>
            <w:vAlign w:val="center"/>
          </w:tcPr>
          <w:p>
            <w:pPr>
              <w:rPr>
                <w:rFonts w:hint="default"/>
              </w:rPr>
            </w:pPr>
            <w:r>
              <w:rPr>
                <w:rFonts w:hint="default"/>
                <w:lang w:val="en-US" w:eastAsia="zh-CN"/>
              </w:rPr>
              <w:t>Each sub-fund maintains separate accounting, valuation and reporting within the central framework</w:t>
            </w:r>
          </w:p>
        </w:tc>
      </w:tr>
    </w:tbl>
    <w:p>
      <w:pPr>
        <w:rPr>
          <w:rFonts w:hint="default"/>
        </w:rPr>
      </w:pPr>
      <w:r>
        <w:rPr>
          <w:rFonts w:hint="default"/>
        </w:rPr>
        <w:t>4.3 Regulatory Architecture — ADFA</w:t>
      </w:r>
    </w:p>
    <w:p>
      <w:r>
        <w:rPr>
          <w:rFonts w:hint="default"/>
        </w:rPr>
        <w:t xml:space="preserve">The Master Fund operates within the regulatory framework established by the Jowih Foundation and the </w:t>
      </w:r>
      <w:r>
        <w:rPr>
          <w:rFonts w:hint="default"/>
        </w:rPr>
        <w:t>Accelerated Development Framework Agreement (ADFA)</w:t>
      </w:r>
      <w:r>
        <w:rPr>
          <w:rFonts w:hint="default"/>
        </w:rPr>
        <w:t xml:space="preserve"> with participating governments.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953"/>
        <w:gridCol w:w="83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2953"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8327"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953" w:type="dxa"/>
            <w:shd w:val="clear"/>
            <w:tcMar>
              <w:top w:w="150" w:type="dxa"/>
              <w:left w:w="0" w:type="dxa"/>
              <w:bottom w:w="150" w:type="dxa"/>
              <w:right w:w="240" w:type="dxa"/>
            </w:tcMar>
            <w:vAlign w:val="center"/>
          </w:tcPr>
          <w:p>
            <w:pPr>
              <w:rPr>
                <w:rFonts w:hint="default"/>
              </w:rPr>
            </w:pPr>
            <w:r>
              <w:rPr>
                <w:rFonts w:hint="default"/>
                <w:lang w:val="en-US" w:eastAsia="zh-CN"/>
              </w:rPr>
              <w:t>Regulatory Basis</w:t>
            </w:r>
          </w:p>
        </w:tc>
        <w:tc>
          <w:tcPr>
            <w:tcW w:w="8327" w:type="dxa"/>
            <w:shd w:val="clear"/>
            <w:tcMar>
              <w:top w:w="150" w:type="dxa"/>
              <w:left w:w="240" w:type="dxa"/>
              <w:bottom w:w="150" w:type="dxa"/>
              <w:right w:w="0" w:type="dxa"/>
            </w:tcMar>
            <w:vAlign w:val="center"/>
          </w:tcPr>
          <w:p>
            <w:pPr>
              <w:rPr>
                <w:rFonts w:hint="default"/>
              </w:rPr>
            </w:pPr>
            <w:r>
              <w:rPr>
                <w:rFonts w:hint="default"/>
                <w:lang w:val="en-US" w:eastAsia="zh-CN"/>
              </w:rPr>
              <w:t>Accelerated Development Framework Agreement (ADFA)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953" w:type="dxa"/>
            <w:shd w:val="clear"/>
            <w:tcMar>
              <w:top w:w="150" w:type="dxa"/>
              <w:left w:w="0" w:type="dxa"/>
              <w:bottom w:w="150" w:type="dxa"/>
              <w:right w:w="240" w:type="dxa"/>
            </w:tcMar>
            <w:vAlign w:val="center"/>
          </w:tcPr>
          <w:p>
            <w:pPr>
              <w:rPr>
                <w:rFonts w:hint="default"/>
              </w:rPr>
            </w:pPr>
            <w:r>
              <w:rPr>
                <w:rFonts w:hint="default"/>
                <w:lang w:val="en-US" w:eastAsia="zh-CN"/>
              </w:rPr>
              <w:t>Framework Provider</w:t>
            </w:r>
          </w:p>
        </w:tc>
        <w:tc>
          <w:tcPr>
            <w:tcW w:w="8327" w:type="dxa"/>
            <w:shd w:val="clear"/>
            <w:tcMar>
              <w:top w:w="150" w:type="dxa"/>
              <w:left w:w="240" w:type="dxa"/>
              <w:bottom w:w="150" w:type="dxa"/>
              <w:right w:w="0" w:type="dxa"/>
            </w:tcMar>
            <w:vAlign w:val="center"/>
          </w:tcPr>
          <w:p>
            <w:pPr>
              <w:rPr>
                <w:rFonts w:hint="default"/>
              </w:rPr>
            </w:pPr>
            <w:r>
              <w:rPr>
                <w:rFonts w:hint="default"/>
                <w:lang w:val="en-US" w:eastAsia="zh-CN"/>
              </w:rPr>
              <w:t>Jowih Foundation and participating governments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953" w:type="dxa"/>
            <w:shd w:val="clear"/>
            <w:tcMar>
              <w:top w:w="150" w:type="dxa"/>
              <w:left w:w="0" w:type="dxa"/>
              <w:bottom w:w="150" w:type="dxa"/>
              <w:right w:w="240" w:type="dxa"/>
            </w:tcMar>
            <w:vAlign w:val="center"/>
          </w:tcPr>
          <w:p>
            <w:pPr>
              <w:rPr>
                <w:rFonts w:hint="default"/>
              </w:rPr>
            </w:pPr>
            <w:r>
              <w:rPr>
                <w:rFonts w:hint="default"/>
                <w:lang w:val="en-US" w:eastAsia="zh-CN"/>
              </w:rPr>
              <w:t>Scope</w:t>
            </w:r>
          </w:p>
        </w:tc>
        <w:tc>
          <w:tcPr>
            <w:tcW w:w="8327" w:type="dxa"/>
            <w:shd w:val="clear"/>
            <w:tcMar>
              <w:top w:w="150" w:type="dxa"/>
              <w:left w:w="240" w:type="dxa"/>
              <w:bottom w:w="150" w:type="dxa"/>
              <w:right w:w="0" w:type="dxa"/>
            </w:tcMar>
            <w:vAlign w:val="center"/>
          </w:tcPr>
          <w:p>
            <w:pPr>
              <w:rPr>
                <w:rFonts w:hint="default"/>
              </w:rPr>
            </w:pPr>
            <w:r>
              <w:rPr>
                <w:rFonts w:hint="default"/>
                <w:lang w:val="en-US" w:eastAsia="zh-CN"/>
              </w:rPr>
              <w:t>Cross-border operations, land settlement, regulatory recognition in host jurisdictions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953" w:type="dxa"/>
            <w:shd w:val="clear"/>
            <w:tcMar>
              <w:top w:w="150" w:type="dxa"/>
              <w:left w:w="0" w:type="dxa"/>
              <w:bottom w:w="150" w:type="dxa"/>
              <w:right w:w="240" w:type="dxa"/>
            </w:tcMar>
            <w:vAlign w:val="center"/>
          </w:tcPr>
          <w:p>
            <w:pPr>
              <w:rPr>
                <w:rFonts w:hint="default"/>
              </w:rPr>
            </w:pPr>
            <w:r>
              <w:rPr>
                <w:rFonts w:hint="default"/>
                <w:lang w:val="en-US" w:eastAsia="zh-CN"/>
              </w:rPr>
              <w:t>Host Jurisdiction Compliance</w:t>
            </w:r>
          </w:p>
        </w:tc>
        <w:tc>
          <w:tcPr>
            <w:tcW w:w="8327" w:type="dxa"/>
            <w:shd w:val="clear"/>
            <w:tcMar>
              <w:top w:w="150" w:type="dxa"/>
              <w:left w:w="240" w:type="dxa"/>
              <w:bottom w:w="150" w:type="dxa"/>
              <w:right w:w="0" w:type="dxa"/>
            </w:tcMar>
            <w:vAlign w:val="center"/>
          </w:tcPr>
          <w:p>
            <w:pPr>
              <w:rPr>
                <w:rFonts w:hint="default"/>
              </w:rPr>
            </w:pPr>
            <w:r>
              <w:rPr>
                <w:rFonts w:hint="default"/>
                <w:lang w:val="en-US" w:eastAsia="zh-CN"/>
              </w:rPr>
              <w:t>Applicable local securities, exchange control, tax and land laws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953" w:type="dxa"/>
            <w:shd w:val="clear"/>
            <w:tcMar>
              <w:top w:w="150" w:type="dxa"/>
              <w:left w:w="0" w:type="dxa"/>
              <w:bottom w:w="150" w:type="dxa"/>
              <w:right w:w="240" w:type="dxa"/>
            </w:tcMar>
            <w:vAlign w:val="center"/>
          </w:tcPr>
          <w:p>
            <w:pPr>
              <w:rPr>
                <w:rFonts w:hint="default"/>
              </w:rPr>
            </w:pPr>
            <w:r>
              <w:rPr>
                <w:rFonts w:hint="default"/>
                <w:lang w:val="en-US" w:eastAsia="zh-CN"/>
              </w:rPr>
              <w:t>Mauritius Framework</w:t>
            </w:r>
          </w:p>
        </w:tc>
        <w:tc>
          <w:tcPr>
            <w:tcW w:w="8327" w:type="dxa"/>
            <w:shd w:val="clear"/>
            <w:tcMar>
              <w:top w:w="150" w:type="dxa"/>
              <w:left w:w="240" w:type="dxa"/>
              <w:bottom w:w="150" w:type="dxa"/>
              <w:right w:w="0" w:type="dxa"/>
            </w:tcMar>
            <w:vAlign w:val="center"/>
          </w:tcPr>
          <w:p>
            <w:pPr>
              <w:rPr>
                <w:rFonts w:hint="default"/>
              </w:rPr>
            </w:pPr>
            <w:r>
              <w:rPr>
                <w:rFonts w:hint="default"/>
                <w:lang w:val="en-US" w:eastAsia="zh-CN"/>
              </w:rPr>
              <w:t>VCC licensing and regulatory oversight under applicable Mauritius law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953" w:type="dxa"/>
            <w:shd w:val="clear"/>
            <w:tcMar>
              <w:top w:w="150" w:type="dxa"/>
              <w:left w:w="0" w:type="dxa"/>
              <w:bottom w:w="150" w:type="dxa"/>
              <w:right w:w="240" w:type="dxa"/>
            </w:tcMar>
            <w:vAlign w:val="center"/>
          </w:tcPr>
          <w:p>
            <w:pPr>
              <w:rPr>
                <w:rFonts w:hint="default"/>
              </w:rPr>
            </w:pPr>
            <w:r>
              <w:rPr>
                <w:rFonts w:hint="default"/>
                <w:lang w:val="en-US" w:eastAsia="zh-CN"/>
              </w:rPr>
              <w:t>Listing Framework</w:t>
            </w:r>
          </w:p>
        </w:tc>
        <w:tc>
          <w:tcPr>
            <w:tcW w:w="8327" w:type="dxa"/>
            <w:shd w:val="clear"/>
            <w:tcMar>
              <w:top w:w="150" w:type="dxa"/>
              <w:left w:w="240" w:type="dxa"/>
              <w:bottom w:w="150" w:type="dxa"/>
              <w:right w:w="0" w:type="dxa"/>
            </w:tcMar>
            <w:vAlign w:val="center"/>
          </w:tcPr>
          <w:p>
            <w:pPr>
              <w:rPr>
                <w:rFonts w:hint="default"/>
              </w:rPr>
            </w:pPr>
            <w:r>
              <w:rPr>
                <w:rFonts w:hint="default"/>
                <w:lang w:val="en-US" w:eastAsia="zh-CN"/>
              </w:rPr>
              <w:t>NSE and other regulated African securities exchanges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953" w:type="dxa"/>
            <w:shd w:val="clear"/>
            <w:tcMar>
              <w:top w:w="150" w:type="dxa"/>
              <w:left w:w="0" w:type="dxa"/>
              <w:bottom w:w="150" w:type="dxa"/>
              <w:right w:w="240" w:type="dxa"/>
            </w:tcMar>
            <w:vAlign w:val="center"/>
          </w:tcPr>
          <w:p>
            <w:pPr>
              <w:rPr>
                <w:rFonts w:hint="default"/>
              </w:rPr>
            </w:pPr>
            <w:r>
              <w:rPr>
                <w:rFonts w:hint="default"/>
                <w:lang w:val="en-US" w:eastAsia="zh-CN"/>
              </w:rPr>
              <w:t>Grid Bond</w:t>
            </w:r>
          </w:p>
        </w:tc>
        <w:tc>
          <w:tcPr>
            <w:tcW w:w="8327" w:type="dxa"/>
            <w:shd w:val="clear"/>
            <w:tcMar>
              <w:top w:w="150" w:type="dxa"/>
              <w:left w:w="240" w:type="dxa"/>
              <w:bottom w:w="150" w:type="dxa"/>
              <w:right w:w="0" w:type="dxa"/>
            </w:tcMar>
            <w:vAlign w:val="center"/>
          </w:tcPr>
          <w:p>
            <w:pPr>
              <w:rPr>
                <w:rFonts w:hint="default"/>
              </w:rPr>
            </w:pPr>
            <w:r>
              <w:rPr>
                <w:rFonts w:hint="default"/>
                <w:lang w:val="en-US" w:eastAsia="zh-CN"/>
              </w:rPr>
              <w:t>Operates under its own separate framework; not governed by this Blueprint</w:t>
            </w:r>
          </w:p>
        </w:tc>
      </w:tr>
    </w:tbl>
    <w:p>
      <w:pPr>
        <w:rPr>
          <w:rFonts w:hint="default"/>
        </w:rPr>
      </w:pPr>
      <w:r>
        <w:rPr>
          <w:rFonts w:hint="default"/>
        </w:rPr>
        <w:t>4.4 Foreign Exchange &amp; Currency Controls</w:t>
      </w:r>
    </w:p>
    <w:p>
      <w:r>
        <w:rPr>
          <w:rFonts w:hint="default"/>
        </w:rPr>
        <w:t xml:space="preserve">Cross-border capital flows, currency conversion, and foreign exchange management shall be handled through the </w:t>
      </w:r>
      <w:r>
        <w:rPr>
          <w:rFonts w:hint="default"/>
        </w:rPr>
        <w:t>Jowih Credits framework</w:t>
      </w:r>
      <w:r>
        <w:rPr>
          <w:rFonts w:hint="default"/>
        </w:rPr>
        <w:t>, subject to applicable exchange-control regulations in each host jurisdiction.</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967"/>
        <w:gridCol w:w="93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Header/>
        </w:trPr>
        <w:tc>
          <w:tcPr>
            <w:tcW w:w="1967"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9313"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967" w:type="dxa"/>
            <w:shd w:val="clear"/>
            <w:tcMar>
              <w:top w:w="150" w:type="dxa"/>
              <w:left w:w="0" w:type="dxa"/>
              <w:bottom w:w="150" w:type="dxa"/>
              <w:right w:w="240" w:type="dxa"/>
            </w:tcMar>
            <w:vAlign w:val="center"/>
          </w:tcPr>
          <w:p>
            <w:pPr>
              <w:rPr>
                <w:rFonts w:hint="default"/>
              </w:rPr>
            </w:pPr>
            <w:r>
              <w:rPr>
                <w:rFonts w:hint="default"/>
                <w:lang w:val="en-US" w:eastAsia="zh-CN"/>
              </w:rPr>
              <w:t>FX Management</w:t>
            </w:r>
          </w:p>
        </w:tc>
        <w:tc>
          <w:tcPr>
            <w:tcW w:w="9313" w:type="dxa"/>
            <w:shd w:val="clear"/>
            <w:tcMar>
              <w:top w:w="150" w:type="dxa"/>
              <w:left w:w="240" w:type="dxa"/>
              <w:bottom w:w="150" w:type="dxa"/>
              <w:right w:w="0" w:type="dxa"/>
            </w:tcMar>
            <w:vAlign w:val="center"/>
          </w:tcPr>
          <w:p>
            <w:pPr>
              <w:rPr>
                <w:rFonts w:hint="default"/>
              </w:rPr>
            </w:pPr>
            <w:r>
              <w:rPr>
                <w:rFonts w:hint="default"/>
                <w:lang w:val="en-US" w:eastAsia="zh-CN"/>
              </w:rPr>
              <w:t>Jowih Credits framework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967" w:type="dxa"/>
            <w:shd w:val="clear"/>
            <w:tcMar>
              <w:top w:w="150" w:type="dxa"/>
              <w:left w:w="0" w:type="dxa"/>
              <w:bottom w:w="150" w:type="dxa"/>
              <w:right w:w="240" w:type="dxa"/>
            </w:tcMar>
            <w:vAlign w:val="center"/>
          </w:tcPr>
          <w:p>
            <w:pPr>
              <w:rPr>
                <w:rFonts w:hint="default"/>
              </w:rPr>
            </w:pPr>
            <w:r>
              <w:rPr>
                <w:rFonts w:hint="default"/>
                <w:lang w:val="en-US" w:eastAsia="zh-CN"/>
              </w:rPr>
              <w:t>Scope</w:t>
            </w:r>
          </w:p>
        </w:tc>
        <w:tc>
          <w:tcPr>
            <w:tcW w:w="9313" w:type="dxa"/>
            <w:shd w:val="clear"/>
            <w:tcMar>
              <w:top w:w="150" w:type="dxa"/>
              <w:left w:w="240" w:type="dxa"/>
              <w:bottom w:w="150" w:type="dxa"/>
              <w:right w:w="0" w:type="dxa"/>
            </w:tcMar>
            <w:vAlign w:val="center"/>
          </w:tcPr>
          <w:p>
            <w:pPr>
              <w:rPr>
                <w:rFonts w:hint="default"/>
              </w:rPr>
            </w:pPr>
            <w:r>
              <w:rPr>
                <w:rFonts w:hint="default"/>
                <w:lang w:val="en-US" w:eastAsia="zh-CN"/>
              </w:rPr>
              <w:t>Cross-border settlement, unit subscriptions, distributions, land-settlement transactions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967" w:type="dxa"/>
            <w:shd w:val="clear"/>
            <w:tcMar>
              <w:top w:w="150" w:type="dxa"/>
              <w:left w:w="0" w:type="dxa"/>
              <w:bottom w:w="150" w:type="dxa"/>
              <w:right w:w="240" w:type="dxa"/>
            </w:tcMar>
            <w:vAlign w:val="center"/>
          </w:tcPr>
          <w:p>
            <w:pPr>
              <w:rPr>
                <w:rFonts w:hint="default"/>
              </w:rPr>
            </w:pPr>
            <w:r>
              <w:rPr>
                <w:rFonts w:hint="default"/>
                <w:lang w:val="en-US" w:eastAsia="zh-CN"/>
              </w:rPr>
              <w:t>Compliance</w:t>
            </w:r>
          </w:p>
        </w:tc>
        <w:tc>
          <w:tcPr>
            <w:tcW w:w="9313" w:type="dxa"/>
            <w:shd w:val="clear"/>
            <w:tcMar>
              <w:top w:w="150" w:type="dxa"/>
              <w:left w:w="240" w:type="dxa"/>
              <w:bottom w:w="150" w:type="dxa"/>
              <w:right w:w="0" w:type="dxa"/>
            </w:tcMar>
            <w:vAlign w:val="center"/>
          </w:tcPr>
          <w:p>
            <w:pPr>
              <w:rPr>
                <w:rFonts w:hint="default"/>
              </w:rPr>
            </w:pPr>
            <w:r>
              <w:rPr>
                <w:rFonts w:hint="default"/>
                <w:lang w:val="en-US" w:eastAsia="zh-CN"/>
              </w:rPr>
              <w:t>Subject to applicable exchange-control regulations in each host jurisdiction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967" w:type="dxa"/>
            <w:shd w:val="clear"/>
            <w:tcMar>
              <w:top w:w="150" w:type="dxa"/>
              <w:left w:w="0" w:type="dxa"/>
              <w:bottom w:w="150" w:type="dxa"/>
              <w:right w:w="240" w:type="dxa"/>
            </w:tcMar>
            <w:vAlign w:val="center"/>
          </w:tcPr>
          <w:p>
            <w:pPr>
              <w:rPr>
                <w:rFonts w:hint="default"/>
              </w:rPr>
            </w:pPr>
            <w:r>
              <w:rPr>
                <w:rFonts w:hint="default"/>
                <w:lang w:val="en-US" w:eastAsia="zh-CN"/>
              </w:rPr>
              <w:t>Design Objective</w:t>
            </w:r>
          </w:p>
        </w:tc>
        <w:tc>
          <w:tcPr>
            <w:tcW w:w="9313" w:type="dxa"/>
            <w:shd w:val="clear"/>
            <w:tcMar>
              <w:top w:w="150" w:type="dxa"/>
              <w:left w:w="240" w:type="dxa"/>
              <w:bottom w:w="150" w:type="dxa"/>
              <w:right w:w="0" w:type="dxa"/>
            </w:tcMar>
            <w:vAlign w:val="center"/>
          </w:tcPr>
          <w:p>
            <w:pPr>
              <w:rPr>
                <w:rFonts w:hint="default"/>
              </w:rPr>
            </w:pPr>
            <w:r>
              <w:rPr>
                <w:rFonts w:hint="default"/>
                <w:lang w:val="en-US" w:eastAsia="zh-CN"/>
              </w:rPr>
              <w:t>Compliant, transparent, and efficient cross-border capital movement</w:t>
            </w:r>
          </w:p>
        </w:tc>
      </w:tr>
    </w:tbl>
    <w:p>
      <w:r>
        <w:pict>
          <v:rect id="_x0000_i1079" o:spt="1" style="height:1.5pt;width:432pt;" fillcolor="#A0A0A0" filled="t" stroked="f" coordsize="21600,21600" o:hr="t" o:hrstd="t" o:hralign="center">
            <v:path/>
            <v:fill on="t" focussize="0,0"/>
            <v:stroke on="f"/>
            <v:imagedata o:title=""/>
            <o:lock v:ext="edit"/>
            <w10:wrap type="none"/>
            <w10:anchorlock/>
          </v:rect>
        </w:pict>
      </w:r>
    </w:p>
    <w:p>
      <w:r>
        <w:rPr>
          <w:rFonts w:hint="default"/>
        </w:rPr>
        <w:t>4.5 Stewardship and Voting</w:t>
      </w:r>
    </w:p>
    <w:p>
      <w:pPr>
        <w:rPr>
          <w:rFonts w:hint="default"/>
        </w:rPr>
      </w:pPr>
      <w:r>
        <w:rPr>
          <w:rFonts w:hint="default"/>
        </w:rPr>
        <w:t>4.5.1 The Fund as Legal Owner of Vaulted Shares</w:t>
      </w:r>
    </w:p>
    <w:p>
      <w:r>
        <w:rPr>
          <w:rFonts w:hint="default"/>
        </w:rPr>
        <w:t>The Fund, through its applicable VCC sub-fund compartments, is the legal owner of the vaulted shares deposited by partners.</w:t>
      </w:r>
    </w:p>
    <w:p>
      <w:pPr>
        <w:rPr>
          <w:rFonts w:hint="default"/>
        </w:rPr>
      </w:pPr>
      <w:r>
        <w:rPr>
          <w:rFonts w:hint="default"/>
        </w:rPr>
        <w:t>As legal owner, the Fund holds the voting rights attached to those shares.</w:t>
      </w:r>
    </w:p>
    <w:p>
      <w:pPr>
        <w:rPr>
          <w:rFonts w:hint="default"/>
        </w:rPr>
      </w:pPr>
      <w:r>
        <w:rPr>
          <w:rFonts w:hint="default"/>
        </w:rPr>
        <w:t>Unit holders have economic exposure to the Fund's NAV and distributable performance. Unit holders do not have direct voting rights over the vaulted shares. Unit holders do not have governance rights over the underlying companies or over the Jowih Foundation.</w:t>
      </w:r>
    </w:p>
    <w:p>
      <w:pPr>
        <w:rPr>
          <w:rFonts w:hint="default"/>
        </w:rPr>
      </w:pPr>
      <w:r>
        <w:rPr>
          <w:rFonts w:hint="default"/>
        </w:rPr>
        <w:t>This structure preserves the absolute decoupling of downstream economic rights from upstream control rights.</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092"/>
        <w:gridCol w:w="71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4092"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7187"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092" w:type="dxa"/>
            <w:shd w:val="clear"/>
            <w:tcMar>
              <w:top w:w="150" w:type="dxa"/>
              <w:left w:w="0" w:type="dxa"/>
              <w:bottom w:w="150" w:type="dxa"/>
              <w:right w:w="240" w:type="dxa"/>
            </w:tcMar>
            <w:vAlign w:val="center"/>
          </w:tcPr>
          <w:p>
            <w:pPr>
              <w:rPr>
                <w:rFonts w:hint="default"/>
              </w:rPr>
            </w:pPr>
            <w:r>
              <w:rPr>
                <w:rFonts w:hint="default"/>
                <w:lang w:val="en-US" w:eastAsia="zh-CN"/>
              </w:rPr>
              <w:t>Vaulted Shares</w:t>
            </w:r>
            <w:bookmarkStart w:id="0" w:name="_GoBack"/>
            <w:bookmarkEnd w:id="0"/>
          </w:p>
        </w:tc>
        <w:tc>
          <w:tcPr>
            <w:tcW w:w="7187" w:type="dxa"/>
            <w:shd w:val="clear"/>
            <w:tcMar>
              <w:top w:w="150" w:type="dxa"/>
              <w:left w:w="240" w:type="dxa"/>
              <w:bottom w:w="150" w:type="dxa"/>
              <w:right w:w="0" w:type="dxa"/>
            </w:tcMar>
            <w:vAlign w:val="center"/>
          </w:tcPr>
          <w:p>
            <w:pPr>
              <w:rPr>
                <w:rFonts w:hint="default"/>
              </w:rPr>
            </w:pPr>
            <w:r>
              <w:rPr>
                <w:rFonts w:hint="default"/>
                <w:lang w:val="en-US" w:eastAsia="zh-CN"/>
              </w:rPr>
              <w:t>Held by Fund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092" w:type="dxa"/>
            <w:shd w:val="clear"/>
            <w:tcMar>
              <w:top w:w="150" w:type="dxa"/>
              <w:left w:w="0" w:type="dxa"/>
              <w:bottom w:w="150" w:type="dxa"/>
              <w:right w:w="240" w:type="dxa"/>
            </w:tcMar>
            <w:vAlign w:val="center"/>
          </w:tcPr>
          <w:p>
            <w:pPr>
              <w:rPr>
                <w:rFonts w:hint="default"/>
              </w:rPr>
            </w:pPr>
            <w:r>
              <w:rPr>
                <w:rFonts w:hint="default"/>
                <w:lang w:val="en-US" w:eastAsia="zh-CN"/>
              </w:rPr>
              <w:t>Voting Rights</w:t>
            </w:r>
          </w:p>
        </w:tc>
        <w:tc>
          <w:tcPr>
            <w:tcW w:w="7187" w:type="dxa"/>
            <w:shd w:val="clear"/>
            <w:tcMar>
              <w:top w:w="150" w:type="dxa"/>
              <w:left w:w="240" w:type="dxa"/>
              <w:bottom w:w="150" w:type="dxa"/>
              <w:right w:w="0" w:type="dxa"/>
            </w:tcMar>
            <w:vAlign w:val="center"/>
          </w:tcPr>
          <w:p>
            <w:pPr>
              <w:rPr>
                <w:rFonts w:hint="default"/>
              </w:rPr>
            </w:pPr>
            <w:r>
              <w:rPr>
                <w:rFonts w:hint="default"/>
                <w:lang w:val="en-US" w:eastAsia="zh-CN"/>
              </w:rPr>
              <w:t>Held by Fund as legal owner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092" w:type="dxa"/>
            <w:shd w:val="clear"/>
            <w:tcMar>
              <w:top w:w="150" w:type="dxa"/>
              <w:left w:w="0" w:type="dxa"/>
              <w:bottom w:w="150" w:type="dxa"/>
              <w:right w:w="240" w:type="dxa"/>
            </w:tcMar>
            <w:vAlign w:val="center"/>
          </w:tcPr>
          <w:p>
            <w:pPr>
              <w:rPr>
                <w:rFonts w:hint="default"/>
              </w:rPr>
            </w:pPr>
            <w:r>
              <w:rPr>
                <w:rFonts w:hint="default"/>
                <w:lang w:val="en-US" w:eastAsia="zh-CN"/>
              </w:rPr>
              <w:t>Unit Holders</w:t>
            </w:r>
          </w:p>
        </w:tc>
        <w:tc>
          <w:tcPr>
            <w:tcW w:w="7187" w:type="dxa"/>
            <w:shd w:val="clear"/>
            <w:tcMar>
              <w:top w:w="150" w:type="dxa"/>
              <w:left w:w="240" w:type="dxa"/>
              <w:bottom w:w="150" w:type="dxa"/>
              <w:right w:w="0" w:type="dxa"/>
            </w:tcMar>
            <w:vAlign w:val="center"/>
          </w:tcPr>
          <w:p>
            <w:pPr>
              <w:rPr>
                <w:rFonts w:hint="default"/>
              </w:rPr>
            </w:pPr>
            <w:r>
              <w:rPr>
                <w:rFonts w:hint="default"/>
                <w:lang w:val="en-US" w:eastAsia="zh-CN"/>
              </w:rPr>
              <w:t>Economic exposure only; no direct voting rights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092" w:type="dxa"/>
            <w:shd w:val="clear"/>
            <w:tcMar>
              <w:top w:w="150" w:type="dxa"/>
              <w:left w:w="0" w:type="dxa"/>
              <w:bottom w:w="150" w:type="dxa"/>
              <w:right w:w="240" w:type="dxa"/>
            </w:tcMar>
            <w:vAlign w:val="center"/>
          </w:tcPr>
          <w:p>
            <w:pPr>
              <w:rPr>
                <w:rFonts w:hint="default"/>
              </w:rPr>
            </w:pPr>
            <w:r>
              <w:rPr>
                <w:rFonts w:hint="default"/>
                <w:lang w:val="en-US" w:eastAsia="zh-CN"/>
              </w:rPr>
              <w:t>Fund's Exercise of Voting Rights</w:t>
            </w:r>
          </w:p>
        </w:tc>
        <w:tc>
          <w:tcPr>
            <w:tcW w:w="7187" w:type="dxa"/>
            <w:shd w:val="clear"/>
            <w:tcMar>
              <w:top w:w="150" w:type="dxa"/>
              <w:left w:w="240" w:type="dxa"/>
              <w:bottom w:w="150" w:type="dxa"/>
              <w:right w:w="0" w:type="dxa"/>
            </w:tcMar>
            <w:vAlign w:val="center"/>
          </w:tcPr>
          <w:p>
            <w:pPr>
              <w:rPr>
                <w:rFonts w:hint="default"/>
              </w:rPr>
            </w:pPr>
            <w:r>
              <w:rPr>
                <w:rFonts w:hint="default"/>
                <w:lang w:val="en-US" w:eastAsia="zh-CN"/>
              </w:rPr>
              <w:t>In the best interest of the Fund and its unit holders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092" w:type="dxa"/>
            <w:shd w:val="clear"/>
            <w:tcMar>
              <w:top w:w="150" w:type="dxa"/>
              <w:left w:w="0" w:type="dxa"/>
              <w:bottom w:w="150" w:type="dxa"/>
              <w:right w:w="240" w:type="dxa"/>
            </w:tcMar>
            <w:vAlign w:val="center"/>
          </w:tcPr>
          <w:p>
            <w:pPr>
              <w:rPr>
                <w:rFonts w:hint="default"/>
              </w:rPr>
            </w:pPr>
            <w:r>
              <w:rPr>
                <w:rFonts w:hint="default"/>
                <w:lang w:val="en-US" w:eastAsia="zh-CN"/>
              </w:rPr>
              <w:t>Foundation Governance</w:t>
            </w:r>
          </w:p>
        </w:tc>
        <w:tc>
          <w:tcPr>
            <w:tcW w:w="7187" w:type="dxa"/>
            <w:shd w:val="clear"/>
            <w:tcMar>
              <w:top w:w="150" w:type="dxa"/>
              <w:left w:w="240" w:type="dxa"/>
              <w:bottom w:w="150" w:type="dxa"/>
              <w:right w:w="0" w:type="dxa"/>
            </w:tcMar>
            <w:vAlign w:val="center"/>
          </w:tcPr>
          <w:p>
            <w:pPr>
              <w:rPr>
                <w:rFonts w:hint="default"/>
              </w:rPr>
            </w:pPr>
            <w:r>
              <w:rPr>
                <w:rFonts w:hint="default"/>
                <w:lang w:val="en-US" w:eastAsia="zh-CN"/>
              </w:rPr>
              <w:t>Unit holders have zero rights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092" w:type="dxa"/>
            <w:shd w:val="clear"/>
            <w:tcMar>
              <w:top w:w="150" w:type="dxa"/>
              <w:left w:w="0" w:type="dxa"/>
              <w:bottom w:w="150" w:type="dxa"/>
              <w:right w:w="240" w:type="dxa"/>
            </w:tcMar>
            <w:vAlign w:val="center"/>
          </w:tcPr>
          <w:p>
            <w:pPr>
              <w:rPr>
                <w:rFonts w:hint="default"/>
              </w:rPr>
            </w:pPr>
            <w:r>
              <w:rPr>
                <w:rFonts w:hint="default"/>
                <w:lang w:val="en-US" w:eastAsia="zh-CN"/>
              </w:rPr>
              <w:t>Stewardship</w:t>
            </w:r>
          </w:p>
        </w:tc>
        <w:tc>
          <w:tcPr>
            <w:tcW w:w="7187" w:type="dxa"/>
            <w:shd w:val="clear"/>
            <w:tcMar>
              <w:top w:w="150" w:type="dxa"/>
              <w:left w:w="240" w:type="dxa"/>
              <w:bottom w:w="150" w:type="dxa"/>
              <w:right w:w="0" w:type="dxa"/>
            </w:tcMar>
            <w:vAlign w:val="center"/>
          </w:tcPr>
          <w:p>
            <w:pPr>
              <w:rPr>
                <w:rFonts w:hint="default"/>
              </w:rPr>
            </w:pPr>
            <w:r>
              <w:rPr>
                <w:rFonts w:hint="default"/>
                <w:lang w:val="en-US" w:eastAsia="zh-CN"/>
              </w:rPr>
              <w:t>Fund exercises voting rights as owner of vaulted shares</w:t>
            </w:r>
          </w:p>
        </w:tc>
      </w:tr>
    </w:tbl>
    <w:p>
      <w:pPr>
        <w:rPr>
          <w:rFonts w:hint="default"/>
        </w:rPr>
      </w:pPr>
      <w:r>
        <w:rPr>
          <w:rFonts w:hint="default"/>
        </w:rPr>
        <w:t>4.5.2 Stewardship Principles</w:t>
      </w:r>
    </w:p>
    <w:p>
      <w:pPr>
        <w:rPr>
          <w:rFonts w:hint="default"/>
        </w:rPr>
      </w:pPr>
      <w:r>
        <w:rPr>
          <w:rFonts w:hint="default"/>
        </w:rPr>
        <w:t>The Fund shall exercise voting rights in accordance with the Jowih Stewardship Principles, which shall be published and applied consistently across all vaulted shares.</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131"/>
        <w:gridCol w:w="71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413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Principle</w:t>
            </w:r>
          </w:p>
        </w:tc>
        <w:tc>
          <w:tcPr>
            <w:tcW w:w="714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131" w:type="dxa"/>
            <w:shd w:val="clear"/>
            <w:tcMar>
              <w:top w:w="150" w:type="dxa"/>
              <w:left w:w="0" w:type="dxa"/>
              <w:bottom w:w="150" w:type="dxa"/>
              <w:right w:w="240" w:type="dxa"/>
            </w:tcMar>
            <w:vAlign w:val="center"/>
          </w:tcPr>
          <w:p>
            <w:pPr>
              <w:rPr>
                <w:rFonts w:hint="default"/>
              </w:rPr>
            </w:pPr>
            <w:r>
              <w:rPr>
                <w:rFonts w:hint="default"/>
                <w:lang w:val="en-US" w:eastAsia="zh-CN"/>
              </w:rPr>
              <w:t>Long-Term Value Creation</w:t>
            </w:r>
          </w:p>
        </w:tc>
        <w:tc>
          <w:tcPr>
            <w:tcW w:w="714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promote long-term value creation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131" w:type="dxa"/>
            <w:shd w:val="clear"/>
            <w:tcMar>
              <w:top w:w="150" w:type="dxa"/>
              <w:left w:w="0" w:type="dxa"/>
              <w:bottom w:w="150" w:type="dxa"/>
              <w:right w:w="240" w:type="dxa"/>
            </w:tcMar>
            <w:vAlign w:val="center"/>
          </w:tcPr>
          <w:p>
            <w:pPr>
              <w:rPr>
                <w:rFonts w:hint="default"/>
              </w:rPr>
            </w:pPr>
            <w:r>
              <w:rPr>
                <w:rFonts w:hint="default"/>
                <w:lang w:val="en-US" w:eastAsia="zh-CN"/>
              </w:rPr>
              <w:t>Board Accountability</w:t>
            </w:r>
          </w:p>
        </w:tc>
        <w:tc>
          <w:tcPr>
            <w:tcW w:w="7148" w:type="dxa"/>
            <w:shd w:val="clear"/>
            <w:tcMar>
              <w:top w:w="150" w:type="dxa"/>
              <w:left w:w="240" w:type="dxa"/>
              <w:bottom w:w="150" w:type="dxa"/>
              <w:right w:w="0" w:type="dxa"/>
            </w:tcMar>
            <w:vAlign w:val="center"/>
          </w:tcPr>
          <w:p>
            <w:pPr>
              <w:rPr>
                <w:rFonts w:hint="default"/>
              </w:rPr>
            </w:pPr>
            <w:r>
              <w:rPr>
                <w:rFonts w:hint="default"/>
                <w:lang w:val="en-US" w:eastAsia="zh-CN"/>
              </w:rPr>
              <w:t>Vote against boards that fail to meet governance standards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131" w:type="dxa"/>
            <w:shd w:val="clear"/>
            <w:tcMar>
              <w:top w:w="150" w:type="dxa"/>
              <w:left w:w="0" w:type="dxa"/>
              <w:bottom w:w="150" w:type="dxa"/>
              <w:right w:w="240" w:type="dxa"/>
            </w:tcMar>
            <w:vAlign w:val="center"/>
          </w:tcPr>
          <w:p>
            <w:pPr>
              <w:rPr>
                <w:rFonts w:hint="default"/>
              </w:rPr>
            </w:pPr>
            <w:r>
              <w:rPr>
                <w:rFonts w:hint="default"/>
                <w:lang w:val="en-US" w:eastAsia="zh-CN"/>
              </w:rPr>
              <w:t>Executive Compensation</w:t>
            </w:r>
          </w:p>
        </w:tc>
        <w:tc>
          <w:tcPr>
            <w:tcW w:w="7148" w:type="dxa"/>
            <w:shd w:val="clear"/>
            <w:tcMar>
              <w:top w:w="150" w:type="dxa"/>
              <w:left w:w="240" w:type="dxa"/>
              <w:bottom w:w="150" w:type="dxa"/>
              <w:right w:w="0" w:type="dxa"/>
            </w:tcMar>
            <w:vAlign w:val="center"/>
          </w:tcPr>
          <w:p>
            <w:pPr>
              <w:rPr>
                <w:rFonts w:hint="default"/>
              </w:rPr>
            </w:pPr>
            <w:r>
              <w:rPr>
                <w:rFonts w:hint="default"/>
                <w:lang w:val="en-US" w:eastAsia="zh-CN"/>
              </w:rPr>
              <w:t>Vote against excessive or misaligned compensation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131" w:type="dxa"/>
            <w:shd w:val="clear"/>
            <w:tcMar>
              <w:top w:w="150" w:type="dxa"/>
              <w:left w:w="0" w:type="dxa"/>
              <w:bottom w:w="150" w:type="dxa"/>
              <w:right w:w="240" w:type="dxa"/>
            </w:tcMar>
            <w:vAlign w:val="center"/>
          </w:tcPr>
          <w:p>
            <w:pPr>
              <w:rPr>
                <w:rFonts w:hint="default"/>
              </w:rPr>
            </w:pPr>
            <w:r>
              <w:rPr>
                <w:rFonts w:hint="default"/>
                <w:lang w:val="en-US" w:eastAsia="zh-CN"/>
              </w:rPr>
              <w:t>Environmental &amp; Social Responsibility</w:t>
            </w:r>
          </w:p>
        </w:tc>
        <w:tc>
          <w:tcPr>
            <w:tcW w:w="714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promote sustainability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131" w:type="dxa"/>
            <w:shd w:val="clear"/>
            <w:tcMar>
              <w:top w:w="150" w:type="dxa"/>
              <w:left w:w="0" w:type="dxa"/>
              <w:bottom w:w="150" w:type="dxa"/>
              <w:right w:w="240" w:type="dxa"/>
            </w:tcMar>
            <w:vAlign w:val="center"/>
          </w:tcPr>
          <w:p>
            <w:pPr>
              <w:rPr>
                <w:rFonts w:hint="default"/>
              </w:rPr>
            </w:pPr>
            <w:r>
              <w:rPr>
                <w:rFonts w:hint="default"/>
                <w:lang w:val="en-US" w:eastAsia="zh-CN"/>
              </w:rPr>
              <w:t>Shareholder Rights</w:t>
            </w:r>
          </w:p>
        </w:tc>
        <w:tc>
          <w:tcPr>
            <w:tcW w:w="714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protect shareholder rights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131" w:type="dxa"/>
            <w:shd w:val="clear"/>
            <w:tcMar>
              <w:top w:w="150" w:type="dxa"/>
              <w:left w:w="0" w:type="dxa"/>
              <w:bottom w:w="150" w:type="dxa"/>
              <w:right w:w="240" w:type="dxa"/>
            </w:tcMar>
            <w:vAlign w:val="center"/>
          </w:tcPr>
          <w:p>
            <w:pPr>
              <w:rPr>
                <w:rFonts w:hint="default"/>
              </w:rPr>
            </w:pPr>
            <w:r>
              <w:rPr>
                <w:rFonts w:hint="default"/>
                <w:lang w:val="en-US" w:eastAsia="zh-CN"/>
              </w:rPr>
              <w:t>Transparency</w:t>
            </w:r>
          </w:p>
        </w:tc>
        <w:tc>
          <w:tcPr>
            <w:tcW w:w="714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increase transparency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131" w:type="dxa"/>
            <w:shd w:val="clear"/>
            <w:tcMar>
              <w:top w:w="150" w:type="dxa"/>
              <w:left w:w="0" w:type="dxa"/>
              <w:bottom w:w="150" w:type="dxa"/>
              <w:right w:w="240" w:type="dxa"/>
            </w:tcMar>
            <w:vAlign w:val="center"/>
          </w:tcPr>
          <w:p>
            <w:pPr>
              <w:rPr>
                <w:rFonts w:hint="default"/>
              </w:rPr>
            </w:pPr>
            <w:r>
              <w:rPr>
                <w:rFonts w:hint="default"/>
                <w:lang w:val="en-US" w:eastAsia="zh-CN"/>
              </w:rPr>
              <w:t>Mission Alignment</w:t>
            </w:r>
          </w:p>
        </w:tc>
        <w:tc>
          <w:tcPr>
            <w:tcW w:w="714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align with the Jowih mission</w:t>
            </w:r>
          </w:p>
        </w:tc>
      </w:tr>
    </w:tbl>
    <w:p>
      <w:pPr>
        <w:rPr>
          <w:rFonts w:hint="default"/>
        </w:rPr>
      </w:pPr>
      <w:r>
        <w:rPr>
          <w:rFonts w:hint="default"/>
        </w:rPr>
        <w:t>4.5.3 Proxy Voting Guidelines</w:t>
      </w:r>
    </w:p>
    <w:p>
      <w:pPr>
        <w:rPr>
          <w:rFonts w:hint="default"/>
        </w:rPr>
      </w:pPr>
      <w:r>
        <w:rPr>
          <w:rFonts w:hint="default"/>
        </w:rPr>
        <w:t>The Fund shall exercise voting rights in accordance with the Jowih Proxy Voting Guidelines, which shall be published and applied consistently across all vaulted shares.</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661"/>
        <w:gridCol w:w="86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266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Category</w:t>
            </w:r>
          </w:p>
        </w:tc>
        <w:tc>
          <w:tcPr>
            <w:tcW w:w="861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Guideline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661" w:type="dxa"/>
            <w:shd w:val="clear"/>
            <w:tcMar>
              <w:top w:w="150" w:type="dxa"/>
              <w:left w:w="0" w:type="dxa"/>
              <w:bottom w:w="150" w:type="dxa"/>
              <w:right w:w="240" w:type="dxa"/>
            </w:tcMar>
            <w:vAlign w:val="center"/>
          </w:tcPr>
          <w:p>
            <w:pPr>
              <w:rPr>
                <w:rFonts w:hint="default"/>
              </w:rPr>
            </w:pPr>
            <w:r>
              <w:rPr>
                <w:rFonts w:hint="default"/>
                <w:lang w:val="en-US" w:eastAsia="zh-CN"/>
              </w:rPr>
              <w:t>Board Elections</w:t>
            </w:r>
          </w:p>
        </w:tc>
        <w:tc>
          <w:tcPr>
            <w:tcW w:w="8618" w:type="dxa"/>
            <w:shd w:val="clear"/>
            <w:tcMar>
              <w:top w:w="150" w:type="dxa"/>
              <w:left w:w="240" w:type="dxa"/>
              <w:bottom w:w="150" w:type="dxa"/>
              <w:right w:w="0" w:type="dxa"/>
            </w:tcMar>
            <w:vAlign w:val="center"/>
          </w:tcPr>
          <w:p>
            <w:pPr>
              <w:rPr>
                <w:rFonts w:hint="default"/>
              </w:rPr>
            </w:pPr>
            <w:r>
              <w:rPr>
                <w:rFonts w:hint="default"/>
                <w:lang w:val="en-US" w:eastAsia="zh-CN"/>
              </w:rPr>
              <w:t>Vote in favor of directors who meet independence, diversity, and competence criteria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661" w:type="dxa"/>
            <w:shd w:val="clear"/>
            <w:tcMar>
              <w:top w:w="150" w:type="dxa"/>
              <w:left w:w="0" w:type="dxa"/>
              <w:bottom w:w="150" w:type="dxa"/>
              <w:right w:w="240" w:type="dxa"/>
            </w:tcMar>
            <w:vAlign w:val="center"/>
          </w:tcPr>
          <w:p>
            <w:pPr>
              <w:rPr>
                <w:rFonts w:hint="default"/>
              </w:rPr>
            </w:pPr>
            <w:r>
              <w:rPr>
                <w:rFonts w:hint="default"/>
                <w:lang w:val="en-US" w:eastAsia="zh-CN"/>
              </w:rPr>
              <w:t>Executive Compensation</w:t>
            </w:r>
          </w:p>
        </w:tc>
        <w:tc>
          <w:tcPr>
            <w:tcW w:w="8618" w:type="dxa"/>
            <w:shd w:val="clear"/>
            <w:tcMar>
              <w:top w:w="150" w:type="dxa"/>
              <w:left w:w="240" w:type="dxa"/>
              <w:bottom w:w="150" w:type="dxa"/>
              <w:right w:w="0" w:type="dxa"/>
            </w:tcMar>
            <w:vAlign w:val="center"/>
          </w:tcPr>
          <w:p>
            <w:pPr>
              <w:rPr>
                <w:rFonts w:hint="default"/>
              </w:rPr>
            </w:pPr>
            <w:r>
              <w:rPr>
                <w:rFonts w:hint="default"/>
                <w:lang w:val="en-US" w:eastAsia="zh-CN"/>
              </w:rPr>
              <w:t>Vote against packages that are excessive or misaligned with performance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661" w:type="dxa"/>
            <w:shd w:val="clear"/>
            <w:tcMar>
              <w:top w:w="150" w:type="dxa"/>
              <w:left w:w="0" w:type="dxa"/>
              <w:bottom w:w="150" w:type="dxa"/>
              <w:right w:w="240" w:type="dxa"/>
            </w:tcMar>
            <w:vAlign w:val="center"/>
          </w:tcPr>
          <w:p>
            <w:pPr>
              <w:rPr>
                <w:rFonts w:hint="default"/>
              </w:rPr>
            </w:pPr>
            <w:r>
              <w:rPr>
                <w:rFonts w:hint="default"/>
                <w:lang w:val="en-US" w:eastAsia="zh-CN"/>
              </w:rPr>
              <w:t>Mergers &amp; Acquisitions</w:t>
            </w:r>
          </w:p>
        </w:tc>
        <w:tc>
          <w:tcPr>
            <w:tcW w:w="8618" w:type="dxa"/>
            <w:shd w:val="clear"/>
            <w:tcMar>
              <w:top w:w="150" w:type="dxa"/>
              <w:left w:w="240" w:type="dxa"/>
              <w:bottom w:w="150" w:type="dxa"/>
              <w:right w:w="0" w:type="dxa"/>
            </w:tcMar>
            <w:vAlign w:val="center"/>
          </w:tcPr>
          <w:p>
            <w:pPr>
              <w:rPr>
                <w:rFonts w:hint="default"/>
              </w:rPr>
            </w:pPr>
            <w:r>
              <w:rPr>
                <w:rFonts w:hint="default"/>
                <w:lang w:val="en-US" w:eastAsia="zh-CN"/>
              </w:rPr>
              <w:t>Vote in favor of transactions that create long-term 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661" w:type="dxa"/>
            <w:shd w:val="clear"/>
            <w:tcMar>
              <w:top w:w="150" w:type="dxa"/>
              <w:left w:w="0" w:type="dxa"/>
              <w:bottom w:w="150" w:type="dxa"/>
              <w:right w:w="240" w:type="dxa"/>
            </w:tcMar>
            <w:vAlign w:val="center"/>
          </w:tcPr>
          <w:p>
            <w:pPr>
              <w:rPr>
                <w:rFonts w:hint="default"/>
              </w:rPr>
            </w:pPr>
            <w:r>
              <w:rPr>
                <w:rFonts w:hint="default"/>
                <w:lang w:val="en-US" w:eastAsia="zh-CN"/>
              </w:rPr>
              <w:t>Capital Structure</w:t>
            </w:r>
          </w:p>
        </w:tc>
        <w:tc>
          <w:tcPr>
            <w:tcW w:w="861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maintain a sound capital structure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661" w:type="dxa"/>
            <w:shd w:val="clear"/>
            <w:tcMar>
              <w:top w:w="150" w:type="dxa"/>
              <w:left w:w="0" w:type="dxa"/>
              <w:bottom w:w="150" w:type="dxa"/>
              <w:right w:w="240" w:type="dxa"/>
            </w:tcMar>
            <w:vAlign w:val="center"/>
          </w:tcPr>
          <w:p>
            <w:pPr>
              <w:rPr>
                <w:rFonts w:hint="default"/>
              </w:rPr>
            </w:pPr>
            <w:r>
              <w:rPr>
                <w:rFonts w:hint="default"/>
                <w:lang w:val="en-US" w:eastAsia="zh-CN"/>
              </w:rPr>
              <w:t>Environmental &amp; Social</w:t>
            </w:r>
          </w:p>
        </w:tc>
        <w:tc>
          <w:tcPr>
            <w:tcW w:w="861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promote sustainability and social responsibility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661" w:type="dxa"/>
            <w:shd w:val="clear"/>
            <w:tcMar>
              <w:top w:w="150" w:type="dxa"/>
              <w:left w:w="0" w:type="dxa"/>
              <w:bottom w:w="150" w:type="dxa"/>
              <w:right w:w="240" w:type="dxa"/>
            </w:tcMar>
            <w:vAlign w:val="center"/>
          </w:tcPr>
          <w:p>
            <w:pPr>
              <w:rPr>
                <w:rFonts w:hint="default"/>
              </w:rPr>
            </w:pPr>
            <w:r>
              <w:rPr>
                <w:rFonts w:hint="default"/>
                <w:lang w:val="en-US" w:eastAsia="zh-CN"/>
              </w:rPr>
              <w:t>Shareholder Proposals</w:t>
            </w:r>
          </w:p>
        </w:tc>
        <w:tc>
          <w:tcPr>
            <w:tcW w:w="861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promote shareholder rights and transparency</w:t>
            </w:r>
          </w:p>
        </w:tc>
      </w:tr>
    </w:tbl>
    <w:p>
      <w:pPr>
        <w:rPr>
          <w:rFonts w:hint="default"/>
        </w:rPr>
      </w:pPr>
      <w:r>
        <w:rPr>
          <w:rFonts w:hint="default"/>
        </w:rPr>
        <w:t>4.5.4 Escalation Framework</w:t>
      </w:r>
    </w:p>
    <w:p>
      <w:pPr>
        <w:rPr>
          <w:rFonts w:hint="default"/>
        </w:rPr>
      </w:pPr>
      <w:r>
        <w:rPr>
          <w:rFonts w:hint="default"/>
        </w:rPr>
        <w:t>Where engagement with a company fails to achieve the desired outcome, the Fund may escalate its stewardship activities.</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710"/>
        <w:gridCol w:w="95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1710"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Level</w:t>
            </w:r>
          </w:p>
        </w:tc>
        <w:tc>
          <w:tcPr>
            <w:tcW w:w="9569"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710" w:type="dxa"/>
            <w:shd w:val="clear"/>
            <w:tcMar>
              <w:top w:w="150" w:type="dxa"/>
              <w:left w:w="0" w:type="dxa"/>
              <w:bottom w:w="150" w:type="dxa"/>
              <w:right w:w="240" w:type="dxa"/>
            </w:tcMar>
            <w:vAlign w:val="center"/>
          </w:tcPr>
          <w:p>
            <w:pPr>
              <w:rPr>
                <w:rFonts w:hint="default"/>
              </w:rPr>
            </w:pPr>
            <w:r>
              <w:rPr>
                <w:rFonts w:hint="default"/>
                <w:lang w:val="en-US" w:eastAsia="zh-CN"/>
              </w:rPr>
              <w:t>Level 1</w:t>
            </w:r>
          </w:p>
        </w:tc>
        <w:tc>
          <w:tcPr>
            <w:tcW w:w="9569" w:type="dxa"/>
            <w:shd w:val="clear"/>
            <w:tcMar>
              <w:top w:w="150" w:type="dxa"/>
              <w:left w:w="240" w:type="dxa"/>
              <w:bottom w:w="150" w:type="dxa"/>
              <w:right w:w="0" w:type="dxa"/>
            </w:tcMar>
            <w:vAlign w:val="center"/>
          </w:tcPr>
          <w:p>
            <w:pPr>
              <w:rPr>
                <w:rFonts w:hint="default"/>
              </w:rPr>
            </w:pPr>
            <w:r>
              <w:rPr>
                <w:rFonts w:hint="default"/>
                <w:lang w:val="en-US" w:eastAsia="zh-CN"/>
              </w:rPr>
              <w:t>Private engagement with company management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710" w:type="dxa"/>
            <w:shd w:val="clear"/>
            <w:tcMar>
              <w:top w:w="150" w:type="dxa"/>
              <w:left w:w="0" w:type="dxa"/>
              <w:bottom w:w="150" w:type="dxa"/>
              <w:right w:w="240" w:type="dxa"/>
            </w:tcMar>
            <w:vAlign w:val="center"/>
          </w:tcPr>
          <w:p>
            <w:pPr>
              <w:rPr>
                <w:rFonts w:hint="default"/>
              </w:rPr>
            </w:pPr>
            <w:r>
              <w:rPr>
                <w:rFonts w:hint="default"/>
                <w:lang w:val="en-US" w:eastAsia="zh-CN"/>
              </w:rPr>
              <w:t>Level 2</w:t>
            </w:r>
          </w:p>
        </w:tc>
        <w:tc>
          <w:tcPr>
            <w:tcW w:w="9569" w:type="dxa"/>
            <w:shd w:val="clear"/>
            <w:tcMar>
              <w:top w:w="150" w:type="dxa"/>
              <w:left w:w="240" w:type="dxa"/>
              <w:bottom w:w="150" w:type="dxa"/>
              <w:right w:w="0" w:type="dxa"/>
            </w:tcMar>
            <w:vAlign w:val="center"/>
          </w:tcPr>
          <w:p>
            <w:pPr>
              <w:rPr>
                <w:rFonts w:hint="default"/>
              </w:rPr>
            </w:pPr>
            <w:r>
              <w:rPr>
                <w:rFonts w:hint="default"/>
                <w:lang w:val="en-US" w:eastAsia="zh-CN"/>
              </w:rPr>
              <w:t>Public statement of concern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710" w:type="dxa"/>
            <w:shd w:val="clear"/>
            <w:tcMar>
              <w:top w:w="150" w:type="dxa"/>
              <w:left w:w="0" w:type="dxa"/>
              <w:bottom w:w="150" w:type="dxa"/>
              <w:right w:w="240" w:type="dxa"/>
            </w:tcMar>
            <w:vAlign w:val="center"/>
          </w:tcPr>
          <w:p>
            <w:pPr>
              <w:rPr>
                <w:rFonts w:hint="default"/>
              </w:rPr>
            </w:pPr>
            <w:r>
              <w:rPr>
                <w:rFonts w:hint="default"/>
                <w:lang w:val="en-US" w:eastAsia="zh-CN"/>
              </w:rPr>
              <w:t>Level 3</w:t>
            </w:r>
          </w:p>
        </w:tc>
        <w:tc>
          <w:tcPr>
            <w:tcW w:w="9569" w:type="dxa"/>
            <w:shd w:val="clear"/>
            <w:tcMar>
              <w:top w:w="150" w:type="dxa"/>
              <w:left w:w="240" w:type="dxa"/>
              <w:bottom w:w="150" w:type="dxa"/>
              <w:right w:w="0" w:type="dxa"/>
            </w:tcMar>
            <w:vAlign w:val="center"/>
          </w:tcPr>
          <w:p>
            <w:pPr>
              <w:rPr>
                <w:rFonts w:hint="default"/>
              </w:rPr>
            </w:pPr>
            <w:r>
              <w:rPr>
                <w:rFonts w:hint="default"/>
                <w:lang w:val="en-US" w:eastAsia="zh-CN"/>
              </w:rPr>
              <w:t>Vote against board or management proposals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710" w:type="dxa"/>
            <w:shd w:val="clear"/>
            <w:tcMar>
              <w:top w:w="150" w:type="dxa"/>
              <w:left w:w="0" w:type="dxa"/>
              <w:bottom w:w="150" w:type="dxa"/>
              <w:right w:w="240" w:type="dxa"/>
            </w:tcMar>
            <w:vAlign w:val="center"/>
          </w:tcPr>
          <w:p>
            <w:pPr>
              <w:rPr>
                <w:rFonts w:hint="default"/>
              </w:rPr>
            </w:pPr>
            <w:r>
              <w:rPr>
                <w:rFonts w:hint="default"/>
                <w:lang w:val="en-US" w:eastAsia="zh-CN"/>
              </w:rPr>
              <w:t>Level 4</w:t>
            </w:r>
          </w:p>
        </w:tc>
        <w:tc>
          <w:tcPr>
            <w:tcW w:w="9569" w:type="dxa"/>
            <w:shd w:val="clear"/>
            <w:tcMar>
              <w:top w:w="150" w:type="dxa"/>
              <w:left w:w="240" w:type="dxa"/>
              <w:bottom w:w="150" w:type="dxa"/>
              <w:right w:w="0" w:type="dxa"/>
            </w:tcMar>
            <w:vAlign w:val="center"/>
          </w:tcPr>
          <w:p>
            <w:pPr>
              <w:rPr>
                <w:rFonts w:hint="default"/>
              </w:rPr>
            </w:pPr>
            <w:r>
              <w:rPr>
                <w:rFonts w:hint="default"/>
                <w:lang w:val="en-US" w:eastAsia="zh-CN"/>
              </w:rPr>
              <w:t>Collaborate with other institutional investors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710" w:type="dxa"/>
            <w:shd w:val="clear"/>
            <w:tcMar>
              <w:top w:w="150" w:type="dxa"/>
              <w:left w:w="0" w:type="dxa"/>
              <w:bottom w:w="150" w:type="dxa"/>
              <w:right w:w="240" w:type="dxa"/>
            </w:tcMar>
            <w:vAlign w:val="center"/>
          </w:tcPr>
          <w:p>
            <w:pPr>
              <w:rPr>
                <w:rFonts w:hint="default"/>
              </w:rPr>
            </w:pPr>
            <w:r>
              <w:rPr>
                <w:rFonts w:hint="default"/>
                <w:lang w:val="en-US" w:eastAsia="zh-CN"/>
              </w:rPr>
              <w:t>Level 5</w:t>
            </w:r>
          </w:p>
        </w:tc>
        <w:tc>
          <w:tcPr>
            <w:tcW w:w="9569" w:type="dxa"/>
            <w:shd w:val="clear"/>
            <w:tcMar>
              <w:top w:w="150" w:type="dxa"/>
              <w:left w:w="240" w:type="dxa"/>
              <w:bottom w:w="150" w:type="dxa"/>
              <w:right w:w="0" w:type="dxa"/>
            </w:tcMar>
            <w:vAlign w:val="center"/>
          </w:tcPr>
          <w:p>
            <w:pPr>
              <w:rPr>
                <w:rFonts w:hint="default"/>
              </w:rPr>
            </w:pPr>
            <w:r>
              <w:rPr>
                <w:rFonts w:hint="default"/>
                <w:lang w:val="en-US" w:eastAsia="zh-CN"/>
              </w:rPr>
              <w:t>Public campaign for change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710" w:type="dxa"/>
            <w:shd w:val="clear"/>
            <w:tcMar>
              <w:top w:w="150" w:type="dxa"/>
              <w:left w:w="0" w:type="dxa"/>
              <w:bottom w:w="150" w:type="dxa"/>
              <w:right w:w="240" w:type="dxa"/>
            </w:tcMar>
            <w:vAlign w:val="center"/>
          </w:tcPr>
          <w:p>
            <w:pPr>
              <w:rPr>
                <w:rFonts w:hint="default"/>
              </w:rPr>
            </w:pPr>
            <w:r>
              <w:rPr>
                <w:rFonts w:hint="default"/>
                <w:lang w:val="en-US" w:eastAsia="zh-CN"/>
              </w:rPr>
              <w:t>Level 6</w:t>
            </w:r>
          </w:p>
        </w:tc>
        <w:tc>
          <w:tcPr>
            <w:tcW w:w="9569" w:type="dxa"/>
            <w:shd w:val="clear"/>
            <w:tcMar>
              <w:top w:w="150" w:type="dxa"/>
              <w:left w:w="240" w:type="dxa"/>
              <w:bottom w:w="150" w:type="dxa"/>
              <w:right w:w="0" w:type="dxa"/>
            </w:tcMar>
            <w:vAlign w:val="center"/>
          </w:tcPr>
          <w:p>
            <w:pPr>
              <w:rPr>
                <w:rFonts w:hint="default"/>
              </w:rPr>
            </w:pPr>
            <w:r>
              <w:rPr>
                <w:rFonts w:hint="default"/>
                <w:lang w:val="en-US" w:eastAsia="zh-CN"/>
              </w:rPr>
              <w:t>Consider removal of company from the Index</w:t>
            </w:r>
          </w:p>
        </w:tc>
      </w:tr>
    </w:tbl>
    <w:p>
      <w:pPr>
        <w:rPr>
          <w:rFonts w:hint="default"/>
        </w:rPr>
      </w:pPr>
      <w:r>
        <w:rPr>
          <w:rFonts w:hint="default"/>
        </w:rPr>
        <w:t>4.5.5 VCC Stewardship Committee</w:t>
      </w:r>
    </w:p>
    <w:p>
      <w:pPr>
        <w:rPr>
          <w:rFonts w:hint="default"/>
        </w:rPr>
      </w:pPr>
      <w:r>
        <w:rPr>
          <w:rFonts w:hint="default"/>
        </w:rPr>
        <w:t>The VCC Stewardship Committee is responsible for:</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095"/>
        <w:gridCol w:w="81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3095"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Responsibility</w:t>
            </w:r>
          </w:p>
        </w:tc>
        <w:tc>
          <w:tcPr>
            <w:tcW w:w="8184"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095" w:type="dxa"/>
            <w:shd w:val="clear"/>
            <w:tcMar>
              <w:top w:w="150" w:type="dxa"/>
              <w:left w:w="0" w:type="dxa"/>
              <w:bottom w:w="150" w:type="dxa"/>
              <w:right w:w="240" w:type="dxa"/>
            </w:tcMar>
            <w:vAlign w:val="center"/>
          </w:tcPr>
          <w:p>
            <w:pPr>
              <w:rPr>
                <w:rFonts w:hint="default"/>
              </w:rPr>
            </w:pPr>
            <w:r>
              <w:rPr>
                <w:rFonts w:hint="default"/>
                <w:lang w:val="en-US" w:eastAsia="zh-CN"/>
              </w:rPr>
              <w:t>Stewardship Principles</w:t>
            </w:r>
          </w:p>
        </w:tc>
        <w:tc>
          <w:tcPr>
            <w:tcW w:w="8184" w:type="dxa"/>
            <w:shd w:val="clear"/>
            <w:tcMar>
              <w:top w:w="150" w:type="dxa"/>
              <w:left w:w="240" w:type="dxa"/>
              <w:bottom w:w="150" w:type="dxa"/>
              <w:right w:w="0" w:type="dxa"/>
            </w:tcMar>
            <w:vAlign w:val="center"/>
          </w:tcPr>
          <w:p>
            <w:pPr>
              <w:rPr>
                <w:rFonts w:hint="default"/>
              </w:rPr>
            </w:pPr>
            <w:r>
              <w:rPr>
                <w:rFonts w:hint="default"/>
                <w:lang w:val="en-US" w:eastAsia="zh-CN"/>
              </w:rPr>
              <w:t>Developing and maintaining the Jowih Stewardship Principles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095" w:type="dxa"/>
            <w:shd w:val="clear"/>
            <w:tcMar>
              <w:top w:w="150" w:type="dxa"/>
              <w:left w:w="0" w:type="dxa"/>
              <w:bottom w:w="150" w:type="dxa"/>
              <w:right w:w="240" w:type="dxa"/>
            </w:tcMar>
            <w:vAlign w:val="center"/>
          </w:tcPr>
          <w:p>
            <w:pPr>
              <w:rPr>
                <w:rFonts w:hint="default"/>
              </w:rPr>
            </w:pPr>
            <w:r>
              <w:rPr>
                <w:rFonts w:hint="default"/>
                <w:lang w:val="en-US" w:eastAsia="zh-CN"/>
              </w:rPr>
              <w:t>Voting Decisions</w:t>
            </w:r>
          </w:p>
        </w:tc>
        <w:tc>
          <w:tcPr>
            <w:tcW w:w="8184" w:type="dxa"/>
            <w:shd w:val="clear"/>
            <w:tcMar>
              <w:top w:w="150" w:type="dxa"/>
              <w:left w:w="240" w:type="dxa"/>
              <w:bottom w:w="150" w:type="dxa"/>
              <w:right w:w="0" w:type="dxa"/>
            </w:tcMar>
            <w:vAlign w:val="center"/>
          </w:tcPr>
          <w:p>
            <w:pPr>
              <w:rPr>
                <w:rFonts w:hint="default"/>
              </w:rPr>
            </w:pPr>
            <w:r>
              <w:rPr>
                <w:rFonts w:hint="default"/>
                <w:lang w:val="en-US" w:eastAsia="zh-CN"/>
              </w:rPr>
              <w:t>Overseeing voting decisions on vaulted shares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095" w:type="dxa"/>
            <w:shd w:val="clear"/>
            <w:tcMar>
              <w:top w:w="150" w:type="dxa"/>
              <w:left w:w="0" w:type="dxa"/>
              <w:bottom w:w="150" w:type="dxa"/>
              <w:right w:w="240" w:type="dxa"/>
            </w:tcMar>
            <w:vAlign w:val="center"/>
          </w:tcPr>
          <w:p>
            <w:pPr>
              <w:rPr>
                <w:rFonts w:hint="default"/>
              </w:rPr>
            </w:pPr>
            <w:r>
              <w:rPr>
                <w:rFonts w:hint="default"/>
                <w:lang w:val="en-US" w:eastAsia="zh-CN"/>
              </w:rPr>
              <w:t>Engagement</w:t>
            </w:r>
          </w:p>
        </w:tc>
        <w:tc>
          <w:tcPr>
            <w:tcW w:w="8184" w:type="dxa"/>
            <w:shd w:val="clear"/>
            <w:tcMar>
              <w:top w:w="150" w:type="dxa"/>
              <w:left w:w="240" w:type="dxa"/>
              <w:bottom w:w="150" w:type="dxa"/>
              <w:right w:w="0" w:type="dxa"/>
            </w:tcMar>
            <w:vAlign w:val="center"/>
          </w:tcPr>
          <w:p>
            <w:pPr>
              <w:rPr>
                <w:rFonts w:hint="default"/>
              </w:rPr>
            </w:pPr>
            <w:r>
              <w:rPr>
                <w:rFonts w:hint="default"/>
                <w:lang w:val="en-US" w:eastAsia="zh-CN"/>
              </w:rPr>
              <w:t>Engaging with company management where necessary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095" w:type="dxa"/>
            <w:shd w:val="clear"/>
            <w:tcMar>
              <w:top w:w="150" w:type="dxa"/>
              <w:left w:w="0" w:type="dxa"/>
              <w:bottom w:w="150" w:type="dxa"/>
              <w:right w:w="240" w:type="dxa"/>
            </w:tcMar>
            <w:vAlign w:val="center"/>
          </w:tcPr>
          <w:p>
            <w:pPr>
              <w:rPr>
                <w:rFonts w:hint="default"/>
              </w:rPr>
            </w:pPr>
            <w:r>
              <w:rPr>
                <w:rFonts w:hint="default"/>
                <w:lang w:val="en-US" w:eastAsia="zh-CN"/>
              </w:rPr>
              <w:t>Conflicts</w:t>
            </w:r>
          </w:p>
        </w:tc>
        <w:tc>
          <w:tcPr>
            <w:tcW w:w="8184" w:type="dxa"/>
            <w:shd w:val="clear"/>
            <w:tcMar>
              <w:top w:w="150" w:type="dxa"/>
              <w:left w:w="240" w:type="dxa"/>
              <w:bottom w:w="150" w:type="dxa"/>
              <w:right w:w="0" w:type="dxa"/>
            </w:tcMar>
            <w:vAlign w:val="center"/>
          </w:tcPr>
          <w:p>
            <w:pPr>
              <w:rPr>
                <w:rFonts w:hint="default"/>
              </w:rPr>
            </w:pPr>
            <w:r>
              <w:rPr>
                <w:rFonts w:hint="default"/>
                <w:lang w:val="en-US" w:eastAsia="zh-CN"/>
              </w:rPr>
              <w:t>Managing conflicts of interest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095" w:type="dxa"/>
            <w:shd w:val="clear"/>
            <w:tcMar>
              <w:top w:w="150" w:type="dxa"/>
              <w:left w:w="0" w:type="dxa"/>
              <w:bottom w:w="150" w:type="dxa"/>
              <w:right w:w="240" w:type="dxa"/>
            </w:tcMar>
            <w:vAlign w:val="center"/>
          </w:tcPr>
          <w:p>
            <w:pPr>
              <w:rPr>
                <w:rFonts w:hint="default"/>
              </w:rPr>
            </w:pPr>
            <w:r>
              <w:rPr>
                <w:rFonts w:hint="default"/>
                <w:lang w:val="en-US" w:eastAsia="zh-CN"/>
              </w:rPr>
              <w:t>Reporting</w:t>
            </w:r>
          </w:p>
        </w:tc>
        <w:tc>
          <w:tcPr>
            <w:tcW w:w="8184" w:type="dxa"/>
            <w:shd w:val="clear"/>
            <w:tcMar>
              <w:top w:w="150" w:type="dxa"/>
              <w:left w:w="240" w:type="dxa"/>
              <w:bottom w:w="150" w:type="dxa"/>
              <w:right w:w="0" w:type="dxa"/>
            </w:tcMar>
            <w:vAlign w:val="center"/>
          </w:tcPr>
          <w:p>
            <w:pPr>
              <w:rPr>
                <w:rFonts w:hint="default"/>
              </w:rPr>
            </w:pPr>
            <w:r>
              <w:rPr>
                <w:rFonts w:hint="default"/>
                <w:lang w:val="en-US" w:eastAsia="zh-CN"/>
              </w:rPr>
              <w:t>Reporting to unit holders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095" w:type="dxa"/>
            <w:shd w:val="clear"/>
            <w:tcMar>
              <w:top w:w="150" w:type="dxa"/>
              <w:left w:w="0" w:type="dxa"/>
              <w:bottom w:w="150" w:type="dxa"/>
              <w:right w:w="240" w:type="dxa"/>
            </w:tcMar>
            <w:vAlign w:val="center"/>
          </w:tcPr>
          <w:p>
            <w:pPr>
              <w:rPr>
                <w:rFonts w:hint="default"/>
              </w:rPr>
            </w:pPr>
            <w:r>
              <w:rPr>
                <w:rFonts w:hint="default"/>
                <w:lang w:val="en-US" w:eastAsia="zh-CN"/>
              </w:rPr>
              <w:t>Compliance</w:t>
            </w:r>
          </w:p>
        </w:tc>
        <w:tc>
          <w:tcPr>
            <w:tcW w:w="8184" w:type="dxa"/>
            <w:shd w:val="clear"/>
            <w:tcMar>
              <w:top w:w="150" w:type="dxa"/>
              <w:left w:w="240" w:type="dxa"/>
              <w:bottom w:w="150" w:type="dxa"/>
              <w:right w:w="0" w:type="dxa"/>
            </w:tcMar>
            <w:vAlign w:val="center"/>
          </w:tcPr>
          <w:p>
            <w:pPr>
              <w:rPr>
                <w:rFonts w:hint="default"/>
              </w:rPr>
            </w:pPr>
            <w:r>
              <w:rPr>
                <w:rFonts w:hint="default"/>
                <w:lang w:val="en-US" w:eastAsia="zh-CN"/>
              </w:rPr>
              <w:t>Ensuring compliance with applicable regulations</w:t>
            </w:r>
          </w:p>
        </w:tc>
      </w:tr>
    </w:tbl>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311"/>
        <w:gridCol w:w="89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231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896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311" w:type="dxa"/>
            <w:shd w:val="clear"/>
            <w:tcMar>
              <w:top w:w="150" w:type="dxa"/>
              <w:left w:w="0" w:type="dxa"/>
              <w:bottom w:w="150" w:type="dxa"/>
              <w:right w:w="240" w:type="dxa"/>
            </w:tcMar>
            <w:vAlign w:val="center"/>
          </w:tcPr>
          <w:p>
            <w:pPr>
              <w:rPr>
                <w:rFonts w:hint="default"/>
              </w:rPr>
            </w:pPr>
            <w:r>
              <w:rPr>
                <w:rFonts w:hint="default"/>
                <w:lang w:val="en-US" w:eastAsia="zh-CN"/>
              </w:rPr>
              <w:t>Composition</w:t>
            </w:r>
          </w:p>
        </w:tc>
        <w:tc>
          <w:tcPr>
            <w:tcW w:w="8968" w:type="dxa"/>
            <w:shd w:val="clear"/>
            <w:tcMar>
              <w:top w:w="150" w:type="dxa"/>
              <w:left w:w="240" w:type="dxa"/>
              <w:bottom w:w="150" w:type="dxa"/>
              <w:right w:w="0" w:type="dxa"/>
            </w:tcMar>
            <w:vAlign w:val="center"/>
          </w:tcPr>
          <w:p>
            <w:pPr>
              <w:rPr>
                <w:rFonts w:hint="default"/>
              </w:rPr>
            </w:pPr>
            <w:r>
              <w:rPr>
                <w:rFonts w:hint="default"/>
                <w:lang w:val="en-US" w:eastAsia="zh-CN"/>
              </w:rPr>
              <w:t>Independent directors, Fund executives, external experts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311" w:type="dxa"/>
            <w:shd w:val="clear"/>
            <w:tcMar>
              <w:top w:w="150" w:type="dxa"/>
              <w:left w:w="0" w:type="dxa"/>
              <w:bottom w:w="150" w:type="dxa"/>
              <w:right w:w="240" w:type="dxa"/>
            </w:tcMar>
            <w:vAlign w:val="center"/>
          </w:tcPr>
          <w:p>
            <w:pPr>
              <w:rPr>
                <w:rFonts w:hint="default"/>
              </w:rPr>
            </w:pPr>
            <w:r>
              <w:rPr>
                <w:rFonts w:hint="default"/>
                <w:lang w:val="en-US" w:eastAsia="zh-CN"/>
              </w:rPr>
              <w:t>Appointment</w:t>
            </w:r>
          </w:p>
        </w:tc>
        <w:tc>
          <w:tcPr>
            <w:tcW w:w="8968" w:type="dxa"/>
            <w:shd w:val="clear"/>
            <w:tcMar>
              <w:top w:w="150" w:type="dxa"/>
              <w:left w:w="240" w:type="dxa"/>
              <w:bottom w:w="150" w:type="dxa"/>
              <w:right w:w="0" w:type="dxa"/>
            </w:tcMar>
            <w:vAlign w:val="center"/>
          </w:tcPr>
          <w:p>
            <w:pPr>
              <w:rPr>
                <w:rFonts w:hint="default"/>
              </w:rPr>
            </w:pPr>
            <w:r>
              <w:rPr>
                <w:rFonts w:hint="default"/>
                <w:lang w:val="en-US" w:eastAsia="zh-CN"/>
              </w:rPr>
              <w:t>Appointed by the VCC Board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311" w:type="dxa"/>
            <w:shd w:val="clear"/>
            <w:tcMar>
              <w:top w:w="150" w:type="dxa"/>
              <w:left w:w="0" w:type="dxa"/>
              <w:bottom w:w="150" w:type="dxa"/>
              <w:right w:w="240" w:type="dxa"/>
            </w:tcMar>
            <w:vAlign w:val="center"/>
          </w:tcPr>
          <w:p>
            <w:pPr>
              <w:rPr>
                <w:rFonts w:hint="default"/>
              </w:rPr>
            </w:pPr>
            <w:r>
              <w:rPr>
                <w:rFonts w:hint="default"/>
                <w:lang w:val="en-US" w:eastAsia="zh-CN"/>
              </w:rPr>
              <w:t>Authority</w:t>
            </w:r>
          </w:p>
        </w:tc>
        <w:tc>
          <w:tcPr>
            <w:tcW w:w="8968" w:type="dxa"/>
            <w:shd w:val="clear"/>
            <w:tcMar>
              <w:top w:w="150" w:type="dxa"/>
              <w:left w:w="240" w:type="dxa"/>
              <w:bottom w:w="150" w:type="dxa"/>
              <w:right w:w="0" w:type="dxa"/>
            </w:tcMar>
            <w:vAlign w:val="center"/>
          </w:tcPr>
          <w:p>
            <w:pPr>
              <w:rPr>
                <w:rFonts w:hint="default"/>
              </w:rPr>
            </w:pPr>
            <w:r>
              <w:rPr>
                <w:rFonts w:hint="default"/>
                <w:lang w:val="en-US" w:eastAsia="zh-CN"/>
              </w:rPr>
              <w:t>Voting decisions on vaulted shares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311" w:type="dxa"/>
            <w:shd w:val="clear"/>
            <w:tcMar>
              <w:top w:w="150" w:type="dxa"/>
              <w:left w:w="0" w:type="dxa"/>
              <w:bottom w:w="150" w:type="dxa"/>
              <w:right w:w="240" w:type="dxa"/>
            </w:tcMar>
            <w:vAlign w:val="center"/>
          </w:tcPr>
          <w:p>
            <w:pPr>
              <w:rPr>
                <w:rFonts w:hint="default"/>
              </w:rPr>
            </w:pPr>
            <w:r>
              <w:rPr>
                <w:rFonts w:hint="default"/>
                <w:lang w:val="en-US" w:eastAsia="zh-CN"/>
              </w:rPr>
              <w:t>Reporting</w:t>
            </w:r>
          </w:p>
        </w:tc>
        <w:tc>
          <w:tcPr>
            <w:tcW w:w="8968" w:type="dxa"/>
            <w:shd w:val="clear"/>
            <w:tcMar>
              <w:top w:w="150" w:type="dxa"/>
              <w:left w:w="240" w:type="dxa"/>
              <w:bottom w:w="150" w:type="dxa"/>
              <w:right w:w="0" w:type="dxa"/>
            </w:tcMar>
            <w:vAlign w:val="center"/>
          </w:tcPr>
          <w:p>
            <w:pPr>
              <w:rPr>
                <w:rFonts w:hint="default"/>
              </w:rPr>
            </w:pPr>
            <w:r>
              <w:rPr>
                <w:rFonts w:hint="default"/>
                <w:lang w:val="en-US" w:eastAsia="zh-CN"/>
              </w:rPr>
              <w:t>Annual Jowih Stewardship Report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311" w:type="dxa"/>
            <w:shd w:val="clear"/>
            <w:tcMar>
              <w:top w:w="150" w:type="dxa"/>
              <w:left w:w="0" w:type="dxa"/>
              <w:bottom w:w="150" w:type="dxa"/>
              <w:right w:w="240" w:type="dxa"/>
            </w:tcMar>
            <w:vAlign w:val="center"/>
          </w:tcPr>
          <w:p>
            <w:pPr>
              <w:rPr>
                <w:rFonts w:hint="default"/>
              </w:rPr>
            </w:pPr>
            <w:r>
              <w:rPr>
                <w:rFonts w:hint="default"/>
                <w:lang w:val="en-US" w:eastAsia="zh-CN"/>
              </w:rPr>
              <w:t>Transparency</w:t>
            </w:r>
          </w:p>
        </w:tc>
        <w:tc>
          <w:tcPr>
            <w:tcW w:w="8968" w:type="dxa"/>
            <w:shd w:val="clear"/>
            <w:tcMar>
              <w:top w:w="150" w:type="dxa"/>
              <w:left w:w="240" w:type="dxa"/>
              <w:bottom w:w="150" w:type="dxa"/>
              <w:right w:w="0" w:type="dxa"/>
            </w:tcMar>
            <w:vAlign w:val="center"/>
          </w:tcPr>
          <w:p>
            <w:pPr>
              <w:rPr>
                <w:rFonts w:hint="default"/>
              </w:rPr>
            </w:pPr>
            <w:r>
              <w:rPr>
                <w:rFonts w:hint="default"/>
                <w:lang w:val="en-US" w:eastAsia="zh-CN"/>
              </w:rPr>
              <w:t>Public voting dashboard</w:t>
            </w:r>
          </w:p>
        </w:tc>
      </w:tr>
    </w:tbl>
    <w:p>
      <w:pPr>
        <w:rPr>
          <w:rFonts w:hint="default"/>
        </w:rPr>
      </w:pPr>
      <w:r>
        <w:rPr>
          <w:rFonts w:hint="default"/>
        </w:rPr>
        <w:t>4.5.6 Jowih Stewardship Team</w:t>
      </w:r>
    </w:p>
    <w:p>
      <w:pPr>
        <w:rPr>
          <w:rFonts w:hint="default"/>
        </w:rPr>
      </w:pPr>
      <w:r>
        <w:rPr>
          <w:rFonts w:hint="default"/>
        </w:rPr>
        <w:t>The Jowih Stewardship Team is responsible for the day-to-day exercise of voting rights and engagement with companies.</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569"/>
        <w:gridCol w:w="77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3569"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Role</w:t>
            </w:r>
          </w:p>
        </w:tc>
        <w:tc>
          <w:tcPr>
            <w:tcW w:w="7710"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Responsibility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569" w:type="dxa"/>
            <w:shd w:val="clear"/>
            <w:tcMar>
              <w:top w:w="150" w:type="dxa"/>
              <w:left w:w="0" w:type="dxa"/>
              <w:bottom w:w="150" w:type="dxa"/>
              <w:right w:w="240" w:type="dxa"/>
            </w:tcMar>
            <w:vAlign w:val="center"/>
          </w:tcPr>
          <w:p>
            <w:pPr>
              <w:rPr>
                <w:rFonts w:hint="default"/>
              </w:rPr>
            </w:pPr>
            <w:r>
              <w:rPr>
                <w:rFonts w:hint="default"/>
                <w:lang w:val="en-US" w:eastAsia="zh-CN"/>
              </w:rPr>
              <w:t>Head of Stewardship</w:t>
            </w:r>
          </w:p>
        </w:tc>
        <w:tc>
          <w:tcPr>
            <w:tcW w:w="7710" w:type="dxa"/>
            <w:shd w:val="clear"/>
            <w:tcMar>
              <w:top w:w="150" w:type="dxa"/>
              <w:left w:w="240" w:type="dxa"/>
              <w:bottom w:w="150" w:type="dxa"/>
              <w:right w:w="0" w:type="dxa"/>
            </w:tcMar>
            <w:vAlign w:val="center"/>
          </w:tcPr>
          <w:p>
            <w:pPr>
              <w:rPr>
                <w:rFonts w:hint="default"/>
              </w:rPr>
            </w:pPr>
            <w:r>
              <w:rPr>
                <w:rFonts w:hint="default"/>
                <w:lang w:val="en-US" w:eastAsia="zh-CN"/>
              </w:rPr>
              <w:t>Leads the stewardship team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569" w:type="dxa"/>
            <w:shd w:val="clear"/>
            <w:tcMar>
              <w:top w:w="150" w:type="dxa"/>
              <w:left w:w="0" w:type="dxa"/>
              <w:bottom w:w="150" w:type="dxa"/>
              <w:right w:w="240" w:type="dxa"/>
            </w:tcMar>
            <w:vAlign w:val="center"/>
          </w:tcPr>
          <w:p>
            <w:pPr>
              <w:rPr>
                <w:rFonts w:hint="default"/>
              </w:rPr>
            </w:pPr>
            <w:r>
              <w:rPr>
                <w:rFonts w:hint="default"/>
                <w:lang w:val="en-US" w:eastAsia="zh-CN"/>
              </w:rPr>
              <w:t>Stewardship Analysts</w:t>
            </w:r>
          </w:p>
        </w:tc>
        <w:tc>
          <w:tcPr>
            <w:tcW w:w="7710" w:type="dxa"/>
            <w:shd w:val="clear"/>
            <w:tcMar>
              <w:top w:w="150" w:type="dxa"/>
              <w:left w:w="240" w:type="dxa"/>
              <w:bottom w:w="150" w:type="dxa"/>
              <w:right w:w="0" w:type="dxa"/>
            </w:tcMar>
            <w:vAlign w:val="center"/>
          </w:tcPr>
          <w:p>
            <w:pPr>
              <w:rPr>
                <w:rFonts w:hint="default"/>
              </w:rPr>
            </w:pPr>
            <w:r>
              <w:rPr>
                <w:rFonts w:hint="default"/>
                <w:lang w:val="en-US" w:eastAsia="zh-CN"/>
              </w:rPr>
              <w:t>Monitor companies and prepare voting recommendations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569" w:type="dxa"/>
            <w:shd w:val="clear"/>
            <w:tcMar>
              <w:top w:w="150" w:type="dxa"/>
              <w:left w:w="0" w:type="dxa"/>
              <w:bottom w:w="150" w:type="dxa"/>
              <w:right w:w="240" w:type="dxa"/>
            </w:tcMar>
            <w:vAlign w:val="center"/>
          </w:tcPr>
          <w:p>
            <w:pPr>
              <w:rPr>
                <w:rFonts w:hint="default"/>
              </w:rPr>
            </w:pPr>
            <w:r>
              <w:rPr>
                <w:rFonts w:hint="default"/>
                <w:lang w:val="en-US" w:eastAsia="zh-CN"/>
              </w:rPr>
              <w:t>Engagement Specialists</w:t>
            </w:r>
          </w:p>
        </w:tc>
        <w:tc>
          <w:tcPr>
            <w:tcW w:w="7710" w:type="dxa"/>
            <w:shd w:val="clear"/>
            <w:tcMar>
              <w:top w:w="150" w:type="dxa"/>
              <w:left w:w="240" w:type="dxa"/>
              <w:bottom w:w="150" w:type="dxa"/>
              <w:right w:w="0" w:type="dxa"/>
            </w:tcMar>
            <w:vAlign w:val="center"/>
          </w:tcPr>
          <w:p>
            <w:pPr>
              <w:rPr>
                <w:rFonts w:hint="default"/>
              </w:rPr>
            </w:pPr>
            <w:r>
              <w:rPr>
                <w:rFonts w:hint="default"/>
                <w:lang w:val="en-US" w:eastAsia="zh-CN"/>
              </w:rPr>
              <w:t>Engage with company management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569" w:type="dxa"/>
            <w:shd w:val="clear"/>
            <w:tcMar>
              <w:top w:w="150" w:type="dxa"/>
              <w:left w:w="0" w:type="dxa"/>
              <w:bottom w:w="150" w:type="dxa"/>
              <w:right w:w="240" w:type="dxa"/>
            </w:tcMar>
            <w:vAlign w:val="center"/>
          </w:tcPr>
          <w:p>
            <w:pPr>
              <w:rPr>
                <w:rFonts w:hint="default"/>
              </w:rPr>
            </w:pPr>
            <w:r>
              <w:rPr>
                <w:rFonts w:hint="default"/>
                <w:lang w:val="en-US" w:eastAsia="zh-CN"/>
              </w:rPr>
              <w:t>Data &amp; Reporting Analysts</w:t>
            </w:r>
          </w:p>
        </w:tc>
        <w:tc>
          <w:tcPr>
            <w:tcW w:w="7710" w:type="dxa"/>
            <w:shd w:val="clear"/>
            <w:tcMar>
              <w:top w:w="150" w:type="dxa"/>
              <w:left w:w="240" w:type="dxa"/>
              <w:bottom w:w="150" w:type="dxa"/>
              <w:right w:w="0" w:type="dxa"/>
            </w:tcMar>
            <w:vAlign w:val="center"/>
          </w:tcPr>
          <w:p>
            <w:pPr>
              <w:rPr>
                <w:rFonts w:hint="default"/>
              </w:rPr>
            </w:pPr>
            <w:r>
              <w:rPr>
                <w:rFonts w:hint="default"/>
                <w:lang w:val="en-US" w:eastAsia="zh-CN"/>
              </w:rPr>
              <w:t>Maintain voting records and reports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569" w:type="dxa"/>
            <w:shd w:val="clear"/>
            <w:tcMar>
              <w:top w:w="150" w:type="dxa"/>
              <w:left w:w="0" w:type="dxa"/>
              <w:bottom w:w="150" w:type="dxa"/>
              <w:right w:w="240" w:type="dxa"/>
            </w:tcMar>
            <w:vAlign w:val="center"/>
          </w:tcPr>
          <w:p>
            <w:pPr>
              <w:rPr>
                <w:rFonts w:hint="default"/>
              </w:rPr>
            </w:pPr>
            <w:r>
              <w:rPr>
                <w:rFonts w:hint="default"/>
                <w:lang w:val="en-US" w:eastAsia="zh-CN"/>
              </w:rPr>
              <w:t>Compliance Officers</w:t>
            </w:r>
          </w:p>
        </w:tc>
        <w:tc>
          <w:tcPr>
            <w:tcW w:w="7710" w:type="dxa"/>
            <w:shd w:val="clear"/>
            <w:tcMar>
              <w:top w:w="150" w:type="dxa"/>
              <w:left w:w="240" w:type="dxa"/>
              <w:bottom w:w="150" w:type="dxa"/>
              <w:right w:w="0" w:type="dxa"/>
            </w:tcMar>
            <w:vAlign w:val="center"/>
          </w:tcPr>
          <w:p>
            <w:pPr>
              <w:rPr>
                <w:rFonts w:hint="default"/>
              </w:rPr>
            </w:pPr>
            <w:r>
              <w:rPr>
                <w:rFonts w:hint="default"/>
                <w:lang w:val="en-US" w:eastAsia="zh-CN"/>
              </w:rPr>
              <w:t>Ensure regulatory compliance</w:t>
            </w:r>
          </w:p>
        </w:tc>
      </w:tr>
    </w:tbl>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271"/>
        <w:gridCol w:w="6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527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Item</w:t>
            </w:r>
          </w:p>
        </w:tc>
        <w:tc>
          <w:tcPr>
            <w:tcW w:w="600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Estimated Annual Cost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271" w:type="dxa"/>
            <w:shd w:val="clear"/>
            <w:tcMar>
              <w:top w:w="150" w:type="dxa"/>
              <w:left w:w="0" w:type="dxa"/>
              <w:bottom w:w="150" w:type="dxa"/>
              <w:right w:w="240" w:type="dxa"/>
            </w:tcMar>
            <w:vAlign w:val="center"/>
          </w:tcPr>
          <w:p>
            <w:pPr>
              <w:rPr>
                <w:rFonts w:hint="default"/>
              </w:rPr>
            </w:pPr>
            <w:r>
              <w:rPr>
                <w:rFonts w:hint="default"/>
                <w:lang w:val="en-US" w:eastAsia="zh-CN"/>
              </w:rPr>
              <w:t>Stewardship Team</w:t>
            </w:r>
          </w:p>
        </w:tc>
        <w:tc>
          <w:tcPr>
            <w:tcW w:w="6008" w:type="dxa"/>
            <w:shd w:val="clear"/>
            <w:tcMar>
              <w:top w:w="150" w:type="dxa"/>
              <w:left w:w="240" w:type="dxa"/>
              <w:bottom w:w="150" w:type="dxa"/>
              <w:right w:w="0" w:type="dxa"/>
            </w:tcMar>
            <w:vAlign w:val="center"/>
          </w:tcPr>
          <w:p>
            <w:pPr>
              <w:rPr>
                <w:rFonts w:hint="default"/>
              </w:rPr>
            </w:pPr>
            <w:r>
              <w:rPr>
                <w:rFonts w:hint="default"/>
                <w:lang w:val="en-US" w:eastAsia="zh-CN"/>
              </w:rPr>
              <w:t>US$2–5M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271" w:type="dxa"/>
            <w:shd w:val="clear"/>
            <w:tcMar>
              <w:top w:w="150" w:type="dxa"/>
              <w:left w:w="0" w:type="dxa"/>
              <w:bottom w:w="150" w:type="dxa"/>
              <w:right w:w="240" w:type="dxa"/>
            </w:tcMar>
            <w:vAlign w:val="center"/>
          </w:tcPr>
          <w:p>
            <w:pPr>
              <w:rPr>
                <w:rFonts w:hint="default"/>
              </w:rPr>
            </w:pPr>
            <w:r>
              <w:rPr>
                <w:rFonts w:hint="default"/>
                <w:lang w:val="en-US" w:eastAsia="zh-CN"/>
              </w:rPr>
              <w:t>Proxy Voting Services</w:t>
            </w:r>
          </w:p>
        </w:tc>
        <w:tc>
          <w:tcPr>
            <w:tcW w:w="6008" w:type="dxa"/>
            <w:shd w:val="clear"/>
            <w:tcMar>
              <w:top w:w="150" w:type="dxa"/>
              <w:left w:w="240" w:type="dxa"/>
              <w:bottom w:w="150" w:type="dxa"/>
              <w:right w:w="0" w:type="dxa"/>
            </w:tcMar>
            <w:vAlign w:val="center"/>
          </w:tcPr>
          <w:p>
            <w:pPr>
              <w:rPr>
                <w:rFonts w:hint="default"/>
              </w:rPr>
            </w:pPr>
            <w:r>
              <w:rPr>
                <w:rFonts w:hint="default"/>
                <w:lang w:val="en-US" w:eastAsia="zh-CN"/>
              </w:rPr>
              <w:t>US$500K–1M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271" w:type="dxa"/>
            <w:shd w:val="clear"/>
            <w:tcMar>
              <w:top w:w="150" w:type="dxa"/>
              <w:left w:w="0" w:type="dxa"/>
              <w:bottom w:w="150" w:type="dxa"/>
              <w:right w:w="240" w:type="dxa"/>
            </w:tcMar>
            <w:vAlign w:val="center"/>
          </w:tcPr>
          <w:p>
            <w:pPr>
              <w:rPr>
                <w:rFonts w:hint="default"/>
              </w:rPr>
            </w:pPr>
            <w:r>
              <w:rPr>
                <w:rFonts w:hint="default"/>
                <w:lang w:val="en-US" w:eastAsia="zh-CN"/>
              </w:rPr>
              <w:t>Data &amp; Reporting</w:t>
            </w:r>
          </w:p>
        </w:tc>
        <w:tc>
          <w:tcPr>
            <w:tcW w:w="6008" w:type="dxa"/>
            <w:shd w:val="clear"/>
            <w:tcMar>
              <w:top w:w="150" w:type="dxa"/>
              <w:left w:w="240" w:type="dxa"/>
              <w:bottom w:w="150" w:type="dxa"/>
              <w:right w:w="0" w:type="dxa"/>
            </w:tcMar>
            <w:vAlign w:val="center"/>
          </w:tcPr>
          <w:p>
            <w:pPr>
              <w:rPr>
                <w:rFonts w:hint="default"/>
              </w:rPr>
            </w:pPr>
            <w:r>
              <w:rPr>
                <w:rFonts w:hint="default"/>
                <w:lang w:val="en-US" w:eastAsia="zh-CN"/>
              </w:rPr>
              <w:t>US$500K–1M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271" w:type="dxa"/>
            <w:shd w:val="clear"/>
            <w:tcMar>
              <w:top w:w="150" w:type="dxa"/>
              <w:left w:w="0" w:type="dxa"/>
              <w:bottom w:w="150" w:type="dxa"/>
              <w:right w:w="240" w:type="dxa"/>
            </w:tcMar>
            <w:vAlign w:val="center"/>
          </w:tcPr>
          <w:p>
            <w:pPr>
              <w:rPr>
                <w:rFonts w:hint="default"/>
              </w:rPr>
            </w:pPr>
            <w:r>
              <w:rPr>
                <w:rFonts w:hint="default"/>
                <w:lang w:val="en-US" w:eastAsia="zh-CN"/>
              </w:rPr>
              <w:t>Compliance</w:t>
            </w:r>
          </w:p>
        </w:tc>
        <w:tc>
          <w:tcPr>
            <w:tcW w:w="6008" w:type="dxa"/>
            <w:shd w:val="clear"/>
            <w:tcMar>
              <w:top w:w="150" w:type="dxa"/>
              <w:left w:w="240" w:type="dxa"/>
              <w:bottom w:w="150" w:type="dxa"/>
              <w:right w:w="0" w:type="dxa"/>
            </w:tcMar>
            <w:vAlign w:val="center"/>
          </w:tcPr>
          <w:p>
            <w:pPr>
              <w:rPr>
                <w:rFonts w:hint="default"/>
              </w:rPr>
            </w:pPr>
            <w:r>
              <w:rPr>
                <w:rFonts w:hint="default"/>
                <w:lang w:val="en-US" w:eastAsia="zh-CN"/>
              </w:rPr>
              <w:t>US$500K–1M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271" w:type="dxa"/>
            <w:shd w:val="clear"/>
            <w:tcMar>
              <w:top w:w="150" w:type="dxa"/>
              <w:left w:w="0" w:type="dxa"/>
              <w:bottom w:w="150" w:type="dxa"/>
              <w:right w:w="240" w:type="dxa"/>
            </w:tcMar>
            <w:vAlign w:val="center"/>
          </w:tcPr>
          <w:p>
            <w:pPr>
              <w:rPr>
                <w:rFonts w:hint="default"/>
              </w:rPr>
            </w:pPr>
            <w:r>
              <w:rPr>
                <w:rFonts w:hint="default"/>
                <w:lang w:val="en-US" w:eastAsia="zh-CN"/>
              </w:rPr>
              <w:t>Total</w:t>
            </w:r>
          </w:p>
        </w:tc>
        <w:tc>
          <w:tcPr>
            <w:tcW w:w="6008" w:type="dxa"/>
            <w:shd w:val="clear"/>
            <w:tcMar>
              <w:top w:w="150" w:type="dxa"/>
              <w:left w:w="240" w:type="dxa"/>
              <w:bottom w:w="150" w:type="dxa"/>
              <w:right w:w="0" w:type="dxa"/>
            </w:tcMar>
            <w:vAlign w:val="center"/>
          </w:tcPr>
          <w:p>
            <w:pPr>
              <w:rPr>
                <w:rFonts w:hint="default"/>
              </w:rPr>
            </w:pPr>
            <w:r>
              <w:rPr>
                <w:rFonts w:hint="default"/>
                <w:lang w:val="en-US" w:eastAsia="zh-CN"/>
              </w:rPr>
              <w:t>US$3.5–8M</w:t>
            </w:r>
          </w:p>
        </w:tc>
      </w:tr>
    </w:tbl>
    <w:p>
      <w:pPr>
        <w:rPr>
          <w:rFonts w:hint="default"/>
        </w:rPr>
      </w:pPr>
      <w:r>
        <w:rPr>
          <w:rFonts w:hint="default"/>
        </w:rPr>
        <w:t>The cost is negligible compared to the Fund's NAV. It is necessary for fiduciary duty.</w:t>
      </w:r>
    </w:p>
    <w:p>
      <w:pPr>
        <w:rPr>
          <w:rFonts w:hint="default"/>
        </w:rPr>
      </w:pPr>
      <w:r>
        <w:rPr>
          <w:rFonts w:hint="default"/>
        </w:rPr>
        <w:t>4.5.7 Conflict-of-Interest Policy</w:t>
      </w:r>
    </w:p>
    <w:p>
      <w:pPr>
        <w:rPr>
          <w:rFonts w:hint="default"/>
        </w:rPr>
      </w:pPr>
      <w:r>
        <w:rPr>
          <w:rFonts w:hint="default"/>
        </w:rPr>
        <w:t>The Fund shall maintain a Conflict-of-Interest Policy to manage conflicts between:</w:t>
      </w:r>
    </w:p>
    <w:p/>
    <w:p>
      <w:r>
        <w:rPr>
          <w:rFonts w:hint="default"/>
        </w:rPr>
        <w:t>The Fund's interests and the interests of vaulted companies</w:t>
      </w:r>
    </w:p>
    <w:p/>
    <w:p/>
    <w:p>
      <w:r>
        <w:rPr>
          <w:rFonts w:hint="default"/>
        </w:rPr>
        <w:t>The Fund's interests and the interests of unit holders</w:t>
      </w:r>
    </w:p>
    <w:p/>
    <w:p/>
    <w:p>
      <w:r>
        <w:rPr>
          <w:rFonts w:hint="default"/>
        </w:rPr>
        <w:t>The Fund's interests and the interests of the Foundation</w:t>
      </w:r>
    </w:p>
    <w:p/>
    <w:p/>
    <w:p>
      <w:r>
        <w:rPr>
          <w:rFonts w:hint="default"/>
        </w:rPr>
        <w:t>The Fund's interests and the interests of partners</w:t>
      </w:r>
    </w:p>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311"/>
        <w:gridCol w:w="79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331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Conflict</w:t>
            </w:r>
          </w:p>
        </w:tc>
        <w:tc>
          <w:tcPr>
            <w:tcW w:w="796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Management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311" w:type="dxa"/>
            <w:shd w:val="clear"/>
            <w:tcMar>
              <w:top w:w="150" w:type="dxa"/>
              <w:left w:w="0" w:type="dxa"/>
              <w:bottom w:w="150" w:type="dxa"/>
              <w:right w:w="240" w:type="dxa"/>
            </w:tcMar>
            <w:vAlign w:val="center"/>
          </w:tcPr>
          <w:p>
            <w:pPr>
              <w:rPr>
                <w:rFonts w:hint="default"/>
              </w:rPr>
            </w:pPr>
            <w:r>
              <w:rPr>
                <w:rFonts w:hint="default"/>
                <w:lang w:val="en-US" w:eastAsia="zh-CN"/>
              </w:rPr>
              <w:t>Fund vs. Company</w:t>
            </w:r>
          </w:p>
        </w:tc>
        <w:tc>
          <w:tcPr>
            <w:tcW w:w="7968" w:type="dxa"/>
            <w:shd w:val="clear"/>
            <w:tcMar>
              <w:top w:w="150" w:type="dxa"/>
              <w:left w:w="240" w:type="dxa"/>
              <w:bottom w:w="150" w:type="dxa"/>
              <w:right w:w="0" w:type="dxa"/>
            </w:tcMar>
            <w:vAlign w:val="center"/>
          </w:tcPr>
          <w:p>
            <w:pPr>
              <w:rPr>
                <w:rFonts w:hint="default"/>
              </w:rPr>
            </w:pPr>
            <w:r>
              <w:rPr>
                <w:rFonts w:hint="default"/>
                <w:lang w:val="en-US" w:eastAsia="zh-CN"/>
              </w:rPr>
              <w:t>Independent review by VCC Stewardship Committee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311" w:type="dxa"/>
            <w:shd w:val="clear"/>
            <w:tcMar>
              <w:top w:w="150" w:type="dxa"/>
              <w:left w:w="0" w:type="dxa"/>
              <w:bottom w:w="150" w:type="dxa"/>
              <w:right w:w="240" w:type="dxa"/>
            </w:tcMar>
            <w:vAlign w:val="center"/>
          </w:tcPr>
          <w:p>
            <w:pPr>
              <w:rPr>
                <w:rFonts w:hint="default"/>
              </w:rPr>
            </w:pPr>
            <w:r>
              <w:rPr>
                <w:rFonts w:hint="default"/>
                <w:lang w:val="en-US" w:eastAsia="zh-CN"/>
              </w:rPr>
              <w:t>Fund vs. Unit Holders</w:t>
            </w:r>
          </w:p>
        </w:tc>
        <w:tc>
          <w:tcPr>
            <w:tcW w:w="7968" w:type="dxa"/>
            <w:shd w:val="clear"/>
            <w:tcMar>
              <w:top w:w="150" w:type="dxa"/>
              <w:left w:w="240" w:type="dxa"/>
              <w:bottom w:w="150" w:type="dxa"/>
              <w:right w:w="0" w:type="dxa"/>
            </w:tcMar>
            <w:vAlign w:val="center"/>
          </w:tcPr>
          <w:p>
            <w:pPr>
              <w:rPr>
                <w:rFonts w:hint="default"/>
              </w:rPr>
            </w:pPr>
            <w:r>
              <w:rPr>
                <w:rFonts w:hint="default"/>
                <w:lang w:val="en-US" w:eastAsia="zh-CN"/>
              </w:rPr>
              <w:t>Disclosure and independent review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311" w:type="dxa"/>
            <w:shd w:val="clear"/>
            <w:tcMar>
              <w:top w:w="150" w:type="dxa"/>
              <w:left w:w="0" w:type="dxa"/>
              <w:bottom w:w="150" w:type="dxa"/>
              <w:right w:w="240" w:type="dxa"/>
            </w:tcMar>
            <w:vAlign w:val="center"/>
          </w:tcPr>
          <w:p>
            <w:pPr>
              <w:rPr>
                <w:rFonts w:hint="default"/>
              </w:rPr>
            </w:pPr>
            <w:r>
              <w:rPr>
                <w:rFonts w:hint="default"/>
                <w:lang w:val="en-US" w:eastAsia="zh-CN"/>
              </w:rPr>
              <w:t>Fund vs. Foundation</w:t>
            </w:r>
          </w:p>
        </w:tc>
        <w:tc>
          <w:tcPr>
            <w:tcW w:w="7968" w:type="dxa"/>
            <w:shd w:val="clear"/>
            <w:tcMar>
              <w:top w:w="150" w:type="dxa"/>
              <w:left w:w="240" w:type="dxa"/>
              <w:bottom w:w="150" w:type="dxa"/>
              <w:right w:w="0" w:type="dxa"/>
            </w:tcMar>
            <w:vAlign w:val="center"/>
          </w:tcPr>
          <w:p>
            <w:pPr>
              <w:rPr>
                <w:rFonts w:hint="default"/>
              </w:rPr>
            </w:pPr>
            <w:r>
              <w:rPr>
                <w:rFonts w:hint="default"/>
                <w:lang w:val="en-US" w:eastAsia="zh-CN"/>
              </w:rPr>
              <w:t>Foundation outside investable plane; no conflict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311" w:type="dxa"/>
            <w:shd w:val="clear"/>
            <w:tcMar>
              <w:top w:w="150" w:type="dxa"/>
              <w:left w:w="0" w:type="dxa"/>
              <w:bottom w:w="150" w:type="dxa"/>
              <w:right w:w="240" w:type="dxa"/>
            </w:tcMar>
            <w:vAlign w:val="center"/>
          </w:tcPr>
          <w:p>
            <w:pPr>
              <w:rPr>
                <w:rFonts w:hint="default"/>
              </w:rPr>
            </w:pPr>
            <w:r>
              <w:rPr>
                <w:rFonts w:hint="default"/>
                <w:lang w:val="en-US" w:eastAsia="zh-CN"/>
              </w:rPr>
              <w:t>Fund vs. Partners</w:t>
            </w:r>
          </w:p>
        </w:tc>
        <w:tc>
          <w:tcPr>
            <w:tcW w:w="7968" w:type="dxa"/>
            <w:shd w:val="clear"/>
            <w:tcMar>
              <w:top w:w="150" w:type="dxa"/>
              <w:left w:w="240" w:type="dxa"/>
              <w:bottom w:w="150" w:type="dxa"/>
              <w:right w:w="0" w:type="dxa"/>
            </w:tcMar>
            <w:vAlign w:val="center"/>
          </w:tcPr>
          <w:p>
            <w:pPr>
              <w:rPr>
                <w:rFonts w:hint="default"/>
              </w:rPr>
            </w:pPr>
            <w:r>
              <w:rPr>
                <w:rFonts w:hint="default"/>
                <w:lang w:val="en-US" w:eastAsia="zh-CN"/>
              </w:rPr>
              <w:t>Partners retain economic interest; no conflict</w:t>
            </w:r>
          </w:p>
        </w:tc>
      </w:tr>
    </w:tbl>
    <w:p>
      <w:pPr>
        <w:rPr>
          <w:rFonts w:hint="default"/>
        </w:rPr>
      </w:pPr>
      <w:r>
        <w:rPr>
          <w:rFonts w:hint="default"/>
        </w:rPr>
        <w:t>4.5.8 Public Voting Dashboard</w:t>
      </w:r>
    </w:p>
    <w:p>
      <w:pPr>
        <w:rPr>
          <w:rFonts w:hint="default"/>
        </w:rPr>
      </w:pPr>
      <w:r>
        <w:rPr>
          <w:rFonts w:hint="default"/>
        </w:rPr>
        <w:t>The Fund shall maintain a public voting dashboard showing:</w:t>
      </w:r>
    </w:p>
    <w:p/>
    <w:p>
      <w:r>
        <w:rPr>
          <w:rFonts w:hint="default"/>
        </w:rPr>
        <w:t>How the Fund voted on each proposal</w:t>
      </w:r>
    </w:p>
    <w:p/>
    <w:p/>
    <w:p>
      <w:r>
        <w:rPr>
          <w:rFonts w:hint="default"/>
        </w:rPr>
        <w:t>The rationale for each vote</w:t>
      </w:r>
    </w:p>
    <w:p/>
    <w:p/>
    <w:p>
      <w:r>
        <w:rPr>
          <w:rFonts w:hint="default"/>
        </w:rPr>
        <w:t>The outcome of each vote</w:t>
      </w:r>
    </w:p>
    <w:p/>
    <w:p/>
    <w:p>
      <w:r>
        <w:rPr>
          <w:rFonts w:hint="default"/>
        </w:rPr>
        <w:t>Engagement activities</w:t>
      </w:r>
    </w:p>
    <w:p/>
    <w:p/>
    <w:p>
      <w:r>
        <w:rPr>
          <w:rFonts w:hint="default"/>
        </w:rPr>
        <w:t>Escalation activities</w:t>
      </w:r>
    </w:p>
    <w:p/>
    <w:p>
      <w:pPr>
        <w:rPr>
          <w:rFonts w:hint="default"/>
        </w:rPr>
      </w:pPr>
      <w:r>
        <w:rPr>
          <w:rFonts w:hint="default"/>
        </w:rPr>
        <w:t>This ensures transparency and accountability.</w:t>
      </w:r>
    </w:p>
    <w:p>
      <w:pPr>
        <w:rPr>
          <w:rFonts w:hint="default"/>
        </w:rPr>
      </w:pPr>
      <w:r>
        <w:rPr>
          <w:rFonts w:hint="default"/>
        </w:rPr>
        <w:t>4.5.9 Annual Jowih Stewardship Report</w:t>
      </w:r>
    </w:p>
    <w:p>
      <w:pPr>
        <w:rPr>
          <w:rFonts w:hint="default"/>
        </w:rPr>
      </w:pPr>
      <w:r>
        <w:rPr>
          <w:rFonts w:hint="default"/>
        </w:rPr>
        <w:t>The Fund shall publish an annual Jowih Stewardship Report covering:</w:t>
      </w:r>
    </w:p>
    <w:p/>
    <w:p>
      <w:r>
        <w:rPr>
          <w:rFonts w:hint="default"/>
        </w:rPr>
        <w:t>Voting activities</w:t>
      </w:r>
    </w:p>
    <w:p/>
    <w:p/>
    <w:p>
      <w:r>
        <w:rPr>
          <w:rFonts w:hint="default"/>
        </w:rPr>
        <w:t>Engagement activities</w:t>
      </w:r>
    </w:p>
    <w:p/>
    <w:p/>
    <w:p>
      <w:r>
        <w:rPr>
          <w:rFonts w:hint="default"/>
        </w:rPr>
        <w:t>Escalation activities</w:t>
      </w:r>
    </w:p>
    <w:p/>
    <w:p/>
    <w:p>
      <w:r>
        <w:rPr>
          <w:rFonts w:hint="default"/>
        </w:rPr>
        <w:t>Conflicts of interest</w:t>
      </w:r>
    </w:p>
    <w:p/>
    <w:p/>
    <w:p>
      <w:r>
        <w:rPr>
          <w:rFonts w:hint="default"/>
        </w:rPr>
        <w:t>Compliance</w:t>
      </w:r>
    </w:p>
    <w:p/>
    <w:p/>
    <w:p>
      <w:r>
        <w:rPr>
          <w:rFonts w:hint="default"/>
        </w:rPr>
        <w:t>Impact on long-term value creation</w:t>
      </w:r>
    </w:p>
    <w:p/>
    <w:p>
      <w:pPr>
        <w:rPr>
          <w:rFonts w:hint="default"/>
        </w:rPr>
      </w:pPr>
      <w:r>
        <w:rPr>
          <w:rFonts w:hint="default"/>
        </w:rPr>
        <w:t>4.5.10 Structural Effect</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277"/>
        <w:gridCol w:w="80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3277"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800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Effect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277" w:type="dxa"/>
            <w:shd w:val="clear"/>
            <w:tcMar>
              <w:top w:w="150" w:type="dxa"/>
              <w:left w:w="0" w:type="dxa"/>
              <w:bottom w:w="150" w:type="dxa"/>
              <w:right w:w="240" w:type="dxa"/>
            </w:tcMar>
            <w:vAlign w:val="center"/>
          </w:tcPr>
          <w:p>
            <w:pPr>
              <w:rPr>
                <w:rFonts w:hint="default"/>
              </w:rPr>
            </w:pPr>
            <w:r>
              <w:rPr>
                <w:rFonts w:hint="default"/>
                <w:lang w:val="en-US" w:eastAsia="zh-CN"/>
              </w:rPr>
              <w:t>Foundation Governance</w:t>
            </w:r>
          </w:p>
        </w:tc>
        <w:tc>
          <w:tcPr>
            <w:tcW w:w="8002" w:type="dxa"/>
            <w:shd w:val="clear"/>
            <w:tcMar>
              <w:top w:w="150" w:type="dxa"/>
              <w:left w:w="240" w:type="dxa"/>
              <w:bottom w:w="150" w:type="dxa"/>
              <w:right w:w="0" w:type="dxa"/>
            </w:tcMar>
            <w:vAlign w:val="center"/>
          </w:tcPr>
          <w:p>
            <w:pPr>
              <w:rPr>
                <w:rFonts w:hint="default"/>
              </w:rPr>
            </w:pPr>
            <w:r>
              <w:rPr>
                <w:rFonts w:hint="default"/>
                <w:lang w:val="en-US" w:eastAsia="zh-CN"/>
              </w:rPr>
              <w:t>Unit holders have zero rights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277" w:type="dxa"/>
            <w:shd w:val="clear"/>
            <w:tcMar>
              <w:top w:w="150" w:type="dxa"/>
              <w:left w:w="0" w:type="dxa"/>
              <w:bottom w:w="150" w:type="dxa"/>
              <w:right w:w="240" w:type="dxa"/>
            </w:tcMar>
            <w:vAlign w:val="center"/>
          </w:tcPr>
          <w:p>
            <w:pPr>
              <w:rPr>
                <w:rFonts w:hint="default"/>
              </w:rPr>
            </w:pPr>
            <w:r>
              <w:rPr>
                <w:rFonts w:hint="default"/>
                <w:lang w:val="en-US" w:eastAsia="zh-CN"/>
              </w:rPr>
              <w:t>Company Governance</w:t>
            </w:r>
          </w:p>
        </w:tc>
        <w:tc>
          <w:tcPr>
            <w:tcW w:w="8002" w:type="dxa"/>
            <w:shd w:val="clear"/>
            <w:tcMar>
              <w:top w:w="150" w:type="dxa"/>
              <w:left w:w="240" w:type="dxa"/>
              <w:bottom w:w="150" w:type="dxa"/>
              <w:right w:w="0" w:type="dxa"/>
            </w:tcMar>
            <w:vAlign w:val="center"/>
          </w:tcPr>
          <w:p>
            <w:pPr>
              <w:rPr>
                <w:rFonts w:hint="default"/>
              </w:rPr>
            </w:pPr>
            <w:r>
              <w:rPr>
                <w:rFonts w:hint="default"/>
                <w:lang w:val="en-US" w:eastAsia="zh-CN"/>
              </w:rPr>
              <w:t>Fund exercises voting rights as owner of vaulted shares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277" w:type="dxa"/>
            <w:shd w:val="clear"/>
            <w:tcMar>
              <w:top w:w="150" w:type="dxa"/>
              <w:left w:w="0" w:type="dxa"/>
              <w:bottom w:w="150" w:type="dxa"/>
              <w:right w:w="240" w:type="dxa"/>
            </w:tcMar>
            <w:vAlign w:val="center"/>
          </w:tcPr>
          <w:p>
            <w:pPr>
              <w:rPr>
                <w:rFonts w:hint="default"/>
              </w:rPr>
            </w:pPr>
            <w:r>
              <w:rPr>
                <w:rFonts w:hint="default"/>
                <w:lang w:val="en-US" w:eastAsia="zh-CN"/>
              </w:rPr>
              <w:t>Unit Holders</w:t>
            </w:r>
          </w:p>
        </w:tc>
        <w:tc>
          <w:tcPr>
            <w:tcW w:w="8002" w:type="dxa"/>
            <w:shd w:val="clear"/>
            <w:tcMar>
              <w:top w:w="150" w:type="dxa"/>
              <w:left w:w="240" w:type="dxa"/>
              <w:bottom w:w="150" w:type="dxa"/>
              <w:right w:w="0" w:type="dxa"/>
            </w:tcMar>
            <w:vAlign w:val="center"/>
          </w:tcPr>
          <w:p>
            <w:pPr>
              <w:rPr>
                <w:rFonts w:hint="default"/>
              </w:rPr>
            </w:pPr>
            <w:r>
              <w:rPr>
                <w:rFonts w:hint="default"/>
                <w:lang w:val="en-US" w:eastAsia="zh-CN"/>
              </w:rPr>
              <w:t>Economic exposure only; no direct voting rights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277" w:type="dxa"/>
            <w:shd w:val="clear"/>
            <w:tcMar>
              <w:top w:w="150" w:type="dxa"/>
              <w:left w:w="0" w:type="dxa"/>
              <w:bottom w:w="150" w:type="dxa"/>
              <w:right w:w="240" w:type="dxa"/>
            </w:tcMar>
            <w:vAlign w:val="center"/>
          </w:tcPr>
          <w:p>
            <w:pPr>
              <w:rPr>
                <w:rFonts w:hint="default"/>
              </w:rPr>
            </w:pPr>
            <w:r>
              <w:rPr>
                <w:rFonts w:hint="default"/>
                <w:lang w:val="en-US" w:eastAsia="zh-CN"/>
              </w:rPr>
              <w:t>Fund's Exercise of Voting Rights</w:t>
            </w:r>
          </w:p>
        </w:tc>
        <w:tc>
          <w:tcPr>
            <w:tcW w:w="8002" w:type="dxa"/>
            <w:shd w:val="clear"/>
            <w:tcMar>
              <w:top w:w="150" w:type="dxa"/>
              <w:left w:w="240" w:type="dxa"/>
              <w:bottom w:w="150" w:type="dxa"/>
              <w:right w:w="0" w:type="dxa"/>
            </w:tcMar>
            <w:vAlign w:val="center"/>
          </w:tcPr>
          <w:p>
            <w:pPr>
              <w:rPr>
                <w:rFonts w:hint="default"/>
              </w:rPr>
            </w:pPr>
            <w:r>
              <w:rPr>
                <w:rFonts w:hint="default"/>
                <w:lang w:val="en-US" w:eastAsia="zh-CN"/>
              </w:rPr>
              <w:t>In the best interest of the Fund and its unit holders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277" w:type="dxa"/>
            <w:shd w:val="clear"/>
            <w:tcMar>
              <w:top w:w="150" w:type="dxa"/>
              <w:left w:w="0" w:type="dxa"/>
              <w:bottom w:w="150" w:type="dxa"/>
              <w:right w:w="240" w:type="dxa"/>
            </w:tcMar>
            <w:vAlign w:val="center"/>
          </w:tcPr>
          <w:p>
            <w:pPr>
              <w:rPr>
                <w:rFonts w:hint="default"/>
              </w:rPr>
            </w:pPr>
            <w:r>
              <w:rPr>
                <w:rFonts w:hint="default"/>
                <w:lang w:val="en-US" w:eastAsia="zh-CN"/>
              </w:rPr>
              <w:t>Stewardship</w:t>
            </w:r>
          </w:p>
        </w:tc>
        <w:tc>
          <w:tcPr>
            <w:tcW w:w="8002" w:type="dxa"/>
            <w:shd w:val="clear"/>
            <w:tcMar>
              <w:top w:w="150" w:type="dxa"/>
              <w:left w:w="240" w:type="dxa"/>
              <w:bottom w:w="150" w:type="dxa"/>
              <w:right w:w="0" w:type="dxa"/>
            </w:tcMar>
            <w:vAlign w:val="center"/>
          </w:tcPr>
          <w:p>
            <w:pPr>
              <w:rPr>
                <w:rFonts w:hint="default"/>
              </w:rPr>
            </w:pPr>
            <w:r>
              <w:rPr>
                <w:rFonts w:hint="default"/>
                <w:lang w:val="en-US" w:eastAsia="zh-CN"/>
              </w:rPr>
              <w:t>VCC Stewardship Committee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277" w:type="dxa"/>
            <w:shd w:val="clear"/>
            <w:tcMar>
              <w:top w:w="150" w:type="dxa"/>
              <w:left w:w="0" w:type="dxa"/>
              <w:bottom w:w="150" w:type="dxa"/>
              <w:right w:w="240" w:type="dxa"/>
            </w:tcMar>
            <w:vAlign w:val="center"/>
          </w:tcPr>
          <w:p>
            <w:pPr>
              <w:rPr>
                <w:rFonts w:hint="default"/>
              </w:rPr>
            </w:pPr>
            <w:r>
              <w:rPr>
                <w:rFonts w:hint="default"/>
                <w:lang w:val="en-US" w:eastAsia="zh-CN"/>
              </w:rPr>
              <w:t>Transparency</w:t>
            </w:r>
          </w:p>
        </w:tc>
        <w:tc>
          <w:tcPr>
            <w:tcW w:w="8002" w:type="dxa"/>
            <w:shd w:val="clear"/>
            <w:tcMar>
              <w:top w:w="150" w:type="dxa"/>
              <w:left w:w="240" w:type="dxa"/>
              <w:bottom w:w="150" w:type="dxa"/>
              <w:right w:w="0" w:type="dxa"/>
            </w:tcMar>
            <w:vAlign w:val="center"/>
          </w:tcPr>
          <w:p>
            <w:pPr>
              <w:rPr>
                <w:rFonts w:hint="default"/>
              </w:rPr>
            </w:pPr>
            <w:r>
              <w:rPr>
                <w:rFonts w:hint="default"/>
                <w:lang w:val="en-US" w:eastAsia="zh-CN"/>
              </w:rPr>
              <w:t>Public voting dashboard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277" w:type="dxa"/>
            <w:shd w:val="clear"/>
            <w:tcMar>
              <w:top w:w="150" w:type="dxa"/>
              <w:left w:w="0" w:type="dxa"/>
              <w:bottom w:w="150" w:type="dxa"/>
              <w:right w:w="240" w:type="dxa"/>
            </w:tcMar>
            <w:vAlign w:val="center"/>
          </w:tcPr>
          <w:p>
            <w:pPr>
              <w:rPr>
                <w:rFonts w:hint="default"/>
              </w:rPr>
            </w:pPr>
            <w:r>
              <w:rPr>
                <w:rFonts w:hint="default"/>
                <w:lang w:val="en-US" w:eastAsia="zh-CN"/>
              </w:rPr>
              <w:t>Reporting</w:t>
            </w:r>
          </w:p>
        </w:tc>
        <w:tc>
          <w:tcPr>
            <w:tcW w:w="8002" w:type="dxa"/>
            <w:shd w:val="clear"/>
            <w:tcMar>
              <w:top w:w="150" w:type="dxa"/>
              <w:left w:w="240" w:type="dxa"/>
              <w:bottom w:w="150" w:type="dxa"/>
              <w:right w:w="0" w:type="dxa"/>
            </w:tcMar>
            <w:vAlign w:val="center"/>
          </w:tcPr>
          <w:p>
            <w:pPr>
              <w:rPr>
                <w:rFonts w:hint="default"/>
              </w:rPr>
            </w:pPr>
            <w:r>
              <w:rPr>
                <w:rFonts w:hint="default"/>
                <w:lang w:val="en-US" w:eastAsia="zh-CN"/>
              </w:rPr>
              <w:t>Annual Jowih Stewardship Report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277" w:type="dxa"/>
            <w:shd w:val="clear"/>
            <w:tcMar>
              <w:top w:w="150" w:type="dxa"/>
              <w:left w:w="0" w:type="dxa"/>
              <w:bottom w:w="150" w:type="dxa"/>
              <w:right w:w="240" w:type="dxa"/>
            </w:tcMar>
            <w:vAlign w:val="center"/>
          </w:tcPr>
          <w:p>
            <w:pPr>
              <w:rPr>
                <w:rFonts w:hint="default"/>
              </w:rPr>
            </w:pPr>
            <w:r>
              <w:rPr>
                <w:rFonts w:hint="default"/>
                <w:lang w:val="en-US" w:eastAsia="zh-CN"/>
              </w:rPr>
              <w:t>Preservation</w:t>
            </w:r>
          </w:p>
        </w:tc>
        <w:tc>
          <w:tcPr>
            <w:tcW w:w="8002" w:type="dxa"/>
            <w:shd w:val="clear"/>
            <w:tcMar>
              <w:top w:w="150" w:type="dxa"/>
              <w:left w:w="240" w:type="dxa"/>
              <w:bottom w:w="150" w:type="dxa"/>
              <w:right w:w="0" w:type="dxa"/>
            </w:tcMar>
            <w:vAlign w:val="center"/>
          </w:tcPr>
          <w:p>
            <w:pPr>
              <w:rPr>
                <w:rFonts w:hint="default"/>
              </w:rPr>
            </w:pPr>
            <w:r>
              <w:rPr>
                <w:rFonts w:hint="default"/>
                <w:lang w:val="en-US" w:eastAsia="zh-CN"/>
              </w:rPr>
              <w:t>Absolute decoupling of downstream economic rights from upstream control rights</w:t>
            </w:r>
          </w:p>
        </w:tc>
      </w:tr>
    </w:tbl>
    <w:p/>
    <w:p/>
    <w:p>
      <w:pPr>
        <w:rPr>
          <w:rFonts w:hint="default"/>
        </w:rPr>
      </w:pPr>
      <w:r>
        <w:rPr>
          <w:rFonts w:hint="default"/>
        </w:rPr>
        <w:t>V. THE JOWIH 100 → 500 INDEX</w:t>
      </w:r>
    </w:p>
    <w:p>
      <w:pPr>
        <w:rPr>
          <w:rFonts w:hint="default"/>
        </w:rPr>
      </w:pPr>
      <w:r>
        <w:rPr>
          <w:rFonts w:hint="default"/>
        </w:rPr>
        <w:t>5.1 Index Mandate</w:t>
      </w:r>
    </w:p>
    <w:p>
      <w:r>
        <w:rPr>
          <w:rFonts w:hint="default"/>
        </w:rPr>
        <w:t xml:space="preserve">The </w:t>
      </w:r>
      <w:r>
        <w:rPr>
          <w:rFonts w:hint="default"/>
        </w:rPr>
        <w:t>Jowih 100</w:t>
      </w:r>
      <w:r>
        <w:rPr>
          <w:rFonts w:hint="default"/>
        </w:rPr>
        <w:t xml:space="preserve"> constitutes the opening qualifying enterprise universe for the Master Fund.</w:t>
      </w:r>
    </w:p>
    <w:p>
      <w:r>
        <w:rPr>
          <w:rFonts w:hint="default"/>
        </w:rPr>
        <w:t xml:space="preserve">The architecture is designed to permit progressive expansion toward </w:t>
      </w:r>
      <w:r>
        <w:rPr>
          <w:rFonts w:hint="default"/>
        </w:rPr>
        <w:t>500 qualifying enterprises</w:t>
      </w:r>
      <w:r>
        <w:rPr>
          <w:rFonts w:hint="default"/>
        </w:rPr>
        <w:t xml:space="preserve"> as:</w:t>
      </w:r>
    </w:p>
    <w:p/>
    <w:p>
      <w:r>
        <w:rPr>
          <w:rFonts w:hint="default"/>
        </w:rPr>
        <w:t>existing constituents increase in value;</w:t>
      </w:r>
    </w:p>
    <w:p/>
    <w:p/>
    <w:p>
      <w:r>
        <w:rPr>
          <w:rFonts w:hint="default"/>
        </w:rPr>
        <w:t>additional qualifying enterprises emerge;</w:t>
      </w:r>
    </w:p>
    <w:p/>
    <w:p/>
    <w:p>
      <w:r>
        <w:rPr>
          <w:rFonts w:hint="default"/>
        </w:rPr>
        <w:t>new sectors become strategically relevant;</w:t>
      </w:r>
    </w:p>
    <w:p/>
    <w:p/>
    <w:p>
      <w:r>
        <w:rPr>
          <w:rFonts w:hint="default"/>
        </w:rPr>
        <w:t>geographic representation expands;</w:t>
      </w:r>
    </w:p>
    <w:p/>
    <w:p/>
    <w:p>
      <w:r>
        <w:rPr>
          <w:rFonts w:hint="default"/>
        </w:rPr>
        <w:t>additional commercial asset capacity becomes available; and</w:t>
      </w:r>
    </w:p>
    <w:p/>
    <w:p/>
    <w:p>
      <w:r>
        <w:rPr>
          <w:rFonts w:hint="default"/>
        </w:rPr>
        <w:t>Fund infrastructure develops sufficient capacity to accommodate additional assets.</w:t>
      </w:r>
    </w:p>
    <w:p/>
    <w:p>
      <w:r>
        <w:rPr>
          <w:rFonts w:hint="default"/>
        </w:rPr>
        <w:t xml:space="preserve">The Index is therefore a </w:t>
      </w:r>
      <w:r>
        <w:rPr>
          <w:rFonts w:hint="default"/>
        </w:rPr>
        <w:t>scalable qualification framework</w:t>
      </w:r>
      <w:r>
        <w:rPr>
          <w:rFonts w:hint="default"/>
        </w:rPr>
        <w:t>, rather than a permanent numerical ceiling.</w:t>
      </w:r>
    </w:p>
    <w:p>
      <w:pPr>
        <w:rPr>
          <w:rFonts w:hint="default"/>
        </w:rPr>
      </w:pPr>
      <w:r>
        <w:rPr>
          <w:rFonts w:hint="default"/>
        </w:rPr>
        <w:t>5.2 Structural Allocation</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981"/>
        <w:gridCol w:w="1990"/>
        <w:gridCol w:w="7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198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Index Bucket</w:t>
            </w:r>
          </w:p>
        </w:tc>
        <w:tc>
          <w:tcPr>
            <w:tcW w:w="1990"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Target Allocation</w:t>
            </w:r>
          </w:p>
        </w:tc>
        <w:tc>
          <w:tcPr>
            <w:tcW w:w="730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Composition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981" w:type="dxa"/>
            <w:shd w:val="clear"/>
            <w:tcMar>
              <w:top w:w="150" w:type="dxa"/>
              <w:left w:w="0" w:type="dxa"/>
              <w:bottom w:w="150" w:type="dxa"/>
              <w:right w:w="240" w:type="dxa"/>
            </w:tcMar>
            <w:vAlign w:val="center"/>
          </w:tcPr>
          <w:p>
            <w:pPr>
              <w:rPr>
                <w:rFonts w:hint="default"/>
              </w:rPr>
            </w:pPr>
            <w:r>
              <w:rPr>
                <w:rFonts w:hint="default"/>
                <w:lang w:val="en-US" w:eastAsia="zh-CN"/>
              </w:rPr>
              <w:t>Jowih Core</w:t>
            </w:r>
          </w:p>
        </w:tc>
        <w:tc>
          <w:tcPr>
            <w:tcW w:w="1990" w:type="dxa"/>
            <w:shd w:val="clear"/>
            <w:tcMar>
              <w:top w:w="150" w:type="dxa"/>
              <w:left w:w="240" w:type="dxa"/>
              <w:bottom w:w="150" w:type="dxa"/>
              <w:right w:w="240" w:type="dxa"/>
            </w:tcMar>
            <w:vAlign w:val="center"/>
          </w:tcPr>
          <w:p>
            <w:pPr>
              <w:rPr>
                <w:rFonts w:hint="default"/>
              </w:rPr>
            </w:pPr>
            <w:r>
              <w:rPr>
                <w:rFonts w:hint="default"/>
                <w:lang w:val="en-US" w:eastAsia="zh-CN"/>
              </w:rPr>
              <w:t>30%</w:t>
            </w:r>
          </w:p>
        </w:tc>
        <w:tc>
          <w:tcPr>
            <w:tcW w:w="7308" w:type="dxa"/>
            <w:shd w:val="clear"/>
            <w:tcMar>
              <w:top w:w="150" w:type="dxa"/>
              <w:left w:w="240" w:type="dxa"/>
              <w:bottom w:w="150" w:type="dxa"/>
              <w:right w:w="0" w:type="dxa"/>
            </w:tcMar>
            <w:vAlign w:val="center"/>
          </w:tcPr>
          <w:p>
            <w:pPr>
              <w:rPr>
                <w:rFonts w:hint="default"/>
              </w:rPr>
            </w:pPr>
            <w:r>
              <w:rPr>
                <w:rFonts w:hint="default"/>
                <w:lang w:val="en-US" w:eastAsia="zh-CN"/>
              </w:rPr>
              <w:t>Qualified Jowih Group companies and qualifying Jowih-origin commercial enterprises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981" w:type="dxa"/>
            <w:shd w:val="clear"/>
            <w:tcMar>
              <w:top w:w="150" w:type="dxa"/>
              <w:left w:w="0" w:type="dxa"/>
              <w:bottom w:w="150" w:type="dxa"/>
              <w:right w:w="240" w:type="dxa"/>
            </w:tcMar>
            <w:vAlign w:val="center"/>
          </w:tcPr>
          <w:p>
            <w:pPr>
              <w:rPr>
                <w:rFonts w:hint="default"/>
              </w:rPr>
            </w:pPr>
            <w:r>
              <w:rPr>
                <w:rFonts w:hint="default"/>
                <w:lang w:val="en-US" w:eastAsia="zh-CN"/>
              </w:rPr>
              <w:t>Ecosystem Partners</w:t>
            </w:r>
          </w:p>
        </w:tc>
        <w:tc>
          <w:tcPr>
            <w:tcW w:w="1990" w:type="dxa"/>
            <w:shd w:val="clear"/>
            <w:tcMar>
              <w:top w:w="150" w:type="dxa"/>
              <w:left w:w="240" w:type="dxa"/>
              <w:bottom w:w="150" w:type="dxa"/>
              <w:right w:w="240" w:type="dxa"/>
            </w:tcMar>
            <w:vAlign w:val="center"/>
          </w:tcPr>
          <w:p>
            <w:pPr>
              <w:rPr>
                <w:rFonts w:hint="default"/>
              </w:rPr>
            </w:pPr>
            <w:r>
              <w:rPr>
                <w:rFonts w:hint="default"/>
                <w:lang w:val="en-US" w:eastAsia="zh-CN"/>
              </w:rPr>
              <w:t>70%</w:t>
            </w:r>
          </w:p>
        </w:tc>
        <w:tc>
          <w:tcPr>
            <w:tcW w:w="7308" w:type="dxa"/>
            <w:shd w:val="clear"/>
            <w:tcMar>
              <w:top w:w="150" w:type="dxa"/>
              <w:left w:w="240" w:type="dxa"/>
              <w:bottom w:w="150" w:type="dxa"/>
              <w:right w:w="0" w:type="dxa"/>
            </w:tcMar>
            <w:vAlign w:val="center"/>
          </w:tcPr>
          <w:p>
            <w:pPr>
              <w:rPr>
                <w:rFonts w:hint="default"/>
              </w:rPr>
            </w:pPr>
            <w:r>
              <w:rPr>
                <w:rFonts w:hint="default"/>
                <w:lang w:val="en-US" w:eastAsia="zh-CN"/>
              </w:rPr>
              <w:t>Qualified third-party African enterprises admitted through the Partner Registry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981" w:type="dxa"/>
            <w:shd w:val="clear"/>
            <w:tcMar>
              <w:top w:w="150" w:type="dxa"/>
              <w:left w:w="0" w:type="dxa"/>
              <w:bottom w:w="150" w:type="dxa"/>
              <w:right w:w="240" w:type="dxa"/>
            </w:tcMar>
            <w:vAlign w:val="center"/>
          </w:tcPr>
          <w:p>
            <w:pPr>
              <w:rPr>
                <w:rFonts w:hint="default"/>
              </w:rPr>
            </w:pPr>
            <w:r>
              <w:rPr>
                <w:rFonts w:hint="default"/>
                <w:lang w:val="en-US" w:eastAsia="zh-CN"/>
              </w:rPr>
              <w:t>Neutral Reserve</w:t>
            </w:r>
          </w:p>
        </w:tc>
        <w:tc>
          <w:tcPr>
            <w:tcW w:w="1990" w:type="dxa"/>
            <w:shd w:val="clear"/>
            <w:tcMar>
              <w:top w:w="150" w:type="dxa"/>
              <w:left w:w="240" w:type="dxa"/>
              <w:bottom w:w="150" w:type="dxa"/>
              <w:right w:w="240" w:type="dxa"/>
            </w:tcMar>
            <w:vAlign w:val="center"/>
          </w:tcPr>
          <w:p>
            <w:pPr>
              <w:rPr>
                <w:rFonts w:hint="default"/>
              </w:rPr>
            </w:pPr>
            <w:r>
              <w:rPr>
                <w:rFonts w:hint="default"/>
                <w:lang w:val="en-US" w:eastAsia="zh-CN"/>
              </w:rPr>
              <w:t>Separate</w:t>
            </w:r>
          </w:p>
        </w:tc>
        <w:tc>
          <w:tcPr>
            <w:tcW w:w="7308" w:type="dxa"/>
            <w:shd w:val="clear"/>
            <w:tcMar>
              <w:top w:w="150" w:type="dxa"/>
              <w:left w:w="240" w:type="dxa"/>
              <w:bottom w:w="150" w:type="dxa"/>
              <w:right w:w="0" w:type="dxa"/>
            </w:tcMar>
            <w:vAlign w:val="center"/>
          </w:tcPr>
          <w:p>
            <w:pPr>
              <w:rPr>
                <w:rFonts w:hint="default"/>
              </w:rPr>
            </w:pPr>
            <w:r>
              <w:rPr>
                <w:rFonts w:hint="default"/>
                <w:lang w:val="en-US" w:eastAsia="zh-CN"/>
              </w:rPr>
              <w:t>Qualifying neutral assets such as land; excluded from the 30/70 Core/Partner calculation</w:t>
            </w:r>
          </w:p>
        </w:tc>
      </w:tr>
    </w:tbl>
    <w:p>
      <w:r>
        <w:rPr>
          <w:rFonts w:hint="default"/>
        </w:rPr>
        <w:t xml:space="preserve">The </w:t>
      </w:r>
      <w:r>
        <w:rPr>
          <w:rFonts w:hint="default"/>
        </w:rPr>
        <w:t>30% Core / 70% Partner allocation</w:t>
      </w:r>
      <w:r>
        <w:rPr>
          <w:rFonts w:hint="default"/>
        </w:rPr>
        <w:t xml:space="preserve"> applies to the principal commercial asset architecture.</w:t>
      </w:r>
    </w:p>
    <w:p>
      <w:r>
        <w:rPr>
          <w:rFonts w:hint="default"/>
        </w:rPr>
        <w:t>The Neutral Reserve remains structurally separate.</w:t>
      </w:r>
    </w:p>
    <w:p>
      <w:pPr>
        <w:rPr>
          <w:rFonts w:hint="default"/>
        </w:rPr>
      </w:pPr>
      <w:r>
        <w:rPr>
          <w:rFonts w:hint="default"/>
        </w:rPr>
        <w:t>5.3 Expansion Principle</w:t>
      </w:r>
    </w:p>
    <w:p>
      <w:r>
        <w:rPr>
          <w:rFonts w:hint="eastAsia"/>
        </w:rPr>
        <w:t>Jowih 100 is the opening architecture. Jowih 500 is the expansion capacity.</w:t>
      </w:r>
    </w:p>
    <w:p>
      <w:r>
        <w:rPr>
          <w:rFonts w:hint="default"/>
        </w:rPr>
        <w:t>Expansion may occur when one or more of the following conditions are satisfied:</w:t>
      </w:r>
    </w:p>
    <w:p/>
    <w:p>
      <w:r>
        <w:rPr>
          <w:rFonts w:hint="default"/>
        </w:rPr>
        <w:t>existing constituents materially increase in value;</w:t>
      </w:r>
    </w:p>
    <w:p/>
    <w:p/>
    <w:p>
      <w:r>
        <w:rPr>
          <w:rFonts w:hint="default"/>
        </w:rPr>
        <w:t>additional enterprises satisfy the eligibility framework;</w:t>
      </w:r>
    </w:p>
    <w:p/>
    <w:p/>
    <w:p>
      <w:r>
        <w:rPr>
          <w:rFonts w:hint="default"/>
        </w:rPr>
        <w:t>new sectors require representation;</w:t>
      </w:r>
    </w:p>
    <w:p/>
    <w:p/>
    <w:p>
      <w:r>
        <w:rPr>
          <w:rFonts w:hint="default"/>
        </w:rPr>
        <w:t>continental geographic coverage expands;</w:t>
      </w:r>
    </w:p>
    <w:p/>
    <w:p/>
    <w:p>
      <w:r>
        <w:rPr>
          <w:rFonts w:hint="default"/>
        </w:rPr>
        <w:t>additional commercial asset capacity is required; or</w:t>
      </w:r>
    </w:p>
    <w:p/>
    <w:p/>
    <w:p>
      <w:r>
        <w:rPr>
          <w:rFonts w:hint="default"/>
        </w:rPr>
        <w:t>the Fund's regulatory and administrative infrastructure can support additional constituents.</w:t>
      </w:r>
    </w:p>
    <w:p/>
    <w:p>
      <w:r>
        <w:rPr>
          <w:rFonts w:hint="default"/>
        </w:rPr>
        <w:t>Admission shall remain subject to applicable eligibility, valuation, compliance, due-diligence and governance procedures.</w:t>
      </w:r>
    </w:p>
    <w:p>
      <w:r>
        <w:rPr>
          <w:rFonts w:hint="default"/>
        </w:rPr>
        <w:t>No enterprise shall qualify solely through political designation, personal affiliation or discretionary exception outside the approved admission framework.</w:t>
      </w:r>
    </w:p>
    <w:p>
      <w:r>
        <w:pict>
          <v:rect id="_x0000_i1080"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VI. ENTERPRISE ELIGIBILITY FRAMEWORK</w:t>
      </w:r>
    </w:p>
    <w:p>
      <w:r>
        <w:rPr>
          <w:rFonts w:hint="default"/>
        </w:rPr>
        <w:t>Admission to the Jowih 100 → 500 Index shall be determined against an institutional eligibility framework.</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290"/>
        <w:gridCol w:w="89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290"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Criterion</w:t>
            </w:r>
          </w:p>
        </w:tc>
        <w:tc>
          <w:tcPr>
            <w:tcW w:w="8990"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Minimum Institutional Requirement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Operational History</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Demonstrable period of operating activity supported by appropriate operational, infrastructure or output evidence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Financial Reporting</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Independent financial statements or equivalent financial reporting meeting applicable institutional standards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Commercial Viability</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Positive cash flow or a documented and independently validated pathway toward sustainable profitability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Corporate Compliance</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Applicable tax, licensing, employment, anti-corruption and regulatory compliance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Governance</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Transparent governance, reporting and internal-control framework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Mission Alignment</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Compatibility with the Jowih ecosystem's infrastructure, development, innovation and technology objectives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Independent Valuation</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Third-party valuation sufficient to establish an appropriate starting valuation/NAV basis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Ecosystem Participation</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Qualifying COS integration, GAG participation, Partner Registry status or another approved ecosystem relationship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Scalability</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Demonstrated capacity for expansion across markets, sectors or infrastructure networks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Data Compliance</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Applicable privacy, cybersecurity, data residency and data-sovereignty requirements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Due Diligence</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Completion of legal, financial, ownership, sanctions/AML/KYC and other required diligence</w:t>
            </w:r>
          </w:p>
        </w:tc>
      </w:tr>
    </w:tbl>
    <w:p>
      <w:r>
        <w:pict>
          <v:rect id="_x0000_i1081"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VII. PROPOSED LEGAL VEHICLE — MAURITIUS VCC ARCHITECTURE</w:t>
      </w:r>
    </w:p>
    <w:p>
      <w:r>
        <w:rPr>
          <w:rFonts w:hint="default"/>
        </w:rPr>
        <w:t xml:space="preserve">The Master Fund is designed around a </w:t>
      </w:r>
      <w:r>
        <w:rPr>
          <w:rFonts w:hint="default"/>
        </w:rPr>
        <w:t>Mauritius Variable Capital Company (VCC)</w:t>
      </w:r>
      <w:r>
        <w:rPr>
          <w:rFonts w:hint="default"/>
        </w:rPr>
        <w:t xml:space="preserve"> architecture, subject to final legal advice, regulatory classification, licensing and implementation.</w:t>
      </w:r>
    </w:p>
    <w:p>
      <w:r>
        <w:rPr>
          <w:rFonts w:hint="default"/>
        </w:rPr>
        <w:t>The VCC architecture is intended to permit ring-fencing of different portfolios and asset categories through segregated compartments or cells.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574"/>
        <w:gridCol w:w="77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3574"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VCC Feature</w:t>
            </w:r>
          </w:p>
        </w:tc>
        <w:tc>
          <w:tcPr>
            <w:tcW w:w="7706"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Institutional Function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74" w:type="dxa"/>
            <w:shd w:val="clear"/>
            <w:tcMar>
              <w:top w:w="150" w:type="dxa"/>
              <w:left w:w="0" w:type="dxa"/>
              <w:bottom w:w="150" w:type="dxa"/>
              <w:right w:w="240" w:type="dxa"/>
            </w:tcMar>
            <w:vAlign w:val="center"/>
          </w:tcPr>
          <w:p>
            <w:pPr>
              <w:rPr>
                <w:rFonts w:hint="default"/>
              </w:rPr>
            </w:pPr>
            <w:r>
              <w:rPr>
                <w:rFonts w:hint="default"/>
                <w:lang w:val="en-US" w:eastAsia="zh-CN"/>
              </w:rPr>
              <w:t>Segregated Cells/Sub-Funds</w:t>
            </w:r>
          </w:p>
        </w:tc>
        <w:tc>
          <w:tcPr>
            <w:tcW w:w="7706" w:type="dxa"/>
            <w:shd w:val="clear"/>
            <w:tcMar>
              <w:top w:w="150" w:type="dxa"/>
              <w:left w:w="240" w:type="dxa"/>
              <w:bottom w:w="150" w:type="dxa"/>
              <w:right w:w="0" w:type="dxa"/>
            </w:tcMar>
            <w:vAlign w:val="center"/>
          </w:tcPr>
          <w:p>
            <w:pPr>
              <w:rPr>
                <w:rFonts w:hint="default"/>
              </w:rPr>
            </w:pPr>
            <w:r>
              <w:rPr>
                <w:rFonts w:hint="default"/>
                <w:lang w:val="en-US" w:eastAsia="zh-CN"/>
              </w:rPr>
              <w:t>Separates eligible commercial and asset portfolios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74" w:type="dxa"/>
            <w:shd w:val="clear"/>
            <w:tcMar>
              <w:top w:w="150" w:type="dxa"/>
              <w:left w:w="0" w:type="dxa"/>
              <w:bottom w:w="150" w:type="dxa"/>
              <w:right w:w="240" w:type="dxa"/>
            </w:tcMar>
            <w:vAlign w:val="center"/>
          </w:tcPr>
          <w:p>
            <w:pPr>
              <w:rPr>
                <w:rFonts w:hint="default"/>
              </w:rPr>
            </w:pPr>
            <w:r>
              <w:rPr>
                <w:rFonts w:hint="default"/>
                <w:lang w:val="en-US" w:eastAsia="zh-CN"/>
              </w:rPr>
              <w:t>Asset Isolation</w:t>
            </w:r>
          </w:p>
        </w:tc>
        <w:tc>
          <w:tcPr>
            <w:tcW w:w="7706" w:type="dxa"/>
            <w:shd w:val="clear"/>
            <w:tcMar>
              <w:top w:w="150" w:type="dxa"/>
              <w:left w:w="240" w:type="dxa"/>
              <w:bottom w:w="150" w:type="dxa"/>
              <w:right w:w="0" w:type="dxa"/>
            </w:tcMar>
            <w:vAlign w:val="center"/>
          </w:tcPr>
          <w:p>
            <w:pPr>
              <w:rPr>
                <w:rFonts w:hint="default"/>
              </w:rPr>
            </w:pPr>
            <w:r>
              <w:rPr>
                <w:rFonts w:hint="default"/>
                <w:lang w:val="en-US" w:eastAsia="zh-CN"/>
              </w:rPr>
              <w:t>Supports segregation of assets and liabilities between compartments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74" w:type="dxa"/>
            <w:shd w:val="clear"/>
            <w:tcMar>
              <w:top w:w="150" w:type="dxa"/>
              <w:left w:w="0" w:type="dxa"/>
              <w:bottom w:w="150" w:type="dxa"/>
              <w:right w:w="240" w:type="dxa"/>
            </w:tcMar>
            <w:vAlign w:val="center"/>
          </w:tcPr>
          <w:p>
            <w:pPr>
              <w:rPr>
                <w:rFonts w:hint="default"/>
              </w:rPr>
            </w:pPr>
            <w:r>
              <w:rPr>
                <w:rFonts w:hint="default"/>
                <w:lang w:val="en-US" w:eastAsia="zh-CN"/>
              </w:rPr>
              <w:t>Scalability</w:t>
            </w:r>
          </w:p>
        </w:tc>
        <w:tc>
          <w:tcPr>
            <w:tcW w:w="7706" w:type="dxa"/>
            <w:shd w:val="clear"/>
            <w:tcMar>
              <w:top w:w="150" w:type="dxa"/>
              <w:left w:w="240" w:type="dxa"/>
              <w:bottom w:w="150" w:type="dxa"/>
              <w:right w:w="0" w:type="dxa"/>
            </w:tcMar>
            <w:vAlign w:val="center"/>
          </w:tcPr>
          <w:p>
            <w:pPr>
              <w:rPr>
                <w:rFonts w:hint="default"/>
              </w:rPr>
            </w:pPr>
            <w:r>
              <w:rPr>
                <w:rFonts w:hint="default"/>
                <w:lang w:val="en-US" w:eastAsia="zh-CN"/>
              </w:rPr>
              <w:t>Permits additional investment cells as the ecosystem expands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74" w:type="dxa"/>
            <w:shd w:val="clear"/>
            <w:tcMar>
              <w:top w:w="150" w:type="dxa"/>
              <w:left w:w="0" w:type="dxa"/>
              <w:bottom w:w="150" w:type="dxa"/>
              <w:right w:w="240" w:type="dxa"/>
            </w:tcMar>
            <w:vAlign w:val="center"/>
          </w:tcPr>
          <w:p>
            <w:pPr>
              <w:rPr>
                <w:rFonts w:hint="default"/>
              </w:rPr>
            </w:pPr>
            <w:r>
              <w:rPr>
                <w:rFonts w:hint="default"/>
                <w:lang w:val="en-US" w:eastAsia="zh-CN"/>
              </w:rPr>
              <w:t>Central Governance Framework</w:t>
            </w:r>
          </w:p>
        </w:tc>
        <w:tc>
          <w:tcPr>
            <w:tcW w:w="7706" w:type="dxa"/>
            <w:shd w:val="clear"/>
            <w:tcMar>
              <w:top w:w="150" w:type="dxa"/>
              <w:left w:w="240" w:type="dxa"/>
              <w:bottom w:w="150" w:type="dxa"/>
              <w:right w:w="0" w:type="dxa"/>
            </w:tcMar>
            <w:vAlign w:val="center"/>
          </w:tcPr>
          <w:p>
            <w:pPr>
              <w:rPr>
                <w:rFonts w:hint="default"/>
              </w:rPr>
            </w:pPr>
            <w:r>
              <w:rPr>
                <w:rFonts w:hint="default"/>
                <w:lang w:val="en-US" w:eastAsia="zh-CN"/>
              </w:rPr>
              <w:t>Maintains common institutional standards across the Fund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74" w:type="dxa"/>
            <w:shd w:val="clear"/>
            <w:tcMar>
              <w:top w:w="150" w:type="dxa"/>
              <w:left w:w="0" w:type="dxa"/>
              <w:bottom w:w="150" w:type="dxa"/>
              <w:right w:w="240" w:type="dxa"/>
            </w:tcMar>
            <w:vAlign w:val="center"/>
          </w:tcPr>
          <w:p>
            <w:pPr>
              <w:rPr>
                <w:rFonts w:hint="default"/>
              </w:rPr>
            </w:pPr>
            <w:r>
              <w:rPr>
                <w:rFonts w:hint="default"/>
                <w:lang w:val="en-US" w:eastAsia="zh-CN"/>
              </w:rPr>
              <w:t>Compartment-Level Administration</w:t>
            </w:r>
          </w:p>
        </w:tc>
        <w:tc>
          <w:tcPr>
            <w:tcW w:w="7706" w:type="dxa"/>
            <w:shd w:val="clear"/>
            <w:tcMar>
              <w:top w:w="150" w:type="dxa"/>
              <w:left w:w="240" w:type="dxa"/>
              <w:bottom w:w="150" w:type="dxa"/>
              <w:right w:w="0" w:type="dxa"/>
            </w:tcMar>
            <w:vAlign w:val="center"/>
          </w:tcPr>
          <w:p>
            <w:pPr>
              <w:rPr>
                <w:rFonts w:hint="default"/>
              </w:rPr>
            </w:pPr>
            <w:r>
              <w:rPr>
                <w:rFonts w:hint="default"/>
                <w:lang w:val="en-US" w:eastAsia="zh-CN"/>
              </w:rPr>
              <w:t>Permits portfolio-specific accounting, valuation and reporting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74" w:type="dxa"/>
            <w:shd w:val="clear"/>
            <w:tcMar>
              <w:top w:w="150" w:type="dxa"/>
              <w:left w:w="0" w:type="dxa"/>
              <w:bottom w:w="150" w:type="dxa"/>
              <w:right w:w="240" w:type="dxa"/>
            </w:tcMar>
            <w:vAlign w:val="center"/>
          </w:tcPr>
          <w:p>
            <w:pPr>
              <w:rPr>
                <w:rFonts w:hint="default"/>
              </w:rPr>
            </w:pPr>
            <w:r>
              <w:rPr>
                <w:rFonts w:hint="default"/>
                <w:lang w:val="en-US" w:eastAsia="zh-CN"/>
              </w:rPr>
              <w:t>Regulated Issuance</w:t>
            </w:r>
          </w:p>
        </w:tc>
        <w:tc>
          <w:tcPr>
            <w:tcW w:w="7706" w:type="dxa"/>
            <w:shd w:val="clear"/>
            <w:tcMar>
              <w:top w:w="150" w:type="dxa"/>
              <w:left w:w="240" w:type="dxa"/>
              <w:bottom w:w="150" w:type="dxa"/>
              <w:right w:w="0" w:type="dxa"/>
            </w:tcMar>
            <w:vAlign w:val="center"/>
          </w:tcPr>
          <w:p>
            <w:pPr>
              <w:rPr>
                <w:rFonts w:hint="default"/>
              </w:rPr>
            </w:pPr>
            <w:r>
              <w:rPr>
                <w:rFonts w:hint="default"/>
                <w:lang w:val="en-US" w:eastAsia="zh-CN"/>
              </w:rPr>
              <w:t>Provides the proposed legal infrastructure for permitted investment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74" w:type="dxa"/>
            <w:shd w:val="clear"/>
            <w:tcMar>
              <w:top w:w="150" w:type="dxa"/>
              <w:left w:w="0" w:type="dxa"/>
              <w:bottom w:w="150" w:type="dxa"/>
              <w:right w:w="240" w:type="dxa"/>
            </w:tcMar>
            <w:vAlign w:val="center"/>
          </w:tcPr>
          <w:p>
            <w:pPr>
              <w:rPr>
                <w:rFonts w:hint="default"/>
              </w:rPr>
            </w:pPr>
            <w:r>
              <w:rPr>
                <w:rFonts w:hint="default"/>
                <w:lang w:val="en-US" w:eastAsia="zh-CN"/>
              </w:rPr>
              <w:t>Independent Administration</w:t>
            </w:r>
          </w:p>
        </w:tc>
        <w:tc>
          <w:tcPr>
            <w:tcW w:w="7706" w:type="dxa"/>
            <w:shd w:val="clear"/>
            <w:tcMar>
              <w:top w:w="150" w:type="dxa"/>
              <w:left w:w="240" w:type="dxa"/>
              <w:bottom w:w="150" w:type="dxa"/>
              <w:right w:w="0" w:type="dxa"/>
            </w:tcMar>
            <w:vAlign w:val="center"/>
          </w:tcPr>
          <w:p>
            <w:pPr>
              <w:rPr>
                <w:rFonts w:hint="default"/>
              </w:rPr>
            </w:pPr>
            <w:r>
              <w:rPr>
                <w:rFonts w:hint="default"/>
                <w:lang w:val="en-US" w:eastAsia="zh-CN"/>
              </w:rPr>
              <w:t>Supports professional NAV calculation, accounting, custody, audit and reporting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74" w:type="dxa"/>
            <w:shd w:val="clear"/>
            <w:tcMar>
              <w:top w:w="150" w:type="dxa"/>
              <w:left w:w="0" w:type="dxa"/>
              <w:bottom w:w="150" w:type="dxa"/>
              <w:right w:w="240" w:type="dxa"/>
            </w:tcMar>
            <w:vAlign w:val="center"/>
          </w:tcPr>
          <w:p>
            <w:pPr>
              <w:rPr>
                <w:rFonts w:hint="default"/>
              </w:rPr>
            </w:pPr>
            <w:r>
              <w:rPr>
                <w:rFonts w:hint="default"/>
                <w:lang w:val="en-US" w:eastAsia="zh-CN"/>
              </w:rPr>
              <w:t>Regulatory Compliance</w:t>
            </w:r>
          </w:p>
        </w:tc>
        <w:tc>
          <w:tcPr>
            <w:tcW w:w="7706" w:type="dxa"/>
            <w:shd w:val="clear"/>
            <w:tcMar>
              <w:top w:w="150" w:type="dxa"/>
              <w:left w:w="240" w:type="dxa"/>
              <w:bottom w:w="150" w:type="dxa"/>
              <w:right w:w="0" w:type="dxa"/>
            </w:tcMar>
            <w:vAlign w:val="center"/>
          </w:tcPr>
          <w:p>
            <w:pPr>
              <w:rPr>
                <w:rFonts w:hint="default"/>
              </w:rPr>
            </w:pPr>
            <w:r>
              <w:rPr>
                <w:rFonts w:hint="default"/>
                <w:lang w:val="en-US" w:eastAsia="zh-CN"/>
              </w:rPr>
              <w:t>Enables implementation within the applicable Mauritius regulatory framework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74" w:type="dxa"/>
            <w:shd w:val="clear"/>
            <w:tcMar>
              <w:top w:w="150" w:type="dxa"/>
              <w:left w:w="0" w:type="dxa"/>
              <w:bottom w:w="150" w:type="dxa"/>
              <w:right w:w="240" w:type="dxa"/>
            </w:tcMar>
            <w:vAlign w:val="center"/>
          </w:tcPr>
          <w:p>
            <w:pPr>
              <w:rPr>
                <w:rFonts w:hint="default"/>
              </w:rPr>
            </w:pPr>
            <w:r>
              <w:rPr>
                <w:rFonts w:hint="default"/>
                <w:lang w:val="en-US" w:eastAsia="zh-CN"/>
              </w:rPr>
              <w:t>Central Board</w:t>
            </w:r>
          </w:p>
        </w:tc>
        <w:tc>
          <w:tcPr>
            <w:tcW w:w="7706" w:type="dxa"/>
            <w:shd w:val="clear"/>
            <w:tcMar>
              <w:top w:w="150" w:type="dxa"/>
              <w:left w:w="240" w:type="dxa"/>
              <w:bottom w:w="150" w:type="dxa"/>
              <w:right w:w="0" w:type="dxa"/>
            </w:tcMar>
            <w:vAlign w:val="center"/>
          </w:tcPr>
          <w:p>
            <w:pPr>
              <w:rPr>
                <w:rFonts w:hint="default"/>
              </w:rPr>
            </w:pPr>
            <w:r>
              <w:rPr>
                <w:rFonts w:hint="default"/>
                <w:lang w:val="en-US" w:eastAsia="zh-CN"/>
              </w:rPr>
              <w:t>VCC Board of Directors appointed by the Steward President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74" w:type="dxa"/>
            <w:shd w:val="clear"/>
            <w:tcMar>
              <w:top w:w="150" w:type="dxa"/>
              <w:left w:w="0" w:type="dxa"/>
              <w:bottom w:w="150" w:type="dxa"/>
              <w:right w:w="240" w:type="dxa"/>
            </w:tcMar>
            <w:vAlign w:val="center"/>
          </w:tcPr>
          <w:p>
            <w:pPr>
              <w:rPr>
                <w:rFonts w:hint="default"/>
              </w:rPr>
            </w:pPr>
            <w:r>
              <w:rPr>
                <w:rFonts w:hint="default"/>
                <w:lang w:val="en-US" w:eastAsia="zh-CN"/>
              </w:rPr>
              <w:t>Economies of Scale</w:t>
            </w:r>
          </w:p>
        </w:tc>
        <w:tc>
          <w:tcPr>
            <w:tcW w:w="7706" w:type="dxa"/>
            <w:shd w:val="clear"/>
            <w:tcMar>
              <w:top w:w="150" w:type="dxa"/>
              <w:left w:w="240" w:type="dxa"/>
              <w:bottom w:w="150" w:type="dxa"/>
              <w:right w:w="0" w:type="dxa"/>
            </w:tcMar>
            <w:vAlign w:val="center"/>
          </w:tcPr>
          <w:p>
            <w:pPr>
              <w:rPr>
                <w:rFonts w:hint="default"/>
              </w:rPr>
            </w:pPr>
            <w:r>
              <w:rPr>
                <w:rFonts w:hint="default"/>
                <w:lang w:val="en-US" w:eastAsia="zh-CN"/>
              </w:rPr>
              <w:t>One central administrator, auditor and custodian for all sub-funds</w:t>
            </w:r>
          </w:p>
        </w:tc>
      </w:tr>
    </w:tbl>
    <w:p>
      <w:r>
        <w:rPr>
          <w:rFonts w:hint="default"/>
        </w:rPr>
        <w:t>Specific matters including taxation, licensing, custody, redemption, exchange listing, investor eligibility, distribution, transfer and liquidity shall be determined under the final legal and regulatory structure.</w:t>
      </w:r>
    </w:p>
    <w:p>
      <w:r>
        <w:pict>
          <v:rect id="_x0000_i1082"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VIII. PASS-THROUGH ASSET VAULTING FRAMEWORK</w:t>
      </w:r>
    </w:p>
    <w:p>
      <w:pPr>
        <w:rPr>
          <w:rFonts w:hint="default"/>
        </w:rPr>
      </w:pPr>
      <w:r>
        <w:rPr>
          <w:rFonts w:hint="default"/>
        </w:rPr>
        <w:t>8.1 Purpose</w:t>
      </w:r>
    </w:p>
    <w:p>
      <w:r>
        <w:rPr>
          <w:rFonts w:hint="default"/>
        </w:rPr>
        <w:t>The Fund's investment compartments are designed to operate as regulated asset-vaulting structures for eligible assets.</w:t>
      </w:r>
    </w:p>
    <w:p>
      <w:r>
        <w:rPr>
          <w:rFonts w:hint="default"/>
        </w:rPr>
        <w:t>For qualifying commercial enterprises, the Fund may receive an agreed block of ordinary equity into the applicable compartment, subject to legal, valuation, corporate and regulatory requirements.</w:t>
      </w:r>
    </w:p>
    <w:p>
      <w:r>
        <w:rPr>
          <w:rFonts w:hint="default"/>
        </w:rPr>
        <w:t>The downstream Fund participation structure remains legally distinct from the underlying company's corporate governance structure.</w:t>
      </w:r>
    </w:p>
    <w:p>
      <w:pPr>
        <w:rPr>
          <w:rFonts w:hint="default"/>
        </w:rPr>
      </w:pPr>
      <w:r>
        <w:rPr>
          <w:rFonts w:hint="default"/>
        </w:rPr>
        <w:t>8.2 Asset Vaulting Process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19"/>
        <w:gridCol w:w="104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819"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Stage</w:t>
            </w:r>
          </w:p>
        </w:tc>
        <w:tc>
          <w:tcPr>
            <w:tcW w:w="10461"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Institutional 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819" w:type="dxa"/>
            <w:shd w:val="clear"/>
            <w:tcMar>
              <w:top w:w="150" w:type="dxa"/>
              <w:left w:w="0" w:type="dxa"/>
              <w:bottom w:w="150" w:type="dxa"/>
              <w:right w:w="240" w:type="dxa"/>
            </w:tcMar>
            <w:vAlign w:val="center"/>
          </w:tcPr>
          <w:p>
            <w:pPr>
              <w:rPr>
                <w:rFonts w:hint="default"/>
              </w:rPr>
            </w:pPr>
            <w:r>
              <w:rPr>
                <w:rFonts w:hint="default"/>
                <w:lang w:val="en-US" w:eastAsia="zh-CN"/>
              </w:rPr>
              <w:t>1</w:t>
            </w:r>
          </w:p>
        </w:tc>
        <w:tc>
          <w:tcPr>
            <w:tcW w:w="10461" w:type="dxa"/>
            <w:shd w:val="clear"/>
            <w:tcMar>
              <w:top w:w="150" w:type="dxa"/>
              <w:left w:w="240" w:type="dxa"/>
              <w:bottom w:w="150" w:type="dxa"/>
              <w:right w:w="0" w:type="dxa"/>
            </w:tcMar>
            <w:vAlign w:val="center"/>
          </w:tcPr>
          <w:p>
            <w:pPr>
              <w:rPr>
                <w:rFonts w:hint="default"/>
              </w:rPr>
            </w:pPr>
            <w:r>
              <w:rPr>
                <w:rFonts w:hint="default"/>
                <w:lang w:val="en-US" w:eastAsia="zh-CN"/>
              </w:rPr>
              <w:t>An eligible enterprise transfers or deposits an agreed block of qualifying assets/equity into the relevant Fund compartment under executed legal documentation.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819" w:type="dxa"/>
            <w:shd w:val="clear"/>
            <w:tcMar>
              <w:top w:w="150" w:type="dxa"/>
              <w:left w:w="0" w:type="dxa"/>
              <w:bottom w:w="150" w:type="dxa"/>
              <w:right w:w="240" w:type="dxa"/>
            </w:tcMar>
            <w:vAlign w:val="center"/>
          </w:tcPr>
          <w:p>
            <w:pPr>
              <w:rPr>
                <w:rFonts w:hint="default"/>
              </w:rPr>
            </w:pPr>
            <w:r>
              <w:rPr>
                <w:rFonts w:hint="default"/>
                <w:lang w:val="en-US" w:eastAsia="zh-CN"/>
              </w:rPr>
              <w:t>2</w:t>
            </w:r>
          </w:p>
        </w:tc>
        <w:tc>
          <w:tcPr>
            <w:tcW w:w="10461" w:type="dxa"/>
            <w:shd w:val="clear"/>
            <w:tcMar>
              <w:top w:w="150" w:type="dxa"/>
              <w:left w:w="240" w:type="dxa"/>
              <w:bottom w:w="150" w:type="dxa"/>
              <w:right w:w="0" w:type="dxa"/>
            </w:tcMar>
            <w:vAlign w:val="center"/>
          </w:tcPr>
          <w:p>
            <w:pPr>
              <w:rPr>
                <w:rFonts w:hint="default"/>
              </w:rPr>
            </w:pPr>
            <w:r>
              <w:rPr>
                <w:rFonts w:hint="default"/>
                <w:lang w:val="en-US" w:eastAsia="zh-CN"/>
              </w:rPr>
              <w:t>The underlying corporate securities remain legally identifiable within the Fund's asset inventory and retain their applicable rights at the underlying corporate level.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819" w:type="dxa"/>
            <w:shd w:val="clear"/>
            <w:tcMar>
              <w:top w:w="150" w:type="dxa"/>
              <w:left w:w="0" w:type="dxa"/>
              <w:bottom w:w="150" w:type="dxa"/>
              <w:right w:w="240" w:type="dxa"/>
            </w:tcMar>
            <w:vAlign w:val="center"/>
          </w:tcPr>
          <w:p>
            <w:pPr>
              <w:rPr>
                <w:rFonts w:hint="default"/>
              </w:rPr>
            </w:pPr>
            <w:r>
              <w:rPr>
                <w:rFonts w:hint="default"/>
                <w:lang w:val="en-US" w:eastAsia="zh-CN"/>
              </w:rPr>
              <w:t>3</w:t>
            </w:r>
          </w:p>
        </w:tc>
        <w:tc>
          <w:tcPr>
            <w:tcW w:w="10461" w:type="dxa"/>
            <w:shd w:val="clear"/>
            <w:tcMar>
              <w:top w:w="150" w:type="dxa"/>
              <w:left w:w="240" w:type="dxa"/>
              <w:bottom w:w="150" w:type="dxa"/>
              <w:right w:w="0" w:type="dxa"/>
            </w:tcMar>
            <w:vAlign w:val="center"/>
          </w:tcPr>
          <w:p>
            <w:pPr>
              <w:rPr>
                <w:rFonts w:hint="default"/>
              </w:rPr>
            </w:pPr>
            <w:r>
              <w:rPr>
                <w:rFonts w:hint="default"/>
                <w:lang w:val="en-US" w:eastAsia="zh-CN"/>
              </w:rPr>
              <w:t>The Fund issues the applicable class of non-voting Master Ecosystem Units against the independently valued asset pool, subject to the approved issuance methodology.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819" w:type="dxa"/>
            <w:shd w:val="clear"/>
            <w:tcMar>
              <w:top w:w="150" w:type="dxa"/>
              <w:left w:w="0" w:type="dxa"/>
              <w:bottom w:w="150" w:type="dxa"/>
              <w:right w:w="240" w:type="dxa"/>
            </w:tcMar>
            <w:vAlign w:val="center"/>
          </w:tcPr>
          <w:p>
            <w:pPr>
              <w:rPr>
                <w:rFonts w:hint="default"/>
              </w:rPr>
            </w:pPr>
            <w:r>
              <w:rPr>
                <w:rFonts w:hint="default"/>
                <w:lang w:val="en-US" w:eastAsia="zh-CN"/>
              </w:rPr>
              <w:t>4</w:t>
            </w:r>
          </w:p>
        </w:tc>
        <w:tc>
          <w:tcPr>
            <w:tcW w:w="10461" w:type="dxa"/>
            <w:shd w:val="clear"/>
            <w:tcMar>
              <w:top w:w="150" w:type="dxa"/>
              <w:left w:w="240" w:type="dxa"/>
              <w:bottom w:w="150" w:type="dxa"/>
              <w:right w:w="0" w:type="dxa"/>
            </w:tcMar>
            <w:vAlign w:val="center"/>
          </w:tcPr>
          <w:p>
            <w:pPr>
              <w:rPr>
                <w:rFonts w:hint="default"/>
              </w:rPr>
            </w:pPr>
            <w:r>
              <w:rPr>
                <w:rFonts w:hint="default"/>
                <w:lang w:val="en-US" w:eastAsia="zh-CN"/>
              </w:rPr>
              <w:t>Unit holders receive defined economic exposure to the applicable NAV and permitted distributable returns.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819" w:type="dxa"/>
            <w:shd w:val="clear"/>
            <w:tcMar>
              <w:top w:w="150" w:type="dxa"/>
              <w:left w:w="0" w:type="dxa"/>
              <w:bottom w:w="150" w:type="dxa"/>
              <w:right w:w="240" w:type="dxa"/>
            </w:tcMar>
            <w:vAlign w:val="center"/>
          </w:tcPr>
          <w:p>
            <w:pPr>
              <w:rPr>
                <w:rFonts w:hint="default"/>
              </w:rPr>
            </w:pPr>
            <w:r>
              <w:rPr>
                <w:rFonts w:hint="default"/>
                <w:lang w:val="en-US" w:eastAsia="zh-CN"/>
              </w:rPr>
              <w:t>5</w:t>
            </w:r>
          </w:p>
        </w:tc>
        <w:tc>
          <w:tcPr>
            <w:tcW w:w="10461" w:type="dxa"/>
            <w:shd w:val="clear"/>
            <w:tcMar>
              <w:top w:w="150" w:type="dxa"/>
              <w:left w:w="240" w:type="dxa"/>
              <w:bottom w:w="150" w:type="dxa"/>
              <w:right w:w="0" w:type="dxa"/>
            </w:tcMar>
            <w:vAlign w:val="center"/>
          </w:tcPr>
          <w:p>
            <w:pPr>
              <w:rPr>
                <w:rFonts w:hint="default"/>
              </w:rPr>
            </w:pPr>
            <w:r>
              <w:rPr>
                <w:rFonts w:hint="default"/>
                <w:lang w:val="en-US" w:eastAsia="zh-CN"/>
              </w:rPr>
              <w:t>Permitted investors participate through the Fund interface without being inserted directly into the primary cap table of the underlying enterprise.</w:t>
            </w:r>
          </w:p>
        </w:tc>
      </w:tr>
    </w:tbl>
    <w:p>
      <w:pPr>
        <w:rPr>
          <w:rFonts w:hint="default"/>
        </w:rPr>
      </w:pPr>
      <w:r>
        <w:rPr>
          <w:rFonts w:hint="default"/>
        </w:rPr>
        <w:t>Structural Rule</w:t>
      </w:r>
    </w:p>
    <w:p>
      <w:r>
        <w:rPr>
          <w:rFonts w:hint="eastAsia"/>
        </w:rPr>
        <w:t>Master Ecosystem Units do not themselves confer the voting rights attached to the underlying corporate securities unless expressly provided otherwise by the final legal structure.</w:t>
      </w:r>
    </w:p>
    <w:p>
      <w:pPr>
        <w:rPr>
          <w:rFonts w:hint="default"/>
        </w:rPr>
      </w:pPr>
      <w:r>
        <w:rPr>
          <w:rFonts w:hint="default"/>
        </w:rPr>
        <w:t>8.3 Voting Rights of Vaulted Shares</w:t>
      </w:r>
    </w:p>
    <w:p>
      <w:r>
        <w:rPr>
          <w:rFonts w:hint="default"/>
        </w:rPr>
        <w:t xml:space="preserve">Vaulted shares are </w:t>
      </w:r>
      <w:r>
        <w:rPr>
          <w:rFonts w:hint="default"/>
        </w:rPr>
        <w:t>asset-locked</w:t>
      </w:r>
      <w:r>
        <w:rPr>
          <w:rFonts w:hint="default"/>
        </w:rPr>
        <w:t xml:space="preserve"> within the applicable VCC sub-fund compartment. They do not carry governance representation through the Fund.</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699"/>
        <w:gridCol w:w="85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2699"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8581"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699" w:type="dxa"/>
            <w:shd w:val="clear"/>
            <w:tcMar>
              <w:top w:w="150" w:type="dxa"/>
              <w:left w:w="0" w:type="dxa"/>
              <w:bottom w:w="150" w:type="dxa"/>
              <w:right w:w="240" w:type="dxa"/>
            </w:tcMar>
            <w:vAlign w:val="center"/>
          </w:tcPr>
          <w:p>
            <w:pPr>
              <w:rPr>
                <w:rFonts w:hint="default"/>
              </w:rPr>
            </w:pPr>
            <w:r>
              <w:rPr>
                <w:rFonts w:hint="default"/>
                <w:lang w:val="en-US" w:eastAsia="zh-CN"/>
              </w:rPr>
              <w:t>Voting Rights Transferred</w:t>
            </w:r>
          </w:p>
        </w:tc>
        <w:tc>
          <w:tcPr>
            <w:tcW w:w="8581" w:type="dxa"/>
            <w:shd w:val="clear"/>
            <w:tcMar>
              <w:top w:w="150" w:type="dxa"/>
              <w:left w:w="240" w:type="dxa"/>
              <w:bottom w:w="150" w:type="dxa"/>
              <w:right w:w="0" w:type="dxa"/>
            </w:tcMar>
            <w:vAlign w:val="center"/>
          </w:tcPr>
          <w:p>
            <w:pPr>
              <w:rPr>
                <w:rFonts w:hint="default"/>
              </w:rPr>
            </w:pPr>
            <w:r>
              <w:rPr>
                <w:rFonts w:hint="default"/>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699" w:type="dxa"/>
            <w:shd w:val="clear"/>
            <w:tcMar>
              <w:top w:w="150" w:type="dxa"/>
              <w:left w:w="0" w:type="dxa"/>
              <w:bottom w:w="150" w:type="dxa"/>
              <w:right w:w="240" w:type="dxa"/>
            </w:tcMar>
            <w:vAlign w:val="center"/>
          </w:tcPr>
          <w:p>
            <w:pPr>
              <w:rPr>
                <w:rFonts w:hint="default"/>
              </w:rPr>
            </w:pPr>
            <w:r>
              <w:rPr>
                <w:rFonts w:hint="default"/>
                <w:lang w:val="en-US" w:eastAsia="zh-CN"/>
              </w:rPr>
              <w:t>Fund Voting of Vaulted Shares</w:t>
            </w:r>
          </w:p>
        </w:tc>
        <w:tc>
          <w:tcPr>
            <w:tcW w:w="8581" w:type="dxa"/>
            <w:shd w:val="clear"/>
            <w:tcMar>
              <w:top w:w="150" w:type="dxa"/>
              <w:left w:w="240" w:type="dxa"/>
              <w:bottom w:w="150" w:type="dxa"/>
              <w:right w:w="0" w:type="dxa"/>
            </w:tcMar>
            <w:vAlign w:val="center"/>
          </w:tcPr>
          <w:p>
            <w:pPr>
              <w:rPr>
                <w:rFonts w:hint="default"/>
              </w:rPr>
            </w:pPr>
            <w:r>
              <w:rPr>
                <w:rFonts w:hint="default"/>
                <w:lang w:val="en-US" w:eastAsia="zh-CN"/>
              </w:rPr>
              <w:t>The Fund does not exercise voting rights on behalf of vaulted shares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699" w:type="dxa"/>
            <w:shd w:val="clear"/>
            <w:tcMar>
              <w:top w:w="150" w:type="dxa"/>
              <w:left w:w="0" w:type="dxa"/>
              <w:bottom w:w="150" w:type="dxa"/>
              <w:right w:w="240" w:type="dxa"/>
            </w:tcMar>
            <w:vAlign w:val="center"/>
          </w:tcPr>
          <w:p>
            <w:pPr>
              <w:rPr>
                <w:rFonts w:hint="default"/>
              </w:rPr>
            </w:pPr>
            <w:r>
              <w:rPr>
                <w:rFonts w:hint="default"/>
                <w:lang w:val="en-US" w:eastAsia="zh-CN"/>
              </w:rPr>
              <w:t>Underlying Enterprise Governance</w:t>
            </w:r>
          </w:p>
        </w:tc>
        <w:tc>
          <w:tcPr>
            <w:tcW w:w="8581" w:type="dxa"/>
            <w:shd w:val="clear"/>
            <w:tcMar>
              <w:top w:w="150" w:type="dxa"/>
              <w:left w:w="240" w:type="dxa"/>
              <w:bottom w:w="150" w:type="dxa"/>
              <w:right w:w="0" w:type="dxa"/>
            </w:tcMar>
            <w:vAlign w:val="center"/>
          </w:tcPr>
          <w:p>
            <w:pPr>
              <w:rPr>
                <w:rFonts w:hint="default"/>
              </w:rPr>
            </w:pPr>
            <w:r>
              <w:rPr>
                <w:rFonts w:hint="default"/>
                <w:lang w:val="en-US" w:eastAsia="zh-CN"/>
              </w:rPr>
              <w:t>The enterprise operates under its own management structure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699" w:type="dxa"/>
            <w:shd w:val="clear"/>
            <w:tcMar>
              <w:top w:w="150" w:type="dxa"/>
              <w:left w:w="0" w:type="dxa"/>
              <w:bottom w:w="150" w:type="dxa"/>
              <w:right w:w="240" w:type="dxa"/>
            </w:tcMar>
            <w:vAlign w:val="center"/>
          </w:tcPr>
          <w:p>
            <w:pPr>
              <w:rPr>
                <w:rFonts w:hint="default"/>
              </w:rPr>
            </w:pPr>
            <w:r>
              <w:rPr>
                <w:rFonts w:hint="default"/>
                <w:lang w:val="en-US" w:eastAsia="zh-CN"/>
              </w:rPr>
              <w:t>Share Recovery</w:t>
            </w:r>
          </w:p>
        </w:tc>
        <w:tc>
          <w:tcPr>
            <w:tcW w:w="8581" w:type="dxa"/>
            <w:shd w:val="clear"/>
            <w:tcMar>
              <w:top w:w="150" w:type="dxa"/>
              <w:left w:w="240" w:type="dxa"/>
              <w:bottom w:w="150" w:type="dxa"/>
              <w:right w:w="0" w:type="dxa"/>
            </w:tcMar>
            <w:vAlign w:val="center"/>
          </w:tcPr>
          <w:p>
            <w:pPr>
              <w:rPr>
                <w:rFonts w:hint="default"/>
              </w:rPr>
            </w:pPr>
            <w:r>
              <w:rPr>
                <w:rFonts w:hint="default"/>
                <w:lang w:val="en-US" w:eastAsia="zh-CN"/>
              </w:rPr>
              <w:t>If a partner seeks to recover voting rights, it must repurchase the vaulted shares subject to applicable lock-up periods and Fund terms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699" w:type="dxa"/>
            <w:shd w:val="clear"/>
            <w:tcMar>
              <w:top w:w="150" w:type="dxa"/>
              <w:left w:w="0" w:type="dxa"/>
              <w:bottom w:w="150" w:type="dxa"/>
              <w:right w:w="240" w:type="dxa"/>
            </w:tcMar>
            <w:vAlign w:val="center"/>
          </w:tcPr>
          <w:p>
            <w:pPr>
              <w:rPr>
                <w:rFonts w:hint="default"/>
              </w:rPr>
            </w:pPr>
            <w:r>
              <w:rPr>
                <w:rFonts w:hint="default"/>
                <w:lang w:val="en-US" w:eastAsia="zh-CN"/>
              </w:rPr>
              <w:t>Asset Lock</w:t>
            </w:r>
          </w:p>
        </w:tc>
        <w:tc>
          <w:tcPr>
            <w:tcW w:w="8581" w:type="dxa"/>
            <w:shd w:val="clear"/>
            <w:tcMar>
              <w:top w:w="150" w:type="dxa"/>
              <w:left w:w="240" w:type="dxa"/>
              <w:bottom w:w="150" w:type="dxa"/>
              <w:right w:w="0" w:type="dxa"/>
            </w:tcMar>
            <w:vAlign w:val="center"/>
          </w:tcPr>
          <w:p>
            <w:pPr>
              <w:rPr>
                <w:rFonts w:hint="default"/>
              </w:rPr>
            </w:pPr>
            <w:r>
              <w:rPr>
                <w:rFonts w:hint="default"/>
                <w:lang w:val="en-US" w:eastAsia="zh-CN"/>
              </w:rPr>
              <w:t>Vaulted shares remain locked as collateral backing the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699" w:type="dxa"/>
            <w:shd w:val="clear"/>
            <w:tcMar>
              <w:top w:w="150" w:type="dxa"/>
              <w:left w:w="0" w:type="dxa"/>
              <w:bottom w:w="150" w:type="dxa"/>
              <w:right w:w="240" w:type="dxa"/>
            </w:tcMar>
            <w:vAlign w:val="center"/>
          </w:tcPr>
          <w:p>
            <w:pPr>
              <w:rPr>
                <w:rFonts w:hint="default"/>
              </w:rPr>
            </w:pPr>
            <w:r>
              <w:rPr>
                <w:rFonts w:hint="default"/>
                <w:lang w:val="en-US" w:eastAsia="zh-CN"/>
              </w:rPr>
              <w:t>Structural Effect</w:t>
            </w:r>
          </w:p>
        </w:tc>
        <w:tc>
          <w:tcPr>
            <w:tcW w:w="8581" w:type="dxa"/>
            <w:shd w:val="clear"/>
            <w:tcMar>
              <w:top w:w="150" w:type="dxa"/>
              <w:left w:w="240" w:type="dxa"/>
              <w:bottom w:w="150" w:type="dxa"/>
              <w:right w:w="0" w:type="dxa"/>
            </w:tcMar>
            <w:vAlign w:val="center"/>
          </w:tcPr>
          <w:p>
            <w:pPr>
              <w:rPr>
                <w:rFonts w:hint="default"/>
              </w:rPr>
            </w:pPr>
            <w:r>
              <w:rPr>
                <w:rFonts w:hint="default"/>
                <w:lang w:val="en-US" w:eastAsia="zh-CN"/>
              </w:rPr>
              <w:t>Absolute decoupling of downstream economic rights from upstream control rights</w:t>
            </w:r>
          </w:p>
        </w:tc>
      </w:tr>
    </w:tbl>
    <w:p>
      <w:r>
        <w:pict>
          <v:rect id="_x0000_i1083"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IX. NEUTRAL RESERVE</w:t>
      </w:r>
    </w:p>
    <w:p>
      <w:pPr>
        <w:rPr>
          <w:rFonts w:hint="default"/>
        </w:rPr>
      </w:pPr>
      <w:r>
        <w:rPr>
          <w:rFonts w:hint="default"/>
        </w:rPr>
        <w:t>9.1 Definition</w:t>
      </w:r>
    </w:p>
    <w:p>
      <w:r>
        <w:rPr>
          <w:rFonts w:hint="default"/>
        </w:rPr>
        <w:t xml:space="preserve">The </w:t>
      </w:r>
      <w:r>
        <w:rPr>
          <w:rFonts w:hint="default"/>
        </w:rPr>
        <w:t>Neutral Reserve</w:t>
      </w:r>
      <w:r>
        <w:rPr>
          <w:rFonts w:hint="default"/>
        </w:rPr>
        <w:t xml:space="preserve"> is a separate asset category for qualifying assets that do not form part of either:</w:t>
      </w:r>
    </w:p>
    <w:p/>
    <w:p>
      <w:r>
        <w:rPr>
          <w:rFonts w:hint="default"/>
        </w:rPr>
        <w:t>the 30% Jowih Core allocation; or</w:t>
      </w:r>
    </w:p>
    <w:p/>
    <w:p/>
    <w:p>
      <w:r>
        <w:rPr>
          <w:rFonts w:hint="default"/>
        </w:rPr>
        <w:t>the 70% Ecosystem Partner allocation.</w:t>
      </w:r>
    </w:p>
    <w:p/>
    <w:p>
      <w:r>
        <w:rPr>
          <w:rFonts w:hint="default"/>
        </w:rPr>
        <w:t>Land is the principal contemplated neutral asset.</w:t>
      </w:r>
    </w:p>
    <w:p>
      <w:r>
        <w:rPr>
          <w:rFonts w:hint="default"/>
        </w:rPr>
        <w:t>Other qualifying neutral assets may be admitted where permitted by the Fund's legal, regulatory and investment framework.</w:t>
      </w:r>
    </w:p>
    <w:p>
      <w:pPr>
        <w:rPr>
          <w:rFonts w:hint="default"/>
        </w:rPr>
      </w:pPr>
      <w:r>
        <w:rPr>
          <w:rFonts w:hint="default"/>
        </w:rPr>
        <w:t>9.2 What the Neutral Reserve Actually Is</w:t>
      </w:r>
    </w:p>
    <w:p>
      <w:r>
        <w:rPr>
          <w:rFonts w:hint="default"/>
        </w:rPr>
        <w:t xml:space="preserve">The Neutral Reserve is </w:t>
      </w:r>
      <w:r>
        <w:rPr>
          <w:rFonts w:hint="default"/>
        </w:rPr>
        <w:t>not</w:t>
      </w:r>
      <w:r>
        <w:rPr>
          <w:rFonts w:hint="default"/>
        </w:rPr>
        <w:t xml:space="preserve"> an outstanding unit pool.</w:t>
      </w:r>
    </w:p>
    <w:p>
      <w:r>
        <w:rPr>
          <w:rFonts w:hint="default"/>
        </w:rPr>
        <w:t xml:space="preserve">The Neutral Reserve is a </w:t>
      </w:r>
      <w:r>
        <w:rPr>
          <w:rFonts w:hint="default"/>
        </w:rPr>
        <w:t>percentage backing</w:t>
      </w:r>
      <w:r>
        <w:rPr>
          <w:rFonts w:hint="default"/>
        </w:rPr>
        <w:t xml:space="preserve"> that sits behind the NAV and supports the value of every unit.</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121"/>
        <w:gridCol w:w="61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512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When Neutral Assets Are Added</w:t>
            </w:r>
          </w:p>
        </w:tc>
        <w:tc>
          <w:tcPr>
            <w:tcW w:w="6159"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Effect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121" w:type="dxa"/>
            <w:shd w:val="clear"/>
            <w:tcMar>
              <w:top w:w="150" w:type="dxa"/>
              <w:left w:w="0" w:type="dxa"/>
              <w:bottom w:w="150" w:type="dxa"/>
              <w:right w:w="240" w:type="dxa"/>
            </w:tcMar>
            <w:vAlign w:val="center"/>
          </w:tcPr>
          <w:p>
            <w:pPr>
              <w:rPr>
                <w:rFonts w:hint="default"/>
              </w:rPr>
            </w:pPr>
            <w:r>
              <w:rPr>
                <w:rFonts w:hint="default"/>
                <w:lang w:val="en-US" w:eastAsia="zh-CN"/>
              </w:rPr>
              <w:t>New units minted?</w:t>
            </w:r>
          </w:p>
        </w:tc>
        <w:tc>
          <w:tcPr>
            <w:tcW w:w="6159" w:type="dxa"/>
            <w:shd w:val="clear"/>
            <w:tcMar>
              <w:top w:w="150" w:type="dxa"/>
              <w:left w:w="240" w:type="dxa"/>
              <w:bottom w:w="150" w:type="dxa"/>
              <w:right w:w="0" w:type="dxa"/>
            </w:tcMar>
            <w:vAlign w:val="center"/>
          </w:tcPr>
          <w:p>
            <w:pPr>
              <w:rPr>
                <w:rFonts w:hint="default"/>
              </w:rPr>
            </w:pPr>
            <w:r>
              <w:rPr>
                <w:rFonts w:hint="default"/>
                <w:lang w:val="en-US" w:eastAsia="zh-CN"/>
              </w:rPr>
              <w:t>No — unless Treasury is exhausted and forward pricing is required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121" w:type="dxa"/>
            <w:shd w:val="clear"/>
            <w:tcMar>
              <w:top w:w="150" w:type="dxa"/>
              <w:left w:w="0" w:type="dxa"/>
              <w:bottom w:w="150" w:type="dxa"/>
              <w:right w:w="240" w:type="dxa"/>
            </w:tcMar>
            <w:vAlign w:val="center"/>
          </w:tcPr>
          <w:p>
            <w:pPr>
              <w:rPr>
                <w:rFonts w:hint="default"/>
              </w:rPr>
            </w:pPr>
            <w:r>
              <w:rPr>
                <w:rFonts w:hint="default"/>
                <w:lang w:val="en-US" w:eastAsia="zh-CN"/>
              </w:rPr>
              <w:t>Outstanding units taken from the 30/70 circulating pool?</w:t>
            </w:r>
          </w:p>
        </w:tc>
        <w:tc>
          <w:tcPr>
            <w:tcW w:w="6159" w:type="dxa"/>
            <w:shd w:val="clear"/>
            <w:tcMar>
              <w:top w:w="150" w:type="dxa"/>
              <w:left w:w="240" w:type="dxa"/>
              <w:bottom w:w="150" w:type="dxa"/>
              <w:right w:w="0" w:type="dxa"/>
            </w:tcMar>
            <w:vAlign w:val="center"/>
          </w:tcPr>
          <w:p>
            <w:pPr>
              <w:rPr>
                <w:rFonts w:hint="default"/>
              </w:rPr>
            </w:pPr>
            <w:r>
              <w:rPr>
                <w:rFonts w:hint="default"/>
                <w:lang w:val="en-US" w:eastAsia="zh-CN"/>
              </w:rPr>
              <w:t>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121" w:type="dxa"/>
            <w:shd w:val="clear"/>
            <w:tcMar>
              <w:top w:w="150" w:type="dxa"/>
              <w:left w:w="0" w:type="dxa"/>
              <w:bottom w:w="150" w:type="dxa"/>
              <w:right w:w="240" w:type="dxa"/>
            </w:tcMar>
            <w:vAlign w:val="center"/>
          </w:tcPr>
          <w:p>
            <w:pPr>
              <w:rPr>
                <w:rFonts w:hint="default"/>
              </w:rPr>
            </w:pPr>
            <w:r>
              <w:rPr>
                <w:rFonts w:hint="default"/>
                <w:lang w:val="en-US" w:eastAsia="zh-CN"/>
              </w:rPr>
              <w:t>Dilution of any kind?</w:t>
            </w:r>
          </w:p>
        </w:tc>
        <w:tc>
          <w:tcPr>
            <w:tcW w:w="6159" w:type="dxa"/>
            <w:shd w:val="clear"/>
            <w:tcMar>
              <w:top w:w="150" w:type="dxa"/>
              <w:left w:w="240" w:type="dxa"/>
              <w:bottom w:w="150" w:type="dxa"/>
              <w:right w:w="0" w:type="dxa"/>
            </w:tcMar>
            <w:vAlign w:val="center"/>
          </w:tcPr>
          <w:p>
            <w:pPr>
              <w:rPr>
                <w:rFonts w:hint="default"/>
              </w:rPr>
            </w:pPr>
            <w:r>
              <w:rPr>
                <w:rFonts w:hint="default"/>
                <w:lang w:val="en-US" w:eastAsia="zh-CN"/>
              </w:rPr>
              <w:t>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121" w:type="dxa"/>
            <w:shd w:val="clear"/>
            <w:tcMar>
              <w:top w:w="150" w:type="dxa"/>
              <w:left w:w="0" w:type="dxa"/>
              <w:bottom w:w="150" w:type="dxa"/>
              <w:right w:w="240" w:type="dxa"/>
            </w:tcMar>
            <w:vAlign w:val="center"/>
          </w:tcPr>
          <w:p>
            <w:pPr>
              <w:rPr>
                <w:rFonts w:hint="default"/>
              </w:rPr>
            </w:pPr>
            <w:r>
              <w:rPr>
                <w:rFonts w:hint="default"/>
                <w:lang w:val="en-US" w:eastAsia="zh-CN"/>
              </w:rPr>
              <w:t>NAV increases?</w:t>
            </w:r>
          </w:p>
        </w:tc>
        <w:tc>
          <w:tcPr>
            <w:tcW w:w="6159" w:type="dxa"/>
            <w:shd w:val="clear"/>
            <w:tcMar>
              <w:top w:w="150" w:type="dxa"/>
              <w:left w:w="240" w:type="dxa"/>
              <w:bottom w:w="150" w:type="dxa"/>
              <w:right w:w="0" w:type="dxa"/>
            </w:tcMar>
            <w:vAlign w:val="center"/>
          </w:tcPr>
          <w:p>
            <w:pPr>
              <w:rPr>
                <w:rFonts w:hint="default"/>
              </w:rPr>
            </w:pPr>
            <w:r>
              <w:rPr>
                <w:rFonts w:hint="default"/>
                <w:lang w:val="en-US" w:eastAsia="zh-CN"/>
              </w:rPr>
              <w:t>Yes — by the value of the neutral asset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121" w:type="dxa"/>
            <w:shd w:val="clear"/>
            <w:tcMar>
              <w:top w:w="150" w:type="dxa"/>
              <w:left w:w="0" w:type="dxa"/>
              <w:bottom w:w="150" w:type="dxa"/>
              <w:right w:w="240" w:type="dxa"/>
            </w:tcMar>
            <w:vAlign w:val="center"/>
          </w:tcPr>
          <w:p>
            <w:pPr>
              <w:rPr>
                <w:rFonts w:hint="default"/>
              </w:rPr>
            </w:pPr>
            <w:r>
              <w:rPr>
                <w:rFonts w:hint="default"/>
                <w:lang w:val="en-US" w:eastAsia="zh-CN"/>
              </w:rPr>
              <w:t>NAV per unit increases?</w:t>
            </w:r>
          </w:p>
        </w:tc>
        <w:tc>
          <w:tcPr>
            <w:tcW w:w="6159" w:type="dxa"/>
            <w:shd w:val="clear"/>
            <w:tcMar>
              <w:top w:w="150" w:type="dxa"/>
              <w:left w:w="240" w:type="dxa"/>
              <w:bottom w:w="150" w:type="dxa"/>
              <w:right w:w="0" w:type="dxa"/>
            </w:tcMar>
            <w:vAlign w:val="center"/>
          </w:tcPr>
          <w:p>
            <w:pPr>
              <w:rPr>
                <w:rFonts w:hint="default"/>
              </w:rPr>
            </w:pPr>
            <w:r>
              <w:rPr>
                <w:rFonts w:hint="default"/>
                <w:lang w:val="en-US" w:eastAsia="zh-CN"/>
              </w:rPr>
              <w:t>Yes — because units outstanding remains the same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121" w:type="dxa"/>
            <w:shd w:val="clear"/>
            <w:tcMar>
              <w:top w:w="150" w:type="dxa"/>
              <w:left w:w="0" w:type="dxa"/>
              <w:bottom w:w="150" w:type="dxa"/>
              <w:right w:w="240" w:type="dxa"/>
            </w:tcMar>
            <w:vAlign w:val="center"/>
          </w:tcPr>
          <w:p>
            <w:pPr>
              <w:rPr>
                <w:rFonts w:hint="default"/>
              </w:rPr>
            </w:pPr>
            <w:r>
              <w:rPr>
                <w:rFonts w:hint="default"/>
                <w:lang w:val="en-US" w:eastAsia="zh-CN"/>
              </w:rPr>
              <w:t>Unit holders' units appreciate?</w:t>
            </w:r>
          </w:p>
        </w:tc>
        <w:tc>
          <w:tcPr>
            <w:tcW w:w="6159" w:type="dxa"/>
            <w:shd w:val="clear"/>
            <w:tcMar>
              <w:top w:w="150" w:type="dxa"/>
              <w:left w:w="240" w:type="dxa"/>
              <w:bottom w:w="150" w:type="dxa"/>
              <w:right w:w="0" w:type="dxa"/>
            </w:tcMar>
            <w:vAlign w:val="center"/>
          </w:tcPr>
          <w:p>
            <w:pPr>
              <w:rPr>
                <w:rFonts w:hint="default"/>
              </w:rPr>
            </w:pPr>
            <w:r>
              <w:rPr>
                <w:rFonts w:hint="default"/>
                <w:lang w:val="en-US" w:eastAsia="zh-CN"/>
              </w:rPr>
              <w:t>Yes</w:t>
            </w:r>
          </w:p>
        </w:tc>
      </w:tr>
    </w:tbl>
    <w:p>
      <w:r>
        <w:rPr>
          <w:rFonts w:hint="default"/>
        </w:rPr>
        <w:t xml:space="preserve">The Neutral Reserve is therefore an </w:t>
      </w:r>
      <w:r>
        <w:rPr>
          <w:rFonts w:hint="default"/>
        </w:rPr>
        <w:t>appreciation mechanism</w:t>
      </w:r>
      <w:r>
        <w:rPr>
          <w:rFonts w:hint="default"/>
        </w:rPr>
        <w:t>, not a dilutive mechanism.</w:t>
      </w:r>
    </w:p>
    <w:p>
      <w:pPr>
        <w:rPr>
          <w:rFonts w:hint="default"/>
        </w:rPr>
      </w:pPr>
      <w:r>
        <w:rPr>
          <w:rFonts w:hint="default"/>
        </w:rPr>
        <w:t>9.3 How Neutral Assets Are Admitted</w:t>
      </w:r>
    </w:p>
    <w:p>
      <w:r>
        <w:rPr>
          <w:rFonts w:hint="default"/>
        </w:rPr>
        <w:t>Neutral assets may be admitted through two pathways:</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612"/>
        <w:gridCol w:w="3193"/>
        <w:gridCol w:w="64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1612"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Pathway</w:t>
            </w:r>
          </w:p>
        </w:tc>
        <w:tc>
          <w:tcPr>
            <w:tcW w:w="3193"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When Used</w:t>
            </w:r>
          </w:p>
        </w:tc>
        <w:tc>
          <w:tcPr>
            <w:tcW w:w="6474"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Mechanism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612" w:type="dxa"/>
            <w:shd w:val="clear"/>
            <w:tcMar>
              <w:top w:w="150" w:type="dxa"/>
              <w:left w:w="0" w:type="dxa"/>
              <w:bottom w:w="150" w:type="dxa"/>
              <w:right w:w="240" w:type="dxa"/>
            </w:tcMar>
            <w:vAlign w:val="center"/>
          </w:tcPr>
          <w:p>
            <w:pPr>
              <w:rPr>
                <w:rFonts w:hint="default"/>
              </w:rPr>
            </w:pPr>
            <w:r>
              <w:rPr>
                <w:rFonts w:hint="default"/>
                <w:lang w:val="en-US" w:eastAsia="zh-CN"/>
              </w:rPr>
              <w:t>Treasury Phase</w:t>
            </w:r>
          </w:p>
        </w:tc>
        <w:tc>
          <w:tcPr>
            <w:tcW w:w="3193" w:type="dxa"/>
            <w:shd w:val="clear"/>
            <w:tcMar>
              <w:top w:w="150" w:type="dxa"/>
              <w:left w:w="240" w:type="dxa"/>
              <w:bottom w:w="150" w:type="dxa"/>
              <w:right w:w="240" w:type="dxa"/>
            </w:tcMar>
            <w:vAlign w:val="center"/>
          </w:tcPr>
          <w:p>
            <w:pPr>
              <w:rPr>
                <w:rFonts w:hint="default"/>
              </w:rPr>
            </w:pPr>
            <w:r>
              <w:rPr>
                <w:rFonts w:hint="default"/>
                <w:lang w:val="en-US" w:eastAsia="zh-CN"/>
              </w:rPr>
              <w:t>While authorized but unissued Treasury capacity exists</w:t>
            </w:r>
          </w:p>
        </w:tc>
        <w:tc>
          <w:tcPr>
            <w:tcW w:w="6474" w:type="dxa"/>
            <w:shd w:val="clear"/>
            <w:tcMar>
              <w:top w:w="150" w:type="dxa"/>
              <w:left w:w="240" w:type="dxa"/>
              <w:bottom w:w="150" w:type="dxa"/>
              <w:right w:w="0" w:type="dxa"/>
            </w:tcMar>
            <w:vAlign w:val="center"/>
          </w:tcPr>
          <w:p>
            <w:pPr>
              <w:rPr>
                <w:rFonts w:hint="default"/>
              </w:rPr>
            </w:pPr>
            <w:r>
              <w:rPr>
                <w:rFonts w:hint="default"/>
                <w:lang w:val="en-US" w:eastAsia="zh-CN"/>
              </w:rPr>
              <w:t>Units are drawn from the Treasury/unsold pool. No new minting.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612" w:type="dxa"/>
            <w:shd w:val="clear"/>
            <w:tcMar>
              <w:top w:w="150" w:type="dxa"/>
              <w:left w:w="0" w:type="dxa"/>
              <w:bottom w:w="150" w:type="dxa"/>
              <w:right w:w="240" w:type="dxa"/>
            </w:tcMar>
            <w:vAlign w:val="center"/>
          </w:tcPr>
          <w:p>
            <w:pPr>
              <w:rPr>
                <w:rFonts w:hint="default"/>
              </w:rPr>
            </w:pPr>
            <w:r>
              <w:rPr>
                <w:rFonts w:hint="default"/>
                <w:lang w:val="en-US" w:eastAsia="zh-CN"/>
              </w:rPr>
              <w:t>Forward Pricing Phase</w:t>
            </w:r>
          </w:p>
        </w:tc>
        <w:tc>
          <w:tcPr>
            <w:tcW w:w="3193" w:type="dxa"/>
            <w:shd w:val="clear"/>
            <w:tcMar>
              <w:top w:w="150" w:type="dxa"/>
              <w:left w:w="240" w:type="dxa"/>
              <w:bottom w:w="150" w:type="dxa"/>
              <w:right w:w="240" w:type="dxa"/>
            </w:tcMar>
            <w:vAlign w:val="center"/>
          </w:tcPr>
          <w:p>
            <w:pPr>
              <w:rPr>
                <w:rFonts w:hint="default"/>
              </w:rPr>
            </w:pPr>
            <w:r>
              <w:rPr>
                <w:rFonts w:hint="default"/>
                <w:lang w:val="en-US" w:eastAsia="zh-CN"/>
              </w:rPr>
              <w:t>Once Treasury capacity is exhausted</w:t>
            </w:r>
          </w:p>
        </w:tc>
        <w:tc>
          <w:tcPr>
            <w:tcW w:w="6474" w:type="dxa"/>
            <w:shd w:val="clear"/>
            <w:tcMar>
              <w:top w:w="150" w:type="dxa"/>
              <w:left w:w="240" w:type="dxa"/>
              <w:bottom w:w="150" w:type="dxa"/>
              <w:right w:w="0" w:type="dxa"/>
            </w:tcMar>
            <w:vAlign w:val="center"/>
          </w:tcPr>
          <w:p>
            <w:pPr>
              <w:rPr>
                <w:rFonts w:hint="default"/>
              </w:rPr>
            </w:pPr>
            <w:r>
              <w:rPr>
                <w:rFonts w:hint="default"/>
                <w:lang w:val="en-US" w:eastAsia="zh-CN"/>
              </w:rPr>
              <w:t>New units are minted at the current NAV per unit for the value of the land. The land is exchanged for units at the current market price.</w:t>
            </w:r>
          </w:p>
        </w:tc>
      </w:tr>
    </w:tbl>
    <w:p>
      <w:pPr>
        <w:rPr>
          <w:rFonts w:hint="default"/>
        </w:rPr>
      </w:pPr>
      <w:r>
        <w:rPr>
          <w:rFonts w:hint="default"/>
        </w:rPr>
        <w:t>Forward Pricing for Neutral Assets</w:t>
      </w:r>
    </w:p>
    <w:p>
      <w:r>
        <w:rPr>
          <w:rFonts w:hint="default"/>
        </w:rPr>
        <w:t>Once Treasury is exhausted, land contributed to the Neutral Reserve is exchanged for units at the current NAV per unit:</w:t>
      </w:r>
    </w:p>
    <w:p>
      <w:r>
        <w:rPr>
          <w:rFonts w:hint="eastAsia"/>
        </w:rPr>
        <w:t>New Units Minted = Value of Neutral Asset ÷ Current NAV per Unit</w:t>
      </w:r>
    </w:p>
    <w:p>
      <w:r>
        <w:rPr>
          <w:rFonts w:hint="default"/>
        </w:rPr>
        <w:t>This is the same forward pricing mechanism used for new capital raises. The land is treated as capital contributed in kind. The contributor receives units at the current NAV per unit. No dilution in value. The NAV increases by the value of the land. Units outstanding increases by the new units minted. NAV per unit remains the same.</w:t>
      </w:r>
    </w:p>
    <w:p>
      <w:pPr>
        <w:rPr>
          <w:rFonts w:hint="default"/>
        </w:rPr>
      </w:pPr>
      <w:r>
        <w:rPr>
          <w:rFonts w:hint="default"/>
        </w:rPr>
        <w:t>9.4 Why the Neutral Reserve Exists</w:t>
      </w:r>
    </w:p>
    <w:p>
      <w:r>
        <w:rPr>
          <w:rFonts w:hint="default"/>
        </w:rPr>
        <w:t>The Neutral Reserve exists because qualifying neutral assets—principally land—may be contributed to the Fund instead of cash.</w:t>
      </w:r>
    </w:p>
    <w:p>
      <w:r>
        <w:rPr>
          <w:rFonts w:hint="default"/>
        </w:rPr>
        <w:t>The Foundation is the primary contributor of land, because the Foundation is the primary driver of continental development.</w:t>
      </w:r>
    </w:p>
    <w:p>
      <w:r>
        <w:rPr>
          <w:rFonts w:hint="default"/>
        </w:rPr>
        <w:t>When land is contributed:</w:t>
      </w:r>
    </w:p>
    <w:p/>
    <w:p>
      <w:r>
        <w:rPr>
          <w:rFonts w:hint="default"/>
        </w:rPr>
        <w:t>The land backs every unit.</w:t>
      </w:r>
    </w:p>
    <w:p/>
    <w:p/>
    <w:p>
      <w:r>
        <w:rPr>
          <w:rFonts w:hint="default"/>
        </w:rPr>
        <w:t>NAV increases.</w:t>
      </w:r>
    </w:p>
    <w:p/>
    <w:p/>
    <w:p>
      <w:r>
        <w:rPr>
          <w:rFonts w:hint="default"/>
        </w:rPr>
        <w:t>NAV per unit increases.</w:t>
      </w:r>
    </w:p>
    <w:p/>
    <w:p/>
    <w:p>
      <w:r>
        <w:rPr>
          <w:rFonts w:hint="default"/>
        </w:rPr>
        <w:t>Every unit holder benefits.</w:t>
      </w:r>
    </w:p>
    <w:p/>
    <w:p>
      <w:pPr>
        <w:rPr>
          <w:rFonts w:hint="default"/>
        </w:rPr>
      </w:pPr>
      <w:r>
        <w:rPr>
          <w:rFonts w:hint="default"/>
        </w:rPr>
        <w:t>9.5 Neutral Reserve Framework</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413"/>
        <w:gridCol w:w="88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413"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Rule</w:t>
            </w:r>
          </w:p>
        </w:tc>
        <w:tc>
          <w:tcPr>
            <w:tcW w:w="8867"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Base 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13" w:type="dxa"/>
            <w:shd w:val="clear"/>
            <w:tcMar>
              <w:top w:w="150" w:type="dxa"/>
              <w:left w:w="0" w:type="dxa"/>
              <w:bottom w:w="150" w:type="dxa"/>
              <w:right w:w="240" w:type="dxa"/>
            </w:tcMar>
            <w:vAlign w:val="center"/>
          </w:tcPr>
          <w:p>
            <w:pPr>
              <w:rPr>
                <w:rFonts w:hint="default"/>
              </w:rPr>
            </w:pPr>
            <w:r>
              <w:rPr>
                <w:rFonts w:hint="default"/>
                <w:lang w:val="en-US" w:eastAsia="zh-CN"/>
              </w:rPr>
              <w:t>Position</w:t>
            </w:r>
          </w:p>
        </w:tc>
        <w:tc>
          <w:tcPr>
            <w:tcW w:w="8867" w:type="dxa"/>
            <w:shd w:val="clear"/>
            <w:tcMar>
              <w:top w:w="150" w:type="dxa"/>
              <w:left w:w="240" w:type="dxa"/>
              <w:bottom w:w="150" w:type="dxa"/>
              <w:right w:w="0" w:type="dxa"/>
            </w:tcMar>
            <w:vAlign w:val="center"/>
          </w:tcPr>
          <w:p>
            <w:pPr>
              <w:rPr>
                <w:rFonts w:hint="default"/>
              </w:rPr>
            </w:pPr>
            <w:r>
              <w:rPr>
                <w:rFonts w:hint="default"/>
                <w:lang w:val="en-US" w:eastAsia="zh-CN"/>
              </w:rPr>
              <w:t>Outside the 30% Core / 70% Partner allocation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13" w:type="dxa"/>
            <w:shd w:val="clear"/>
            <w:tcMar>
              <w:top w:w="150" w:type="dxa"/>
              <w:left w:w="0" w:type="dxa"/>
              <w:bottom w:w="150" w:type="dxa"/>
              <w:right w:w="240" w:type="dxa"/>
            </w:tcMar>
            <w:vAlign w:val="center"/>
          </w:tcPr>
          <w:p>
            <w:pPr>
              <w:rPr>
                <w:rFonts w:hint="default"/>
              </w:rPr>
            </w:pPr>
            <w:r>
              <w:rPr>
                <w:rFonts w:hint="default"/>
                <w:lang w:val="en-US" w:eastAsia="zh-CN"/>
              </w:rPr>
              <w:t>Economic Function</w:t>
            </w:r>
          </w:p>
        </w:tc>
        <w:tc>
          <w:tcPr>
            <w:tcW w:w="8867" w:type="dxa"/>
            <w:shd w:val="clear"/>
            <w:tcMar>
              <w:top w:w="150" w:type="dxa"/>
              <w:left w:w="240" w:type="dxa"/>
              <w:bottom w:w="150" w:type="dxa"/>
              <w:right w:w="0" w:type="dxa"/>
            </w:tcMar>
            <w:vAlign w:val="center"/>
          </w:tcPr>
          <w:p>
            <w:pPr>
              <w:rPr>
                <w:rFonts w:hint="default"/>
              </w:rPr>
            </w:pPr>
            <w:r>
              <w:rPr>
                <w:rFonts w:hint="default"/>
                <w:lang w:val="en-US" w:eastAsia="zh-CN"/>
              </w:rPr>
              <w:t>Provides qualifying asset backing for the Fund as a whole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13" w:type="dxa"/>
            <w:shd w:val="clear"/>
            <w:tcMar>
              <w:top w:w="150" w:type="dxa"/>
              <w:left w:w="0" w:type="dxa"/>
              <w:bottom w:w="150" w:type="dxa"/>
              <w:right w:w="240" w:type="dxa"/>
            </w:tcMar>
            <w:vAlign w:val="center"/>
          </w:tcPr>
          <w:p>
            <w:pPr>
              <w:rPr>
                <w:rFonts w:hint="default"/>
              </w:rPr>
            </w:pPr>
            <w:r>
              <w:rPr>
                <w:rFonts w:hint="default"/>
                <w:lang w:val="en-US" w:eastAsia="zh-CN"/>
              </w:rPr>
              <w:t>Base Reserve Cap</w:t>
            </w:r>
          </w:p>
        </w:tc>
        <w:tc>
          <w:tcPr>
            <w:tcW w:w="8867" w:type="dxa"/>
            <w:shd w:val="clear"/>
            <w:tcMar>
              <w:top w:w="150" w:type="dxa"/>
              <w:left w:w="240" w:type="dxa"/>
              <w:bottom w:w="150" w:type="dxa"/>
              <w:right w:w="0" w:type="dxa"/>
            </w:tcMar>
            <w:vAlign w:val="center"/>
          </w:tcPr>
          <w:p>
            <w:pPr>
              <w:rPr>
                <w:rFonts w:hint="default"/>
              </w:rPr>
            </w:pPr>
            <w:r>
              <w:rPr>
                <w:rFonts w:hint="default"/>
                <w:lang w:val="en-US" w:eastAsia="zh-CN"/>
              </w:rPr>
              <w:t>10% of total Fund NAV</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13" w:type="dxa"/>
            <w:shd w:val="clear"/>
            <w:tcMar>
              <w:top w:w="150" w:type="dxa"/>
              <w:left w:w="0" w:type="dxa"/>
              <w:bottom w:w="150" w:type="dxa"/>
              <w:right w:w="240" w:type="dxa"/>
            </w:tcMar>
            <w:vAlign w:val="center"/>
          </w:tcPr>
          <w:p>
            <w:pPr>
              <w:rPr>
                <w:rFonts w:hint="default"/>
              </w:rPr>
            </w:pPr>
            <w:r>
              <w:rPr>
                <w:rFonts w:hint="default"/>
                <w:lang w:val="en-US" w:eastAsia="zh-CN"/>
              </w:rPr>
              <w:t>Treasury-Phase Treatment</w:t>
            </w:r>
          </w:p>
        </w:tc>
        <w:tc>
          <w:tcPr>
            <w:tcW w:w="8867" w:type="dxa"/>
            <w:shd w:val="clear"/>
            <w:tcMar>
              <w:top w:w="150" w:type="dxa"/>
              <w:left w:w="240" w:type="dxa"/>
              <w:bottom w:w="150" w:type="dxa"/>
              <w:right w:w="0" w:type="dxa"/>
            </w:tcMar>
            <w:vAlign w:val="center"/>
          </w:tcPr>
          <w:p>
            <w:pPr>
              <w:rPr>
                <w:rFonts w:hint="default"/>
              </w:rPr>
            </w:pPr>
            <w:r>
              <w:rPr>
                <w:rFonts w:hint="default"/>
                <w:lang w:val="en-US" w:eastAsia="zh-CN"/>
              </w:rPr>
              <w:t>Qualifying neutral assets may be accommodated using existing unissued Treasury capacity where permitted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13" w:type="dxa"/>
            <w:shd w:val="clear"/>
            <w:tcMar>
              <w:top w:w="150" w:type="dxa"/>
              <w:left w:w="0" w:type="dxa"/>
              <w:bottom w:w="150" w:type="dxa"/>
              <w:right w:w="240" w:type="dxa"/>
            </w:tcMar>
            <w:vAlign w:val="center"/>
          </w:tcPr>
          <w:p>
            <w:pPr>
              <w:rPr>
                <w:rFonts w:hint="default"/>
              </w:rPr>
            </w:pPr>
            <w:r>
              <w:rPr>
                <w:rFonts w:hint="default"/>
                <w:lang w:val="en-US" w:eastAsia="zh-CN"/>
              </w:rPr>
              <w:t>Post-Treasury Treatment</w:t>
            </w:r>
          </w:p>
        </w:tc>
        <w:tc>
          <w:tcPr>
            <w:tcW w:w="8867" w:type="dxa"/>
            <w:shd w:val="clear"/>
            <w:tcMar>
              <w:top w:w="150" w:type="dxa"/>
              <w:left w:w="240" w:type="dxa"/>
              <w:bottom w:w="150" w:type="dxa"/>
              <w:right w:w="0" w:type="dxa"/>
            </w:tcMar>
            <w:vAlign w:val="center"/>
          </w:tcPr>
          <w:p>
            <w:pPr>
              <w:rPr>
                <w:rFonts w:hint="default"/>
              </w:rPr>
            </w:pPr>
            <w:r>
              <w:rPr>
                <w:rFonts w:hint="default"/>
                <w:lang w:val="en-US" w:eastAsia="zh-CN"/>
              </w:rPr>
              <w:t>New neutral-asset additions are accommodated using forward pricing: New Units Minted = Value of Neutral Asset ÷ Current NAV per Unit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13" w:type="dxa"/>
            <w:shd w:val="clear"/>
            <w:tcMar>
              <w:top w:w="150" w:type="dxa"/>
              <w:left w:w="0" w:type="dxa"/>
              <w:bottom w:w="150" w:type="dxa"/>
              <w:right w:w="240" w:type="dxa"/>
            </w:tcMar>
            <w:vAlign w:val="center"/>
          </w:tcPr>
          <w:p>
            <w:pPr>
              <w:rPr>
                <w:rFonts w:hint="default"/>
              </w:rPr>
            </w:pPr>
            <w:r>
              <w:rPr>
                <w:rFonts w:hint="default"/>
                <w:lang w:val="en-US" w:eastAsia="zh-CN"/>
              </w:rPr>
              <w:t>Dilution</w:t>
            </w:r>
          </w:p>
        </w:tc>
        <w:tc>
          <w:tcPr>
            <w:tcW w:w="8867" w:type="dxa"/>
            <w:shd w:val="clear"/>
            <w:tcMar>
              <w:top w:w="150" w:type="dxa"/>
              <w:left w:w="240" w:type="dxa"/>
              <w:bottom w:w="150" w:type="dxa"/>
              <w:right w:w="0" w:type="dxa"/>
            </w:tcMar>
            <w:vAlign w:val="center"/>
          </w:tcPr>
          <w:p>
            <w:pPr>
              <w:rPr>
                <w:rFonts w:hint="default"/>
              </w:rPr>
            </w:pPr>
            <w:r>
              <w:rPr>
                <w:rFonts w:hint="default"/>
                <w:lang w:val="en-US" w:eastAsia="zh-CN"/>
              </w:rPr>
              <w:t>No dilution in value occurs.</w:t>
            </w:r>
            <w:r>
              <w:rPr>
                <w:rFonts w:hint="default"/>
                <w:lang w:val="en-US" w:eastAsia="zh-CN"/>
              </w:rPr>
              <w:t xml:space="preserve"> The reserve adds to NAV. NAV per unit is preserved.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13" w:type="dxa"/>
            <w:shd w:val="clear"/>
            <w:tcMar>
              <w:top w:w="150" w:type="dxa"/>
              <w:left w:w="0" w:type="dxa"/>
              <w:bottom w:w="150" w:type="dxa"/>
              <w:right w:w="240" w:type="dxa"/>
            </w:tcMar>
            <w:vAlign w:val="center"/>
          </w:tcPr>
          <w:p>
            <w:pPr>
              <w:rPr>
                <w:rFonts w:hint="default"/>
              </w:rPr>
            </w:pPr>
            <w:r>
              <w:rPr>
                <w:rFonts w:hint="default"/>
                <w:lang w:val="en-US" w:eastAsia="zh-CN"/>
              </w:rPr>
              <w:t>Core/Partner Protection</w:t>
            </w:r>
          </w:p>
        </w:tc>
        <w:tc>
          <w:tcPr>
            <w:tcW w:w="8867" w:type="dxa"/>
            <w:shd w:val="clear"/>
            <w:tcMar>
              <w:top w:w="150" w:type="dxa"/>
              <w:left w:w="240" w:type="dxa"/>
              <w:bottom w:w="150" w:type="dxa"/>
              <w:right w:w="0" w:type="dxa"/>
            </w:tcMar>
            <w:vAlign w:val="center"/>
          </w:tcPr>
          <w:p>
            <w:pPr>
              <w:rPr>
                <w:rFonts w:hint="default"/>
              </w:rPr>
            </w:pPr>
            <w:r>
              <w:rPr>
                <w:rFonts w:hint="default"/>
                <w:lang w:val="en-US" w:eastAsia="zh-CN"/>
              </w:rPr>
              <w:t>The 30/70 commercial allocation remains structurally distinct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13" w:type="dxa"/>
            <w:shd w:val="clear"/>
            <w:tcMar>
              <w:top w:w="150" w:type="dxa"/>
              <w:left w:w="0" w:type="dxa"/>
              <w:bottom w:w="150" w:type="dxa"/>
              <w:right w:w="240" w:type="dxa"/>
            </w:tcMar>
            <w:vAlign w:val="center"/>
          </w:tcPr>
          <w:p>
            <w:pPr>
              <w:rPr>
                <w:rFonts w:hint="default"/>
              </w:rPr>
            </w:pPr>
            <w:r>
              <w:rPr>
                <w:rFonts w:hint="default"/>
                <w:lang w:val="en-US" w:eastAsia="zh-CN"/>
              </w:rPr>
              <w:t>Governance Effect</w:t>
            </w:r>
          </w:p>
        </w:tc>
        <w:tc>
          <w:tcPr>
            <w:tcW w:w="8867" w:type="dxa"/>
            <w:shd w:val="clear"/>
            <w:tcMar>
              <w:top w:w="150" w:type="dxa"/>
              <w:left w:w="240" w:type="dxa"/>
              <w:bottom w:w="150" w:type="dxa"/>
              <w:right w:w="0" w:type="dxa"/>
            </w:tcMar>
            <w:vAlign w:val="center"/>
          </w:tcPr>
          <w:p>
            <w:pPr>
              <w:rPr>
                <w:rFonts w:hint="default"/>
              </w:rPr>
            </w:pPr>
            <w:r>
              <w:rPr>
                <w:rFonts w:hint="default"/>
                <w:lang w:val="en-US" w:eastAsia="zh-CN"/>
              </w:rPr>
              <w:t>Neutral asset participation does not create Foundation governance rights</w:t>
            </w:r>
          </w:p>
        </w:tc>
      </w:tr>
    </w:tbl>
    <w:p>
      <w:pPr>
        <w:rPr>
          <w:rFonts w:hint="default"/>
        </w:rPr>
      </w:pPr>
      <w:r>
        <w:rPr>
          <w:rFonts w:hint="default"/>
        </w:rPr>
        <w:t>9.6 Neutral Reserve vs. Land Acquisition &amp; Settlement Facility</w:t>
      </w:r>
    </w:p>
    <w:p>
      <w:r>
        <w:rPr>
          <w:rFonts w:hint="default"/>
        </w:rPr>
        <w:t>These are two separate mechanisms.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001"/>
        <w:gridCol w:w="82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300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Mechanism</w:t>
            </w:r>
          </w:p>
        </w:tc>
        <w:tc>
          <w:tcPr>
            <w:tcW w:w="8279"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Core Question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001" w:type="dxa"/>
            <w:shd w:val="clear"/>
            <w:tcMar>
              <w:top w:w="150" w:type="dxa"/>
              <w:left w:w="0" w:type="dxa"/>
              <w:bottom w:w="150" w:type="dxa"/>
              <w:right w:w="240" w:type="dxa"/>
            </w:tcMar>
            <w:vAlign w:val="center"/>
          </w:tcPr>
          <w:p>
            <w:pPr>
              <w:rPr>
                <w:rFonts w:hint="default"/>
              </w:rPr>
            </w:pPr>
            <w:r>
              <w:rPr>
                <w:rFonts w:hint="default"/>
                <w:lang w:val="en-US" w:eastAsia="zh-CN"/>
              </w:rPr>
              <w:t>Neutral Reserve</w:t>
            </w:r>
          </w:p>
        </w:tc>
        <w:tc>
          <w:tcPr>
            <w:tcW w:w="8279" w:type="dxa"/>
            <w:shd w:val="clear"/>
            <w:tcMar>
              <w:top w:w="150" w:type="dxa"/>
              <w:left w:w="240" w:type="dxa"/>
              <w:bottom w:w="150" w:type="dxa"/>
              <w:right w:w="0" w:type="dxa"/>
            </w:tcMar>
            <w:vAlign w:val="center"/>
          </w:tcPr>
          <w:p>
            <w:pPr>
              <w:rPr>
                <w:rFonts w:hint="default"/>
              </w:rPr>
            </w:pPr>
            <w:r>
              <w:rPr>
                <w:rFonts w:hint="default"/>
                <w:lang w:val="en-US" w:eastAsia="zh-CN"/>
              </w:rPr>
              <w:t>How does qualifying land function as an asset within the Fund?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3001" w:type="dxa"/>
            <w:shd w:val="clear"/>
            <w:tcMar>
              <w:top w:w="150" w:type="dxa"/>
              <w:left w:w="0" w:type="dxa"/>
              <w:bottom w:w="150" w:type="dxa"/>
              <w:right w:w="240" w:type="dxa"/>
            </w:tcMar>
            <w:vAlign w:val="center"/>
          </w:tcPr>
          <w:p>
            <w:pPr>
              <w:rPr>
                <w:rFonts w:hint="default"/>
              </w:rPr>
            </w:pPr>
            <w:r>
              <w:rPr>
                <w:rFonts w:hint="default"/>
                <w:lang w:val="en-US" w:eastAsia="zh-CN"/>
              </w:rPr>
              <w:t>Land Acquisition &amp; Settlement Facility</w:t>
            </w:r>
          </w:p>
        </w:tc>
        <w:tc>
          <w:tcPr>
            <w:tcW w:w="8279" w:type="dxa"/>
            <w:shd w:val="clear"/>
            <w:tcMar>
              <w:top w:w="150" w:type="dxa"/>
              <w:left w:w="240" w:type="dxa"/>
              <w:bottom w:w="150" w:type="dxa"/>
              <w:right w:w="0" w:type="dxa"/>
            </w:tcMar>
            <w:vAlign w:val="center"/>
          </w:tcPr>
          <w:p>
            <w:pPr>
              <w:rPr>
                <w:rFonts w:hint="default"/>
              </w:rPr>
            </w:pPr>
            <w:r>
              <w:rPr>
                <w:rFonts w:hint="default"/>
                <w:lang w:val="en-US" w:eastAsia="zh-CN"/>
              </w:rPr>
              <w:t>How may Fund Units form part of the consideration used to acquire land required for a qualifying development project?</w:t>
            </w:r>
          </w:p>
        </w:tc>
      </w:tr>
    </w:tbl>
    <w:p>
      <w:r>
        <w:rPr>
          <w:rFonts w:hint="default"/>
        </w:rPr>
        <w:t>A single transaction may involve either mechanism independently or both mechanisms simultaneously, depending on its legal and economic structure.</w:t>
      </w:r>
    </w:p>
    <w:p>
      <w:pPr>
        <w:rPr>
          <w:rFonts w:hint="default"/>
        </w:rPr>
      </w:pPr>
      <w:r>
        <w:rPr>
          <w:rFonts w:hint="default"/>
        </w:rPr>
        <w:t>9.7 The Land Appreciation Engine</w:t>
      </w:r>
    </w:p>
    <w:p>
      <w:r>
        <w:rPr>
          <w:rFonts w:hint="default"/>
        </w:rPr>
        <w:t>Land in the Neutral Reserve is not static.</w:t>
      </w:r>
    </w:p>
    <w:p>
      <w:r>
        <w:rPr>
          <w:rFonts w:hint="default"/>
        </w:rPr>
        <w:t>Land appreciates when development happens around it.</w:t>
      </w:r>
    </w:p>
    <w:p>
      <w:r>
        <w:rPr>
          <w:rFonts w:hint="default"/>
        </w:rPr>
        <w:t>In Africa, land value can double, triple, or more within a few years when infrastructure and development arrive.</w:t>
      </w:r>
    </w:p>
    <w:p>
      <w:r>
        <w:rPr>
          <w:rFonts w:hint="default"/>
        </w:rPr>
        <w:t>The Foundation is the primary driver of development across the continent. As development happens, land value increases. As land value increases, NAV increases. As NAV increases, NAV per unit increases. Unit holders' units appreciate.</w:t>
      </w:r>
    </w:p>
    <w:p>
      <w:pPr>
        <w:rPr>
          <w:rFonts w:hint="default"/>
        </w:rPr>
      </w:pPr>
      <w:r>
        <w:rPr>
          <w:rFonts w:hint="default"/>
        </w:rPr>
        <w:t>The Land Appreciation Cycle</w:t>
      </w:r>
    </w:p>
    <w:p>
      <w:pPr>
        <w:rPr>
          <w:rFonts w:hint="default"/>
        </w:rPr>
      </w:pPr>
      <w:r>
        <w:rPr>
          <w:rFonts w:hint="default"/>
          <w:lang w:val="en-US" w:eastAsia="zh-CN"/>
        </w:rPr>
        <w:t>text</w:t>
      </w:r>
    </w:p>
    <w:p>
      <w:r>
        <w:rPr>
          <w:rFonts w:hint="default"/>
        </w:rPr>
        <w:t>Land Admitted to Neutral Reserve        │        ▼Development Happens Around the Land        │        ▼Land Value Appreciates        │        ▼NAV Increases        │        ▼NAV per Unit Increases        │        ▼Unit Holders' Units Appreciate        │        ▼More Capital Available for Development        │        ▼More Development Happens        │        ▼More Land Appreciates        │        ▼The Cycle Repeats</w:t>
      </w:r>
    </w:p>
    <w:p>
      <w:pPr>
        <w:rPr>
          <w:rFonts w:hint="default"/>
        </w:rPr>
      </w:pPr>
      <w:r>
        <w:rPr>
          <w:rFonts w:hint="default"/>
        </w:rPr>
        <w:t>Illustrative Land Appreciation</w:t>
      </w:r>
    </w:p>
    <w:p>
      <w:r>
        <w:rPr>
          <w:rFonts w:hint="default"/>
        </w:rPr>
        <w:t>Step 1: Initial Land Admission</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7296"/>
        <w:gridCol w:w="39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7296"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Item</w:t>
            </w:r>
          </w:p>
        </w:tc>
        <w:tc>
          <w:tcPr>
            <w:tcW w:w="3984"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7296" w:type="dxa"/>
            <w:shd w:val="clear"/>
            <w:tcMar>
              <w:top w:w="150" w:type="dxa"/>
              <w:left w:w="0" w:type="dxa"/>
              <w:bottom w:w="150" w:type="dxa"/>
              <w:right w:w="240" w:type="dxa"/>
            </w:tcMar>
            <w:vAlign w:val="center"/>
          </w:tcPr>
          <w:p>
            <w:pPr>
              <w:rPr>
                <w:rFonts w:hint="default"/>
              </w:rPr>
            </w:pPr>
            <w:r>
              <w:rPr>
                <w:rFonts w:hint="default"/>
                <w:lang w:val="en-US" w:eastAsia="zh-CN"/>
              </w:rPr>
              <w:t>NAV</w:t>
            </w:r>
          </w:p>
        </w:tc>
        <w:tc>
          <w:tcPr>
            <w:tcW w:w="3984" w:type="dxa"/>
            <w:shd w:val="clear"/>
            <w:tcMar>
              <w:top w:w="150" w:type="dxa"/>
              <w:left w:w="240" w:type="dxa"/>
              <w:bottom w:w="150" w:type="dxa"/>
              <w:right w:w="0" w:type="dxa"/>
            </w:tcMar>
            <w:vAlign w:val="center"/>
          </w:tcPr>
          <w:p>
            <w:pPr>
              <w:rPr>
                <w:rFonts w:hint="default"/>
              </w:rPr>
            </w:pPr>
            <w:r>
              <w:rPr>
                <w:rFonts w:hint="default"/>
                <w:lang w:val="en-US" w:eastAsia="zh-CN"/>
              </w:rPr>
              <w:t>US$80B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7296" w:type="dxa"/>
            <w:shd w:val="clear"/>
            <w:tcMar>
              <w:top w:w="150" w:type="dxa"/>
              <w:left w:w="0" w:type="dxa"/>
              <w:bottom w:w="150" w:type="dxa"/>
              <w:right w:w="240" w:type="dxa"/>
            </w:tcMar>
            <w:vAlign w:val="center"/>
          </w:tcPr>
          <w:p>
            <w:pPr>
              <w:rPr>
                <w:rFonts w:hint="default"/>
              </w:rPr>
            </w:pPr>
            <w:r>
              <w:rPr>
                <w:rFonts w:hint="default"/>
                <w:lang w:val="en-US" w:eastAsia="zh-CN"/>
              </w:rPr>
              <w:t>Land added to Neutral Reserve</w:t>
            </w:r>
          </w:p>
        </w:tc>
        <w:tc>
          <w:tcPr>
            <w:tcW w:w="3984" w:type="dxa"/>
            <w:shd w:val="clear"/>
            <w:tcMar>
              <w:top w:w="150" w:type="dxa"/>
              <w:left w:w="240" w:type="dxa"/>
              <w:bottom w:w="150" w:type="dxa"/>
              <w:right w:w="0" w:type="dxa"/>
            </w:tcMar>
            <w:vAlign w:val="center"/>
          </w:tcPr>
          <w:p>
            <w:pPr>
              <w:rPr>
                <w:rFonts w:hint="default"/>
              </w:rPr>
            </w:pPr>
            <w:r>
              <w:rPr>
                <w:rFonts w:hint="default"/>
                <w:lang w:val="en-US" w:eastAsia="zh-CN"/>
              </w:rPr>
              <w:t>US$1B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7296" w:type="dxa"/>
            <w:shd w:val="clear"/>
            <w:tcMar>
              <w:top w:w="150" w:type="dxa"/>
              <w:left w:w="0" w:type="dxa"/>
              <w:bottom w:w="150" w:type="dxa"/>
              <w:right w:w="240" w:type="dxa"/>
            </w:tcMar>
            <w:vAlign w:val="center"/>
          </w:tcPr>
          <w:p>
            <w:pPr>
              <w:rPr>
                <w:rFonts w:hint="default"/>
              </w:rPr>
            </w:pPr>
            <w:r>
              <w:rPr>
                <w:rFonts w:hint="default"/>
                <w:lang w:val="en-US" w:eastAsia="zh-CN"/>
              </w:rPr>
              <w:t>New NAV</w:t>
            </w:r>
          </w:p>
        </w:tc>
        <w:tc>
          <w:tcPr>
            <w:tcW w:w="3984" w:type="dxa"/>
            <w:shd w:val="clear"/>
            <w:tcMar>
              <w:top w:w="150" w:type="dxa"/>
              <w:left w:w="240" w:type="dxa"/>
              <w:bottom w:w="150" w:type="dxa"/>
              <w:right w:w="0" w:type="dxa"/>
            </w:tcMar>
            <w:vAlign w:val="center"/>
          </w:tcPr>
          <w:p>
            <w:pPr>
              <w:rPr>
                <w:rFonts w:hint="default"/>
              </w:rPr>
            </w:pPr>
            <w:r>
              <w:rPr>
                <w:rFonts w:hint="default"/>
                <w:lang w:val="en-US" w:eastAsia="zh-CN"/>
              </w:rPr>
              <w:t>US$81B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7296" w:type="dxa"/>
            <w:shd w:val="clear"/>
            <w:tcMar>
              <w:top w:w="150" w:type="dxa"/>
              <w:left w:w="0" w:type="dxa"/>
              <w:bottom w:w="150" w:type="dxa"/>
              <w:right w:w="240" w:type="dxa"/>
            </w:tcMar>
            <w:vAlign w:val="center"/>
          </w:tcPr>
          <w:p>
            <w:pPr>
              <w:rPr>
                <w:rFonts w:hint="default"/>
              </w:rPr>
            </w:pPr>
            <w:r>
              <w:rPr>
                <w:rFonts w:hint="default"/>
                <w:lang w:val="en-US" w:eastAsia="zh-CN"/>
              </w:rPr>
              <w:t>Units Outstanding</w:t>
            </w:r>
          </w:p>
        </w:tc>
        <w:tc>
          <w:tcPr>
            <w:tcW w:w="3984" w:type="dxa"/>
            <w:shd w:val="clear"/>
            <w:tcMar>
              <w:top w:w="150" w:type="dxa"/>
              <w:left w:w="240" w:type="dxa"/>
              <w:bottom w:w="150" w:type="dxa"/>
              <w:right w:w="0" w:type="dxa"/>
            </w:tcMar>
            <w:vAlign w:val="center"/>
          </w:tcPr>
          <w:p>
            <w:pPr>
              <w:rPr>
                <w:rFonts w:hint="default"/>
              </w:rPr>
            </w:pPr>
            <w:r>
              <w:rPr>
                <w:rFonts w:hint="default"/>
                <w:lang w:val="en-US" w:eastAsia="zh-CN"/>
              </w:rPr>
              <w:t>1,600B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7296" w:type="dxa"/>
            <w:shd w:val="clear"/>
            <w:tcMar>
              <w:top w:w="150" w:type="dxa"/>
              <w:left w:w="0" w:type="dxa"/>
              <w:bottom w:w="150" w:type="dxa"/>
              <w:right w:w="240" w:type="dxa"/>
            </w:tcMar>
            <w:vAlign w:val="center"/>
          </w:tcPr>
          <w:p>
            <w:pPr>
              <w:rPr>
                <w:rFonts w:hint="default"/>
              </w:rPr>
            </w:pPr>
            <w:r>
              <w:rPr>
                <w:rFonts w:hint="default"/>
                <w:lang w:val="en-US" w:eastAsia="zh-CN"/>
              </w:rPr>
              <w:t>NAV per Unit</w:t>
            </w:r>
          </w:p>
        </w:tc>
        <w:tc>
          <w:tcPr>
            <w:tcW w:w="3984" w:type="dxa"/>
            <w:shd w:val="clear"/>
            <w:tcMar>
              <w:top w:w="150" w:type="dxa"/>
              <w:left w:w="240" w:type="dxa"/>
              <w:bottom w:w="150" w:type="dxa"/>
              <w:right w:w="0" w:type="dxa"/>
            </w:tcMar>
            <w:vAlign w:val="center"/>
          </w:tcPr>
          <w:p>
            <w:pPr>
              <w:rPr>
                <w:rFonts w:hint="default"/>
              </w:rPr>
            </w:pPr>
            <w:r>
              <w:rPr>
                <w:rFonts w:hint="default"/>
                <w:lang w:val="en-US" w:eastAsia="zh-CN"/>
              </w:rPr>
              <w:t>US$0.050625</w:t>
            </w:r>
          </w:p>
        </w:tc>
      </w:tr>
    </w:tbl>
    <w:p>
      <w:r>
        <w:rPr>
          <w:rFonts w:hint="default"/>
        </w:rPr>
        <w:t>The land backs every unit. NAV per unit goes up.</w:t>
      </w:r>
    </w:p>
    <w:p>
      <w:r>
        <w:rPr>
          <w:rFonts w:hint="default"/>
        </w:rPr>
        <w:t>Step 2: Development Happens. Land Appreciates 100%.</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6764"/>
        <w:gridCol w:w="45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6764"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Item</w:t>
            </w:r>
          </w:p>
        </w:tc>
        <w:tc>
          <w:tcPr>
            <w:tcW w:w="4516"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6764" w:type="dxa"/>
            <w:shd w:val="clear"/>
            <w:tcMar>
              <w:top w:w="150" w:type="dxa"/>
              <w:left w:w="0" w:type="dxa"/>
              <w:bottom w:w="150" w:type="dxa"/>
              <w:right w:w="240" w:type="dxa"/>
            </w:tcMar>
            <w:vAlign w:val="center"/>
          </w:tcPr>
          <w:p>
            <w:pPr>
              <w:rPr>
                <w:rFonts w:hint="default"/>
              </w:rPr>
            </w:pPr>
            <w:r>
              <w:rPr>
                <w:rFonts w:hint="default"/>
                <w:lang w:val="en-US" w:eastAsia="zh-CN"/>
              </w:rPr>
              <w:t>Original land value</w:t>
            </w:r>
          </w:p>
        </w:tc>
        <w:tc>
          <w:tcPr>
            <w:tcW w:w="4516" w:type="dxa"/>
            <w:shd w:val="clear"/>
            <w:tcMar>
              <w:top w:w="150" w:type="dxa"/>
              <w:left w:w="240" w:type="dxa"/>
              <w:bottom w:w="150" w:type="dxa"/>
              <w:right w:w="0" w:type="dxa"/>
            </w:tcMar>
            <w:vAlign w:val="center"/>
          </w:tcPr>
          <w:p>
            <w:pPr>
              <w:rPr>
                <w:rFonts w:hint="default"/>
              </w:rPr>
            </w:pPr>
            <w:r>
              <w:rPr>
                <w:rFonts w:hint="default"/>
                <w:lang w:val="en-US" w:eastAsia="zh-CN"/>
              </w:rPr>
              <w:t>US$1B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6764" w:type="dxa"/>
            <w:shd w:val="clear"/>
            <w:tcMar>
              <w:top w:w="150" w:type="dxa"/>
              <w:left w:w="0" w:type="dxa"/>
              <w:bottom w:w="150" w:type="dxa"/>
              <w:right w:w="240" w:type="dxa"/>
            </w:tcMar>
            <w:vAlign w:val="center"/>
          </w:tcPr>
          <w:p>
            <w:pPr>
              <w:rPr>
                <w:rFonts w:hint="default"/>
              </w:rPr>
            </w:pPr>
            <w:r>
              <w:rPr>
                <w:rFonts w:hint="default"/>
                <w:lang w:val="en-US" w:eastAsia="zh-CN"/>
              </w:rPr>
              <w:t>Appreciated land value</w:t>
            </w:r>
          </w:p>
        </w:tc>
        <w:tc>
          <w:tcPr>
            <w:tcW w:w="4516" w:type="dxa"/>
            <w:shd w:val="clear"/>
            <w:tcMar>
              <w:top w:w="150" w:type="dxa"/>
              <w:left w:w="240" w:type="dxa"/>
              <w:bottom w:w="150" w:type="dxa"/>
              <w:right w:w="0" w:type="dxa"/>
            </w:tcMar>
            <w:vAlign w:val="center"/>
          </w:tcPr>
          <w:p>
            <w:pPr>
              <w:rPr>
                <w:rFonts w:hint="default"/>
              </w:rPr>
            </w:pPr>
            <w:r>
              <w:rPr>
                <w:rFonts w:hint="default"/>
                <w:lang w:val="en-US" w:eastAsia="zh-CN"/>
              </w:rPr>
              <w:t>US$2B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6764" w:type="dxa"/>
            <w:shd w:val="clear"/>
            <w:tcMar>
              <w:top w:w="150" w:type="dxa"/>
              <w:left w:w="0" w:type="dxa"/>
              <w:bottom w:w="150" w:type="dxa"/>
              <w:right w:w="240" w:type="dxa"/>
            </w:tcMar>
            <w:vAlign w:val="center"/>
          </w:tcPr>
          <w:p>
            <w:pPr>
              <w:rPr>
                <w:rFonts w:hint="default"/>
              </w:rPr>
            </w:pPr>
            <w:r>
              <w:rPr>
                <w:rFonts w:hint="default"/>
                <w:lang w:val="en-US" w:eastAsia="zh-CN"/>
              </w:rPr>
              <w:t>New NAV</w:t>
            </w:r>
          </w:p>
        </w:tc>
        <w:tc>
          <w:tcPr>
            <w:tcW w:w="4516" w:type="dxa"/>
            <w:shd w:val="clear"/>
            <w:tcMar>
              <w:top w:w="150" w:type="dxa"/>
              <w:left w:w="240" w:type="dxa"/>
              <w:bottom w:w="150" w:type="dxa"/>
              <w:right w:w="0" w:type="dxa"/>
            </w:tcMar>
            <w:vAlign w:val="center"/>
          </w:tcPr>
          <w:p>
            <w:pPr>
              <w:rPr>
                <w:rFonts w:hint="default"/>
              </w:rPr>
            </w:pPr>
            <w:r>
              <w:rPr>
                <w:rFonts w:hint="default"/>
                <w:lang w:val="en-US" w:eastAsia="zh-CN"/>
              </w:rPr>
              <w:t>US$82B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6764" w:type="dxa"/>
            <w:shd w:val="clear"/>
            <w:tcMar>
              <w:top w:w="150" w:type="dxa"/>
              <w:left w:w="0" w:type="dxa"/>
              <w:bottom w:w="150" w:type="dxa"/>
              <w:right w:w="240" w:type="dxa"/>
            </w:tcMar>
            <w:vAlign w:val="center"/>
          </w:tcPr>
          <w:p>
            <w:pPr>
              <w:rPr>
                <w:rFonts w:hint="default"/>
              </w:rPr>
            </w:pPr>
            <w:r>
              <w:rPr>
                <w:rFonts w:hint="default"/>
                <w:lang w:val="en-US" w:eastAsia="zh-CN"/>
              </w:rPr>
              <w:t>Units Outstanding</w:t>
            </w:r>
          </w:p>
        </w:tc>
        <w:tc>
          <w:tcPr>
            <w:tcW w:w="4516" w:type="dxa"/>
            <w:shd w:val="clear"/>
            <w:tcMar>
              <w:top w:w="150" w:type="dxa"/>
              <w:left w:w="240" w:type="dxa"/>
              <w:bottom w:w="150" w:type="dxa"/>
              <w:right w:w="0" w:type="dxa"/>
            </w:tcMar>
            <w:vAlign w:val="center"/>
          </w:tcPr>
          <w:p>
            <w:pPr>
              <w:rPr>
                <w:rFonts w:hint="default"/>
              </w:rPr>
            </w:pPr>
            <w:r>
              <w:rPr>
                <w:rFonts w:hint="default"/>
                <w:lang w:val="en-US" w:eastAsia="zh-CN"/>
              </w:rPr>
              <w:t>1,600B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6764" w:type="dxa"/>
            <w:shd w:val="clear"/>
            <w:tcMar>
              <w:top w:w="150" w:type="dxa"/>
              <w:left w:w="0" w:type="dxa"/>
              <w:bottom w:w="150" w:type="dxa"/>
              <w:right w:w="240" w:type="dxa"/>
            </w:tcMar>
            <w:vAlign w:val="center"/>
          </w:tcPr>
          <w:p>
            <w:pPr>
              <w:rPr>
                <w:rFonts w:hint="default"/>
              </w:rPr>
            </w:pPr>
            <w:r>
              <w:rPr>
                <w:rFonts w:hint="default"/>
                <w:lang w:val="en-US" w:eastAsia="zh-CN"/>
              </w:rPr>
              <w:t>NAV per Unit</w:t>
            </w:r>
          </w:p>
        </w:tc>
        <w:tc>
          <w:tcPr>
            <w:tcW w:w="4516" w:type="dxa"/>
            <w:shd w:val="clear"/>
            <w:tcMar>
              <w:top w:w="150" w:type="dxa"/>
              <w:left w:w="240" w:type="dxa"/>
              <w:bottom w:w="150" w:type="dxa"/>
              <w:right w:w="0" w:type="dxa"/>
            </w:tcMar>
            <w:vAlign w:val="center"/>
          </w:tcPr>
          <w:p>
            <w:pPr>
              <w:rPr>
                <w:rFonts w:hint="default"/>
              </w:rPr>
            </w:pPr>
            <w:r>
              <w:rPr>
                <w:rFonts w:hint="default"/>
                <w:lang w:val="en-US" w:eastAsia="zh-CN"/>
              </w:rPr>
              <w:t>US$0.05125</w:t>
            </w:r>
          </w:p>
        </w:tc>
      </w:tr>
    </w:tbl>
    <w:p>
      <w:r>
        <w:rPr>
          <w:rFonts w:hint="default"/>
        </w:rPr>
        <w:t>No new units minted. Each unit holder's units are now worth more.</w:t>
      </w:r>
    </w:p>
    <w:p>
      <w:r>
        <w:rPr>
          <w:rFonts w:hint="default"/>
        </w:rPr>
        <w:t>Step 3: More Development. Land Appreciates Another 100%.</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6971"/>
        <w:gridCol w:w="4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697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Item</w:t>
            </w:r>
          </w:p>
        </w:tc>
        <w:tc>
          <w:tcPr>
            <w:tcW w:w="4309"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6971" w:type="dxa"/>
            <w:shd w:val="clear"/>
            <w:tcMar>
              <w:top w:w="150" w:type="dxa"/>
              <w:left w:w="0" w:type="dxa"/>
              <w:bottom w:w="150" w:type="dxa"/>
              <w:right w:w="240" w:type="dxa"/>
            </w:tcMar>
            <w:vAlign w:val="center"/>
          </w:tcPr>
          <w:p>
            <w:pPr>
              <w:rPr>
                <w:rFonts w:hint="default"/>
              </w:rPr>
            </w:pPr>
            <w:r>
              <w:rPr>
                <w:rFonts w:hint="default"/>
                <w:lang w:val="en-US" w:eastAsia="zh-CN"/>
              </w:rPr>
              <w:t>Original land value</w:t>
            </w:r>
          </w:p>
        </w:tc>
        <w:tc>
          <w:tcPr>
            <w:tcW w:w="4309" w:type="dxa"/>
            <w:shd w:val="clear"/>
            <w:tcMar>
              <w:top w:w="150" w:type="dxa"/>
              <w:left w:w="240" w:type="dxa"/>
              <w:bottom w:w="150" w:type="dxa"/>
              <w:right w:w="0" w:type="dxa"/>
            </w:tcMar>
            <w:vAlign w:val="center"/>
          </w:tcPr>
          <w:p>
            <w:pPr>
              <w:rPr>
                <w:rFonts w:hint="default"/>
              </w:rPr>
            </w:pPr>
            <w:r>
              <w:rPr>
                <w:rFonts w:hint="default"/>
                <w:lang w:val="en-US" w:eastAsia="zh-CN"/>
              </w:rPr>
              <w:t>US$1B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6971" w:type="dxa"/>
            <w:shd w:val="clear"/>
            <w:tcMar>
              <w:top w:w="150" w:type="dxa"/>
              <w:left w:w="0" w:type="dxa"/>
              <w:bottom w:w="150" w:type="dxa"/>
              <w:right w:w="240" w:type="dxa"/>
            </w:tcMar>
            <w:vAlign w:val="center"/>
          </w:tcPr>
          <w:p>
            <w:pPr>
              <w:rPr>
                <w:rFonts w:hint="default"/>
              </w:rPr>
            </w:pPr>
            <w:r>
              <w:rPr>
                <w:rFonts w:hint="default"/>
                <w:lang w:val="en-US" w:eastAsia="zh-CN"/>
              </w:rPr>
              <w:t>Appreciated land value</w:t>
            </w:r>
          </w:p>
        </w:tc>
        <w:tc>
          <w:tcPr>
            <w:tcW w:w="4309" w:type="dxa"/>
            <w:shd w:val="clear"/>
            <w:tcMar>
              <w:top w:w="150" w:type="dxa"/>
              <w:left w:w="240" w:type="dxa"/>
              <w:bottom w:w="150" w:type="dxa"/>
              <w:right w:w="0" w:type="dxa"/>
            </w:tcMar>
            <w:vAlign w:val="center"/>
          </w:tcPr>
          <w:p>
            <w:pPr>
              <w:rPr>
                <w:rFonts w:hint="default"/>
              </w:rPr>
            </w:pPr>
            <w:r>
              <w:rPr>
                <w:rFonts w:hint="default"/>
                <w:lang w:val="en-US" w:eastAsia="zh-CN"/>
              </w:rPr>
              <w:t>US$4B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6971" w:type="dxa"/>
            <w:shd w:val="clear"/>
            <w:tcMar>
              <w:top w:w="150" w:type="dxa"/>
              <w:left w:w="0" w:type="dxa"/>
              <w:bottom w:w="150" w:type="dxa"/>
              <w:right w:w="240" w:type="dxa"/>
            </w:tcMar>
            <w:vAlign w:val="center"/>
          </w:tcPr>
          <w:p>
            <w:pPr>
              <w:rPr>
                <w:rFonts w:hint="default"/>
              </w:rPr>
            </w:pPr>
            <w:r>
              <w:rPr>
                <w:rFonts w:hint="default"/>
                <w:lang w:val="en-US" w:eastAsia="zh-CN"/>
              </w:rPr>
              <w:t>New NAV</w:t>
            </w:r>
          </w:p>
        </w:tc>
        <w:tc>
          <w:tcPr>
            <w:tcW w:w="4309" w:type="dxa"/>
            <w:shd w:val="clear"/>
            <w:tcMar>
              <w:top w:w="150" w:type="dxa"/>
              <w:left w:w="240" w:type="dxa"/>
              <w:bottom w:w="150" w:type="dxa"/>
              <w:right w:w="0" w:type="dxa"/>
            </w:tcMar>
            <w:vAlign w:val="center"/>
          </w:tcPr>
          <w:p>
            <w:pPr>
              <w:rPr>
                <w:rFonts w:hint="default"/>
              </w:rPr>
            </w:pPr>
            <w:r>
              <w:rPr>
                <w:rFonts w:hint="default"/>
                <w:lang w:val="en-US" w:eastAsia="zh-CN"/>
              </w:rPr>
              <w:t>US$84B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6971" w:type="dxa"/>
            <w:shd w:val="clear"/>
            <w:tcMar>
              <w:top w:w="150" w:type="dxa"/>
              <w:left w:w="0" w:type="dxa"/>
              <w:bottom w:w="150" w:type="dxa"/>
              <w:right w:w="240" w:type="dxa"/>
            </w:tcMar>
            <w:vAlign w:val="center"/>
          </w:tcPr>
          <w:p>
            <w:pPr>
              <w:rPr>
                <w:rFonts w:hint="default"/>
              </w:rPr>
            </w:pPr>
            <w:r>
              <w:rPr>
                <w:rFonts w:hint="default"/>
                <w:lang w:val="en-US" w:eastAsia="zh-CN"/>
              </w:rPr>
              <w:t>Units Outstanding</w:t>
            </w:r>
          </w:p>
        </w:tc>
        <w:tc>
          <w:tcPr>
            <w:tcW w:w="4309" w:type="dxa"/>
            <w:shd w:val="clear"/>
            <w:tcMar>
              <w:top w:w="150" w:type="dxa"/>
              <w:left w:w="240" w:type="dxa"/>
              <w:bottom w:w="150" w:type="dxa"/>
              <w:right w:w="0" w:type="dxa"/>
            </w:tcMar>
            <w:vAlign w:val="center"/>
          </w:tcPr>
          <w:p>
            <w:pPr>
              <w:rPr>
                <w:rFonts w:hint="default"/>
              </w:rPr>
            </w:pPr>
            <w:r>
              <w:rPr>
                <w:rFonts w:hint="default"/>
                <w:lang w:val="en-US" w:eastAsia="zh-CN"/>
              </w:rPr>
              <w:t>1,600B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6971" w:type="dxa"/>
            <w:shd w:val="clear"/>
            <w:tcMar>
              <w:top w:w="150" w:type="dxa"/>
              <w:left w:w="0" w:type="dxa"/>
              <w:bottom w:w="150" w:type="dxa"/>
              <w:right w:w="240" w:type="dxa"/>
            </w:tcMar>
            <w:vAlign w:val="center"/>
          </w:tcPr>
          <w:p>
            <w:pPr>
              <w:rPr>
                <w:rFonts w:hint="default"/>
              </w:rPr>
            </w:pPr>
            <w:r>
              <w:rPr>
                <w:rFonts w:hint="default"/>
                <w:lang w:val="en-US" w:eastAsia="zh-CN"/>
              </w:rPr>
              <w:t>NAV per Unit</w:t>
            </w:r>
          </w:p>
        </w:tc>
        <w:tc>
          <w:tcPr>
            <w:tcW w:w="4309" w:type="dxa"/>
            <w:shd w:val="clear"/>
            <w:tcMar>
              <w:top w:w="150" w:type="dxa"/>
              <w:left w:w="240" w:type="dxa"/>
              <w:bottom w:w="150" w:type="dxa"/>
              <w:right w:w="0" w:type="dxa"/>
            </w:tcMar>
            <w:vAlign w:val="center"/>
          </w:tcPr>
          <w:p>
            <w:pPr>
              <w:rPr>
                <w:rFonts w:hint="default"/>
              </w:rPr>
            </w:pPr>
            <w:r>
              <w:rPr>
                <w:rFonts w:hint="default"/>
                <w:lang w:val="en-US" w:eastAsia="zh-CN"/>
              </w:rPr>
              <w:t>US$0.0525</w:t>
            </w:r>
          </w:p>
        </w:tc>
      </w:tr>
    </w:tbl>
    <w:p>
      <w:r>
        <w:rPr>
          <w:rFonts w:hint="default"/>
        </w:rPr>
        <w:t>Still no new units minted. Each unit holder's units are worth even more.</w:t>
      </w:r>
    </w:p>
    <w:p>
      <w:r>
        <w:rPr>
          <w:rFonts w:hint="default"/>
        </w:rPr>
        <w:t>Step 4: Land Appreciation Compounds With Company Success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947"/>
        <w:gridCol w:w="53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5947"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Item</w:t>
            </w:r>
          </w:p>
        </w:tc>
        <w:tc>
          <w:tcPr>
            <w:tcW w:w="5333"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947" w:type="dxa"/>
            <w:shd w:val="clear"/>
            <w:tcMar>
              <w:top w:w="150" w:type="dxa"/>
              <w:left w:w="0" w:type="dxa"/>
              <w:bottom w:w="150" w:type="dxa"/>
              <w:right w:w="240" w:type="dxa"/>
            </w:tcMar>
            <w:vAlign w:val="center"/>
          </w:tcPr>
          <w:p>
            <w:pPr>
              <w:rPr>
                <w:rFonts w:hint="default"/>
              </w:rPr>
            </w:pPr>
            <w:r>
              <w:rPr>
                <w:rFonts w:hint="default"/>
                <w:lang w:val="en-US" w:eastAsia="zh-CN"/>
              </w:rPr>
              <w:t>Initial NAV</w:t>
            </w:r>
          </w:p>
        </w:tc>
        <w:tc>
          <w:tcPr>
            <w:tcW w:w="5333" w:type="dxa"/>
            <w:shd w:val="clear"/>
            <w:tcMar>
              <w:top w:w="150" w:type="dxa"/>
              <w:left w:w="240" w:type="dxa"/>
              <w:bottom w:w="150" w:type="dxa"/>
              <w:right w:w="0" w:type="dxa"/>
            </w:tcMar>
            <w:vAlign w:val="center"/>
          </w:tcPr>
          <w:p>
            <w:pPr>
              <w:rPr>
                <w:rFonts w:hint="default"/>
              </w:rPr>
            </w:pPr>
            <w:r>
              <w:rPr>
                <w:rFonts w:hint="default"/>
                <w:lang w:val="en-US" w:eastAsia="zh-CN"/>
              </w:rPr>
              <w:t>US$80B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947" w:type="dxa"/>
            <w:shd w:val="clear"/>
            <w:tcMar>
              <w:top w:w="150" w:type="dxa"/>
              <w:left w:w="0" w:type="dxa"/>
              <w:bottom w:w="150" w:type="dxa"/>
              <w:right w:w="240" w:type="dxa"/>
            </w:tcMar>
            <w:vAlign w:val="center"/>
          </w:tcPr>
          <w:p>
            <w:pPr>
              <w:rPr>
                <w:rFonts w:hint="default"/>
              </w:rPr>
            </w:pPr>
            <w:r>
              <w:rPr>
                <w:rFonts w:hint="default"/>
                <w:lang w:val="en-US" w:eastAsia="zh-CN"/>
              </w:rPr>
              <w:t>Land appreciation</w:t>
            </w:r>
          </w:p>
        </w:tc>
        <w:tc>
          <w:tcPr>
            <w:tcW w:w="5333" w:type="dxa"/>
            <w:shd w:val="clear"/>
            <w:tcMar>
              <w:top w:w="150" w:type="dxa"/>
              <w:left w:w="240" w:type="dxa"/>
              <w:bottom w:w="150" w:type="dxa"/>
              <w:right w:w="0" w:type="dxa"/>
            </w:tcMar>
            <w:vAlign w:val="center"/>
          </w:tcPr>
          <w:p>
            <w:pPr>
              <w:rPr>
                <w:rFonts w:hint="default"/>
              </w:rPr>
            </w:pPr>
            <w:r>
              <w:rPr>
                <w:rFonts w:hint="default"/>
                <w:lang w:val="en-US" w:eastAsia="zh-CN"/>
              </w:rPr>
              <w:t>+US$3B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947" w:type="dxa"/>
            <w:shd w:val="clear"/>
            <w:tcMar>
              <w:top w:w="150" w:type="dxa"/>
              <w:left w:w="0" w:type="dxa"/>
              <w:bottom w:w="150" w:type="dxa"/>
              <w:right w:w="240" w:type="dxa"/>
            </w:tcMar>
            <w:vAlign w:val="center"/>
          </w:tcPr>
          <w:p>
            <w:pPr>
              <w:rPr>
                <w:rFonts w:hint="default"/>
              </w:rPr>
            </w:pPr>
            <w:r>
              <w:rPr>
                <w:rFonts w:hint="default"/>
                <w:lang w:val="en-US" w:eastAsia="zh-CN"/>
              </w:rPr>
              <w:t>Company success</w:t>
            </w:r>
          </w:p>
        </w:tc>
        <w:tc>
          <w:tcPr>
            <w:tcW w:w="5333" w:type="dxa"/>
            <w:shd w:val="clear"/>
            <w:tcMar>
              <w:top w:w="150" w:type="dxa"/>
              <w:left w:w="240" w:type="dxa"/>
              <w:bottom w:w="150" w:type="dxa"/>
              <w:right w:w="0" w:type="dxa"/>
            </w:tcMar>
            <w:vAlign w:val="center"/>
          </w:tcPr>
          <w:p>
            <w:pPr>
              <w:rPr>
                <w:rFonts w:hint="default"/>
              </w:rPr>
            </w:pPr>
            <w:r>
              <w:rPr>
                <w:rFonts w:hint="default"/>
                <w:lang w:val="en-US" w:eastAsia="zh-CN"/>
              </w:rPr>
              <w:t>+US$20B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947" w:type="dxa"/>
            <w:shd w:val="clear"/>
            <w:tcMar>
              <w:top w:w="150" w:type="dxa"/>
              <w:left w:w="0" w:type="dxa"/>
              <w:bottom w:w="150" w:type="dxa"/>
              <w:right w:w="240" w:type="dxa"/>
            </w:tcMar>
            <w:vAlign w:val="center"/>
          </w:tcPr>
          <w:p>
            <w:pPr>
              <w:rPr>
                <w:rFonts w:hint="default"/>
              </w:rPr>
            </w:pPr>
            <w:r>
              <w:rPr>
                <w:rFonts w:hint="default"/>
                <w:lang w:val="en-US" w:eastAsia="zh-CN"/>
              </w:rPr>
              <w:t>New NAV</w:t>
            </w:r>
          </w:p>
        </w:tc>
        <w:tc>
          <w:tcPr>
            <w:tcW w:w="5333" w:type="dxa"/>
            <w:shd w:val="clear"/>
            <w:tcMar>
              <w:top w:w="150" w:type="dxa"/>
              <w:left w:w="240" w:type="dxa"/>
              <w:bottom w:w="150" w:type="dxa"/>
              <w:right w:w="0" w:type="dxa"/>
            </w:tcMar>
            <w:vAlign w:val="center"/>
          </w:tcPr>
          <w:p>
            <w:pPr>
              <w:rPr>
                <w:rFonts w:hint="default"/>
              </w:rPr>
            </w:pPr>
            <w:r>
              <w:rPr>
                <w:rFonts w:hint="default"/>
                <w:lang w:val="en-US" w:eastAsia="zh-CN"/>
              </w:rPr>
              <w:t>US$103B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947" w:type="dxa"/>
            <w:shd w:val="clear"/>
            <w:tcMar>
              <w:top w:w="150" w:type="dxa"/>
              <w:left w:w="0" w:type="dxa"/>
              <w:bottom w:w="150" w:type="dxa"/>
              <w:right w:w="240" w:type="dxa"/>
            </w:tcMar>
            <w:vAlign w:val="center"/>
          </w:tcPr>
          <w:p>
            <w:pPr>
              <w:rPr>
                <w:rFonts w:hint="default"/>
              </w:rPr>
            </w:pPr>
            <w:r>
              <w:rPr>
                <w:rFonts w:hint="default"/>
                <w:lang w:val="en-US" w:eastAsia="zh-CN"/>
              </w:rPr>
              <w:t>Units Outstanding</w:t>
            </w:r>
          </w:p>
        </w:tc>
        <w:tc>
          <w:tcPr>
            <w:tcW w:w="5333" w:type="dxa"/>
            <w:shd w:val="clear"/>
            <w:tcMar>
              <w:top w:w="150" w:type="dxa"/>
              <w:left w:w="240" w:type="dxa"/>
              <w:bottom w:w="150" w:type="dxa"/>
              <w:right w:w="0" w:type="dxa"/>
            </w:tcMar>
            <w:vAlign w:val="center"/>
          </w:tcPr>
          <w:p>
            <w:pPr>
              <w:rPr>
                <w:rFonts w:hint="default"/>
              </w:rPr>
            </w:pPr>
            <w:r>
              <w:rPr>
                <w:rFonts w:hint="default"/>
                <w:lang w:val="en-US" w:eastAsia="zh-CN"/>
              </w:rPr>
              <w:t>1,600B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947" w:type="dxa"/>
            <w:shd w:val="clear"/>
            <w:tcMar>
              <w:top w:w="150" w:type="dxa"/>
              <w:left w:w="0" w:type="dxa"/>
              <w:bottom w:w="150" w:type="dxa"/>
              <w:right w:w="240" w:type="dxa"/>
            </w:tcMar>
            <w:vAlign w:val="center"/>
          </w:tcPr>
          <w:p>
            <w:pPr>
              <w:rPr>
                <w:rFonts w:hint="default"/>
              </w:rPr>
            </w:pPr>
            <w:r>
              <w:rPr>
                <w:rFonts w:hint="default"/>
                <w:lang w:val="en-US" w:eastAsia="zh-CN"/>
              </w:rPr>
              <w:t>NAV per Unit</w:t>
            </w:r>
          </w:p>
        </w:tc>
        <w:tc>
          <w:tcPr>
            <w:tcW w:w="5333" w:type="dxa"/>
            <w:shd w:val="clear"/>
            <w:tcMar>
              <w:top w:w="150" w:type="dxa"/>
              <w:left w:w="240" w:type="dxa"/>
              <w:bottom w:w="150" w:type="dxa"/>
              <w:right w:w="0" w:type="dxa"/>
            </w:tcMar>
            <w:vAlign w:val="center"/>
          </w:tcPr>
          <w:p>
            <w:pPr>
              <w:rPr>
                <w:rFonts w:hint="default"/>
              </w:rPr>
            </w:pPr>
            <w:r>
              <w:rPr>
                <w:rFonts w:hint="default"/>
                <w:lang w:val="en-US" w:eastAsia="zh-CN"/>
              </w:rPr>
              <w:t>US$0.064375</w:t>
            </w:r>
          </w:p>
        </w:tc>
      </w:tr>
    </w:tbl>
    <w:p>
      <w:r>
        <w:rPr>
          <w:rFonts w:hint="default"/>
        </w:rPr>
        <w:t xml:space="preserve">Each unit holder's units have appreciated from US$0.05 to US$0.064375 — a </w:t>
      </w:r>
      <w:r>
        <w:rPr>
          <w:rFonts w:hint="default"/>
        </w:rPr>
        <w:t>28.75% gain</w:t>
      </w:r>
      <w:r>
        <w:rPr>
          <w:rFonts w:hint="default"/>
        </w:rPr>
        <w:t xml:space="preserve"> driven by both land appreciation and company success.</w:t>
      </w:r>
    </w:p>
    <w:p>
      <w:pPr>
        <w:rPr>
          <w:rFonts w:hint="default"/>
        </w:rPr>
      </w:pPr>
      <w:r>
        <w:rPr>
          <w:rFonts w:hint="default"/>
        </w:rPr>
        <w:t>The Compound Engine</w:t>
      </w:r>
    </w:p>
    <w:p>
      <w:r>
        <w:rPr>
          <w:rFonts w:hint="default"/>
        </w:rPr>
        <w:t>The Neutral Reserve is not just a passive reserve.</w:t>
      </w:r>
    </w:p>
    <w:p>
      <w:r>
        <w:rPr>
          <w:rFonts w:hint="default"/>
        </w:rPr>
        <w:t>It is an active appreciation engine.</w:t>
      </w:r>
    </w:p>
    <w:p>
      <w:r>
        <w:rPr>
          <w:rFonts w:hint="default"/>
        </w:rPr>
        <w:t>Here is the cycle:</w:t>
      </w:r>
    </w:p>
    <w:p/>
    <w:p>
      <w:r>
        <w:rPr>
          <w:rFonts w:hint="default"/>
        </w:rPr>
        <w:t>Land is admitted</w:t>
      </w:r>
      <w:r>
        <w:rPr>
          <w:rFonts w:hint="default"/>
        </w:rPr>
        <w:t xml:space="preserve"> to the Neutral Reserve at current value.</w:t>
      </w:r>
    </w:p>
    <w:p/>
    <w:p/>
    <w:p>
      <w:r>
        <w:rPr>
          <w:rFonts w:hint="default"/>
        </w:rPr>
        <w:t>Development happens</w:t>
      </w:r>
      <w:r>
        <w:rPr>
          <w:rFonts w:hint="default"/>
        </w:rPr>
        <w:t xml:space="preserve"> around the land (CRT, hospital, school, data center, etc.).</w:t>
      </w:r>
    </w:p>
    <w:p/>
    <w:p/>
    <w:p>
      <w:r>
        <w:rPr>
          <w:rFonts w:hint="default"/>
        </w:rPr>
        <w:t>Land value appreciates</w:t>
      </w:r>
      <w:r>
        <w:rPr>
          <w:rFonts w:hint="default"/>
        </w:rPr>
        <w:t xml:space="preserve"> because of the development.</w:t>
      </w:r>
    </w:p>
    <w:p/>
    <w:p/>
    <w:p>
      <w:r>
        <w:rPr>
          <w:rFonts w:hint="default"/>
        </w:rPr>
        <w:t>NAV increases</w:t>
      </w:r>
      <w:r>
        <w:rPr>
          <w:rFonts w:hint="default"/>
        </w:rPr>
        <w:t xml:space="preserve"> because the land is worth more.</w:t>
      </w:r>
    </w:p>
    <w:p/>
    <w:p/>
    <w:p>
      <w:r>
        <w:rPr>
          <w:rFonts w:hint="default"/>
        </w:rPr>
        <w:t>NAV per unit increases</w:t>
      </w:r>
      <w:r>
        <w:rPr>
          <w:rFonts w:hint="default"/>
        </w:rPr>
        <w:t xml:space="preserve"> because no new units are minted.</w:t>
      </w:r>
    </w:p>
    <w:p/>
    <w:p/>
    <w:p>
      <w:r>
        <w:rPr>
          <w:rFonts w:hint="default"/>
        </w:rPr>
        <w:t>Unit holders' units appreciate</w:t>
      </w:r>
      <w:r>
        <w:rPr>
          <w:rFonts w:hint="default"/>
        </w:rPr>
        <w:t xml:space="preserve"> without dilution.</w:t>
      </w:r>
    </w:p>
    <w:p/>
    <w:p/>
    <w:p>
      <w:r>
        <w:rPr>
          <w:rFonts w:hint="default"/>
        </w:rPr>
        <w:t>More development happens</w:t>
      </w:r>
      <w:r>
        <w:rPr>
          <w:rFonts w:hint="default"/>
        </w:rPr>
        <w:t xml:space="preserve"> because the Fund has more capital.</w:t>
      </w:r>
    </w:p>
    <w:p/>
    <w:p/>
    <w:p>
      <w:r>
        <w:rPr>
          <w:rFonts w:hint="default"/>
        </w:rPr>
        <w:t>More land appreciates</w:t>
      </w:r>
      <w:r>
        <w:rPr>
          <w:rFonts w:hint="default"/>
        </w:rPr>
        <w:t xml:space="preserve"> because of more development.</w:t>
      </w:r>
    </w:p>
    <w:p/>
    <w:p/>
    <w:p>
      <w:r>
        <w:rPr>
          <w:rFonts w:hint="default"/>
        </w:rPr>
        <w:t>The cycle repeats.</w:t>
      </w:r>
    </w:p>
    <w:p/>
    <w:p>
      <w:r>
        <w:rPr>
          <w:rFonts w:hint="default"/>
        </w:rPr>
        <w:t xml:space="preserve">This is a </w:t>
      </w:r>
      <w:r>
        <w:rPr>
          <w:rFonts w:hint="default"/>
        </w:rPr>
        <w:t>self-reinforcing appreciation loop</w:t>
      </w:r>
      <w:r>
        <w:rPr>
          <w:rFonts w:hint="default"/>
        </w:rPr>
        <w:t>.</w:t>
      </w:r>
    </w:p>
    <w:p>
      <w:pPr>
        <w:rPr>
          <w:rFonts w:hint="default"/>
        </w:rPr>
      </w:pPr>
      <w:r>
        <w:rPr>
          <w:rFonts w:hint="default"/>
        </w:rPr>
        <w:t>The Foundation's 30% and the Land Appreciation Engine</w:t>
      </w:r>
    </w:p>
    <w:p>
      <w:r>
        <w:rPr>
          <w:rFonts w:hint="default"/>
        </w:rPr>
        <w:t>At the beginning, the Foundation's Jowih Core companies may not be worth 30% of the Fund's NAV.</w:t>
      </w:r>
    </w:p>
    <w:p>
      <w:r>
        <w:rPr>
          <w:rFonts w:hint="default"/>
        </w:rPr>
        <w:t>The 30/70 split says the Foundation gets 30% of the NAV.</w:t>
      </w:r>
    </w:p>
    <w:p>
      <w:r>
        <w:rPr>
          <w:rFonts w:hint="default"/>
        </w:rPr>
        <w:t xml:space="preserve">But if Jowih Core companies are only worth, say, 10% or 15% at the beginning, then the Foundation is getting </w:t>
      </w:r>
      <w:r>
        <w:rPr>
          <w:rFonts w:hint="default"/>
        </w:rPr>
        <w:t>more than its companies are worth</w:t>
      </w:r>
      <w:r>
        <w:rPr>
          <w:rFonts w:hint="default"/>
        </w:rPr>
        <w:t xml:space="preserve"> — it is benefiting from the partner companies that make up the 70%.</w:t>
      </w:r>
    </w:p>
    <w:p>
      <w:r>
        <w:rPr>
          <w:rFonts w:hint="default"/>
        </w:rPr>
        <w:t>That is fine. That is the internal split. The Foundation gets 30% of the NAV because that is the structural agreement.</w:t>
      </w:r>
    </w:p>
    <w:p>
      <w:r>
        <w:rPr>
          <w:rFonts w:hint="default"/>
        </w:rPr>
        <w:t>But over time, two things happen:</w:t>
      </w:r>
    </w:p>
    <w:p/>
    <w:p>
      <w:r>
        <w:rPr>
          <w:rFonts w:hint="default"/>
        </w:rPr>
        <w:t>Jowih Core companies grow</w:t>
      </w:r>
      <w:r>
        <w:rPr>
          <w:rFonts w:hint="default"/>
        </w:rPr>
        <w:t xml:space="preserve"> and become worth more. They may eventually genuinely represent 30% of the NAV.</w:t>
      </w:r>
    </w:p>
    <w:p/>
    <w:p/>
    <w:p>
      <w:r>
        <w:rPr>
          <w:rFonts w:hint="default"/>
        </w:rPr>
        <w:t>Land in the Neutral Reserve appreciates</w:t>
      </w:r>
      <w:r>
        <w:rPr>
          <w:rFonts w:hint="default"/>
        </w:rPr>
        <w:t xml:space="preserve"> because of the massive development projects the Foundation is driving across the continent.</w:t>
      </w:r>
    </w:p>
    <w:p/>
    <w:p>
      <w:r>
        <w:rPr>
          <w:rFonts w:hint="default"/>
        </w:rPr>
        <w:t>So even before Jowih Core companies are worth 30%, the Foundation is building value through the land reserve.</w:t>
      </w:r>
    </w:p>
    <w:p>
      <w:r>
        <w:rPr>
          <w:rFonts w:hint="default"/>
        </w:rPr>
        <w:t>The land appreciation makes up for the gap between what Jowih Core companies are currently worth and what they need to be worth to justify the 30%.</w:t>
      </w:r>
    </w:p>
    <w:p>
      <w:pPr>
        <w:rPr>
          <w:rFonts w:hint="default"/>
        </w:rPr>
      </w:pPr>
      <w:r>
        <w:rPr>
          <w:rFonts w:hint="default"/>
        </w:rPr>
        <w:t>Structural Fairness Principle</w:t>
      </w:r>
    </w:p>
    <w:p>
      <w:r>
        <w:rPr>
          <w:rFonts w:hint="default"/>
        </w:rPr>
        <w:t>The Foundation takes 30% from the beginning because it is the one driving development.</w:t>
      </w:r>
    </w:p>
    <w:p>
      <w:r>
        <w:rPr>
          <w:rFonts w:hint="default"/>
        </w:rPr>
        <w:t>Partner companies benefit from:</w:t>
      </w:r>
    </w:p>
    <w:p/>
    <w:p>
      <w:r>
        <w:rPr>
          <w:rFonts w:hint="default"/>
        </w:rPr>
        <w:t>The Foundation's development projects</w:t>
      </w:r>
    </w:p>
    <w:p/>
    <w:p/>
    <w:p>
      <w:r>
        <w:rPr>
          <w:rFonts w:hint="default"/>
        </w:rPr>
        <w:t>The Foundation's infrastructure</w:t>
      </w:r>
    </w:p>
    <w:p/>
    <w:p/>
    <w:p>
      <w:r>
        <w:rPr>
          <w:rFonts w:hint="default"/>
        </w:rPr>
        <w:t>The Foundation's regulatory framework</w:t>
      </w:r>
    </w:p>
    <w:p/>
    <w:p/>
    <w:p>
      <w:r>
        <w:rPr>
          <w:rFonts w:hint="default"/>
        </w:rPr>
        <w:t>The Foundation's mission lock</w:t>
      </w:r>
    </w:p>
    <w:p/>
    <w:p/>
    <w:p>
      <w:r>
        <w:rPr>
          <w:rFonts w:hint="default"/>
        </w:rPr>
        <w:t>The Foundation's continental scale</w:t>
      </w:r>
    </w:p>
    <w:p/>
    <w:p>
      <w:r>
        <w:rPr>
          <w:rFonts w:hint="default"/>
        </w:rPr>
        <w:t>The land reserve appreciates because of the Foundation's development.</w:t>
      </w:r>
    </w:p>
    <w:p>
      <w:r>
        <w:rPr>
          <w:rFonts w:hint="default"/>
        </w:rPr>
        <w:t>The appreciation benefits everyone — Core, Partners, and the Foundation.</w:t>
      </w:r>
    </w:p>
    <w:p>
      <w:r>
        <w:rPr>
          <w:rFonts w:hint="default"/>
        </w:rPr>
        <w:t>Over time, Jowih Core companies grow into their 30%.</w:t>
      </w:r>
    </w:p>
    <w:p>
      <w:r>
        <w:rPr>
          <w:rFonts w:hint="default"/>
        </w:rPr>
        <w:t>Until then, the land reserve appreciation fills the gap.</w:t>
      </w:r>
    </w:p>
    <w:p>
      <w:r>
        <w:rPr>
          <w:rFonts w:hint="default"/>
        </w:rPr>
        <w:t>The structural allocation is designed so that every participant benefits from the Foundation's development work.</w:t>
      </w:r>
    </w:p>
    <w:p>
      <w:r>
        <w:pict>
          <v:rect id="_x0000_i1084"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 LAND ACQUISITION &amp; SETTLEMENT FACILITY</w:t>
      </w:r>
    </w:p>
    <w:p>
      <w:pPr>
        <w:rPr>
          <w:rFonts w:hint="default"/>
        </w:rPr>
      </w:pPr>
      <w:r>
        <w:rPr>
          <w:rFonts w:hint="default"/>
        </w:rPr>
        <w:t>10.1 Purpose</w:t>
      </w:r>
    </w:p>
    <w:p>
      <w:r>
        <w:rPr>
          <w:rFonts w:hint="default"/>
        </w:rPr>
        <w:t>The Master Fund is designed to provide an additional economic settlement mechanism for large-scale land acquisition required by qualifying projects across the Jowih ecosystem.</w:t>
      </w:r>
    </w:p>
    <w:p>
      <w:r>
        <w:rPr>
          <w:rFonts w:hint="default"/>
        </w:rPr>
        <w:t xml:space="preserve">The Facility is </w:t>
      </w:r>
      <w:r>
        <w:rPr>
          <w:rFonts w:hint="default"/>
        </w:rPr>
        <w:t>not restricted to the Jowih Foundation</w:t>
      </w:r>
      <w:r>
        <w:rPr>
          <w:rFonts w:hint="default"/>
        </w:rPr>
        <w:t>.</w:t>
      </w:r>
    </w:p>
    <w:p>
      <w:r>
        <w:rPr>
          <w:rFonts w:hint="default"/>
        </w:rPr>
        <w:t>Subject to eligibility, valuation, regulatory approval and applicable law, the Facility may be made available to:</w:t>
      </w:r>
    </w:p>
    <w:p/>
    <w:p>
      <w:r>
        <w:rPr>
          <w:rFonts w:hint="default"/>
        </w:rPr>
        <w:t>Jowih Foundation projects;</w:t>
      </w:r>
    </w:p>
    <w:p/>
    <w:p/>
    <w:p>
      <w:r>
        <w:rPr>
          <w:rFonts w:hint="default"/>
        </w:rPr>
        <w:t>Jowih Group operating companies;</w:t>
      </w:r>
    </w:p>
    <w:p/>
    <w:p/>
    <w:p>
      <w:r>
        <w:rPr>
          <w:rFonts w:hint="default"/>
        </w:rPr>
        <w:t>qualifying Jowih Core enterprises;</w:t>
      </w:r>
    </w:p>
    <w:p/>
    <w:p/>
    <w:p>
      <w:r>
        <w:rPr>
          <w:rFonts w:hint="default"/>
        </w:rPr>
        <w:t>qualifying Ecosystem Partner enterprises; and</w:t>
      </w:r>
    </w:p>
    <w:p/>
    <w:p/>
    <w:p>
      <w:r>
        <w:rPr>
          <w:rFonts w:hint="default"/>
        </w:rPr>
        <w:t>other approved ecosystem entities where permitted by the Fund structure.</w:t>
      </w:r>
    </w:p>
    <w:p/>
    <w:p>
      <w:pPr>
        <w:rPr>
          <w:rFonts w:hint="default"/>
        </w:rPr>
      </w:pPr>
      <w:r>
        <w:rPr>
          <w:rFonts w:hint="default"/>
        </w:rPr>
        <w:t>10.2 Development Application</w:t>
      </w:r>
    </w:p>
    <w:p>
      <w:r>
        <w:rPr>
          <w:rFonts w:hint="default"/>
        </w:rPr>
        <w:t>The Facility may support land requirements associated with:</w:t>
      </w:r>
    </w:p>
    <w:p/>
    <w:p>
      <w:r>
        <w:rPr>
          <w:rFonts w:hint="default"/>
        </w:rPr>
        <w:t>continental infrastructure;</w:t>
      </w:r>
    </w:p>
    <w:p/>
    <w:p/>
    <w:p>
      <w:r>
        <w:rPr>
          <w:rFonts w:hint="default"/>
        </w:rPr>
        <w:t>industrial and manufacturing developments;</w:t>
      </w:r>
    </w:p>
    <w:p/>
    <w:p/>
    <w:p>
      <w:r>
        <w:rPr>
          <w:rFonts w:hint="default"/>
        </w:rPr>
        <w:t>energy systems;</w:t>
      </w:r>
    </w:p>
    <w:p/>
    <w:p/>
    <w:p>
      <w:r>
        <w:rPr>
          <w:rFonts w:hint="default"/>
        </w:rPr>
        <w:t>logistics networks;</w:t>
      </w:r>
    </w:p>
    <w:p/>
    <w:p/>
    <w:p>
      <w:r>
        <w:rPr>
          <w:rFonts w:hint="default"/>
        </w:rPr>
        <w:t>technology infrastructure;</w:t>
      </w:r>
    </w:p>
    <w:p/>
    <w:p/>
    <w:p>
      <w:r>
        <w:rPr>
          <w:rFonts w:hint="default"/>
        </w:rPr>
        <w:t>data centres and digital infrastructure;</w:t>
      </w:r>
    </w:p>
    <w:p/>
    <w:p/>
    <w:p>
      <w:r>
        <w:rPr>
          <w:rFonts w:hint="default"/>
        </w:rPr>
        <w:t>housing;</w:t>
      </w:r>
    </w:p>
    <w:p/>
    <w:p/>
    <w:p>
      <w:r>
        <w:rPr>
          <w:rFonts w:hint="default"/>
        </w:rPr>
        <w:t>municipal developments;</w:t>
      </w:r>
    </w:p>
    <w:p/>
    <w:p/>
    <w:p>
      <w:r>
        <w:rPr>
          <w:rFonts w:hint="default"/>
        </w:rPr>
        <w:t>transport infrastructure; and</w:t>
      </w:r>
    </w:p>
    <w:p/>
    <w:p/>
    <w:p>
      <w:r>
        <w:rPr>
          <w:rFonts w:hint="default"/>
        </w:rPr>
        <w:t>other qualifying development projects.</w:t>
      </w:r>
    </w:p>
    <w:p/>
    <w:p>
      <w:pPr>
        <w:rPr>
          <w:rFonts w:hint="default"/>
        </w:rPr>
      </w:pPr>
      <w:r>
        <w:rPr>
          <w:rFonts w:hint="default"/>
        </w:rPr>
        <w:t>10.3 Structural Problem Addressed</w:t>
      </w:r>
    </w:p>
    <w:p>
      <w:r>
        <w:rPr>
          <w:rFonts w:hint="default"/>
        </w:rPr>
        <w:t>Large-scale infrastructure projects may require significant land assemblies.</w:t>
      </w:r>
    </w:p>
    <w:p>
      <w:r>
        <w:rPr>
          <w:rFonts w:hint="default"/>
        </w:rPr>
        <w:t>A project may face substantial upfront cash requirements while landowners or other lawful rights holders may prefer a settlement structure that provides continuing economic participation rather than only a one-time cash payment.</w:t>
      </w:r>
    </w:p>
    <w:p>
      <w:r>
        <w:rPr>
          <w:rFonts w:hint="default"/>
        </w:rPr>
        <w:t>Where legally permissible, the Facility provides an alternative consensual settlement mechanism combining:</w:t>
      </w:r>
    </w:p>
    <w:p>
      <w:r>
        <w:rPr>
          <w:rFonts w:hint="eastAsia"/>
        </w:rPr>
        <w:t>Cash Consideration + Regulated Fund-Unit Consideration</w:t>
      </w:r>
    </w:p>
    <w:p>
      <w:r>
        <w:rPr>
          <w:rFonts w:hint="default"/>
        </w:rPr>
        <w:t>The mechanism does not replace compulsory-acquisition law or other applicable land law.</w:t>
      </w:r>
    </w:p>
    <w:p>
      <w:r>
        <w:pict>
          <v:rect id="_x0000_i1085"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XI. THREE-PARTY SETTLEMENT FRAMEWORK</w:t>
      </w:r>
    </w:p>
    <w:p>
      <w:r>
        <w:rPr>
          <w:rFonts w:hint="default"/>
        </w:rPr>
        <w:t>Where applicable, the transaction shall be structured among:</w:t>
      </w:r>
    </w:p>
    <w:p>
      <w:r>
        <w:rPr>
          <w:rFonts w:hint="default"/>
        </w:rPr>
        <w:t>Relevant Public Authority / Government</w:t>
      </w:r>
    </w:p>
    <w:p/>
    <w:p>
      <w:r>
        <w:rPr>
          <w:rFonts w:hint="default"/>
        </w:rPr>
        <w:t>Project Entity</w:t>
      </w:r>
    </w:p>
    <w:p/>
    <w:p>
      <w:r>
        <w:rPr>
          <w:rFonts w:hint="default"/>
        </w:rPr>
        <w:t>Landowners and/or Legally Recognized Community Representatives</w:t>
      </w:r>
    </w:p>
    <w:p>
      <w:r>
        <w:rPr>
          <w:rFonts w:hint="default"/>
        </w:rPr>
        <w:t>The Jowih Foundation may participate where the project is Foundation-led or otherwise mission-linked.</w:t>
      </w:r>
    </w:p>
    <w:p>
      <w:r>
        <w:rPr>
          <w:rFonts w:hint="default"/>
        </w:rPr>
        <w:t>The precise parties depend upon land tenure, jurisdiction, project structure and applicable law.</w:t>
      </w:r>
    </w:p>
    <w:p>
      <w:r>
        <w:pict>
          <v:rect id="_x0000_i1086"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XII. LAND SETTLEMENT PROCESS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683"/>
        <w:gridCol w:w="859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683"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Stage</w:t>
            </w:r>
          </w:p>
        </w:tc>
        <w:tc>
          <w:tcPr>
            <w:tcW w:w="8597"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Required 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83" w:type="dxa"/>
            <w:shd w:val="clear"/>
            <w:tcMar>
              <w:top w:w="150" w:type="dxa"/>
              <w:left w:w="0" w:type="dxa"/>
              <w:bottom w:w="150" w:type="dxa"/>
              <w:right w:w="240" w:type="dxa"/>
            </w:tcMar>
            <w:vAlign w:val="center"/>
          </w:tcPr>
          <w:p>
            <w:pPr>
              <w:rPr>
                <w:rFonts w:hint="default"/>
              </w:rPr>
            </w:pPr>
            <w:r>
              <w:rPr>
                <w:rFonts w:hint="default"/>
                <w:lang w:val="en-US" w:eastAsia="zh-CN"/>
              </w:rPr>
              <w:t>1. Project Identification</w:t>
            </w:r>
          </w:p>
        </w:tc>
        <w:tc>
          <w:tcPr>
            <w:tcW w:w="8597" w:type="dxa"/>
            <w:shd w:val="clear"/>
            <w:tcMar>
              <w:top w:w="150" w:type="dxa"/>
              <w:left w:w="240" w:type="dxa"/>
              <w:bottom w:w="150" w:type="dxa"/>
              <w:right w:w="0" w:type="dxa"/>
            </w:tcMar>
            <w:vAlign w:val="center"/>
          </w:tcPr>
          <w:p>
            <w:pPr>
              <w:rPr>
                <w:rFonts w:hint="default"/>
              </w:rPr>
            </w:pPr>
            <w:r>
              <w:rPr>
                <w:rFonts w:hint="default"/>
                <w:lang w:val="en-US" w:eastAsia="zh-CN"/>
              </w:rPr>
              <w:t>An eligible project identifies and defines the land requirement.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83" w:type="dxa"/>
            <w:shd w:val="clear"/>
            <w:tcMar>
              <w:top w:w="150" w:type="dxa"/>
              <w:left w:w="0" w:type="dxa"/>
              <w:bottom w:w="150" w:type="dxa"/>
              <w:right w:w="240" w:type="dxa"/>
            </w:tcMar>
            <w:vAlign w:val="center"/>
          </w:tcPr>
          <w:p>
            <w:pPr>
              <w:rPr>
                <w:rFonts w:hint="default"/>
              </w:rPr>
            </w:pPr>
            <w:r>
              <w:rPr>
                <w:rFonts w:hint="default"/>
                <w:lang w:val="en-US" w:eastAsia="zh-CN"/>
              </w:rPr>
              <w:t>2. Title &amp; Legal Due Diligence</w:t>
            </w:r>
          </w:p>
        </w:tc>
        <w:tc>
          <w:tcPr>
            <w:tcW w:w="8597" w:type="dxa"/>
            <w:shd w:val="clear"/>
            <w:tcMar>
              <w:top w:w="150" w:type="dxa"/>
              <w:left w:w="240" w:type="dxa"/>
              <w:bottom w:w="150" w:type="dxa"/>
              <w:right w:w="0" w:type="dxa"/>
            </w:tcMar>
            <w:vAlign w:val="center"/>
          </w:tcPr>
          <w:p>
            <w:pPr>
              <w:rPr>
                <w:rFonts w:hint="default"/>
              </w:rPr>
            </w:pPr>
            <w:r>
              <w:rPr>
                <w:rFonts w:hint="default"/>
                <w:lang w:val="en-US" w:eastAsia="zh-CN"/>
              </w:rPr>
              <w:t>Ownership, title, encumbrances, inheritance, planning and other relevant rights are verified.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83" w:type="dxa"/>
            <w:shd w:val="clear"/>
            <w:tcMar>
              <w:top w:w="150" w:type="dxa"/>
              <w:left w:w="0" w:type="dxa"/>
              <w:bottom w:w="150" w:type="dxa"/>
              <w:right w:w="240" w:type="dxa"/>
            </w:tcMar>
            <w:vAlign w:val="center"/>
          </w:tcPr>
          <w:p>
            <w:pPr>
              <w:rPr>
                <w:rFonts w:hint="default"/>
              </w:rPr>
            </w:pPr>
            <w:r>
              <w:rPr>
                <w:rFonts w:hint="default"/>
                <w:lang w:val="en-US" w:eastAsia="zh-CN"/>
              </w:rPr>
              <w:t>3. Independent Valuation</w:t>
            </w:r>
          </w:p>
        </w:tc>
        <w:tc>
          <w:tcPr>
            <w:tcW w:w="8597" w:type="dxa"/>
            <w:shd w:val="clear"/>
            <w:tcMar>
              <w:top w:w="150" w:type="dxa"/>
              <w:left w:w="240" w:type="dxa"/>
              <w:bottom w:w="150" w:type="dxa"/>
              <w:right w:w="0" w:type="dxa"/>
            </w:tcMar>
            <w:vAlign w:val="center"/>
          </w:tcPr>
          <w:p>
            <w:pPr>
              <w:rPr>
                <w:rFonts w:hint="default"/>
              </w:rPr>
            </w:pPr>
            <w:r>
              <w:rPr>
                <w:rFonts w:hint="default"/>
                <w:lang w:val="en-US" w:eastAsia="zh-CN"/>
              </w:rPr>
              <w:t>Land interests and applicable compensation are independently valued under applicable law and professional standards.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83" w:type="dxa"/>
            <w:shd w:val="clear"/>
            <w:tcMar>
              <w:top w:w="150" w:type="dxa"/>
              <w:left w:w="0" w:type="dxa"/>
              <w:bottom w:w="150" w:type="dxa"/>
              <w:right w:w="240" w:type="dxa"/>
            </w:tcMar>
            <w:vAlign w:val="center"/>
          </w:tcPr>
          <w:p>
            <w:pPr>
              <w:rPr>
                <w:rFonts w:hint="default"/>
              </w:rPr>
            </w:pPr>
            <w:r>
              <w:rPr>
                <w:rFonts w:hint="default"/>
                <w:lang w:val="en-US" w:eastAsia="zh-CN"/>
              </w:rPr>
              <w:t>4. Participatory Negotiation</w:t>
            </w:r>
          </w:p>
        </w:tc>
        <w:tc>
          <w:tcPr>
            <w:tcW w:w="8597" w:type="dxa"/>
            <w:shd w:val="clear"/>
            <w:tcMar>
              <w:top w:w="150" w:type="dxa"/>
              <w:left w:w="240" w:type="dxa"/>
              <w:bottom w:w="150" w:type="dxa"/>
              <w:right w:w="0" w:type="dxa"/>
            </w:tcMar>
            <w:vAlign w:val="center"/>
          </w:tcPr>
          <w:p>
            <w:pPr>
              <w:rPr>
                <w:rFonts w:hint="default"/>
              </w:rPr>
            </w:pPr>
            <w:r>
              <w:rPr>
                <w:rFonts w:hint="default"/>
                <w:lang w:val="en-US" w:eastAsia="zh-CN"/>
              </w:rPr>
              <w:t>Relevant authorities, project entities, landowners and/or legally recognized representatives establish the proposed settlement structure.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83" w:type="dxa"/>
            <w:shd w:val="clear"/>
            <w:tcMar>
              <w:top w:w="150" w:type="dxa"/>
              <w:left w:w="0" w:type="dxa"/>
              <w:bottom w:w="150" w:type="dxa"/>
              <w:right w:w="240" w:type="dxa"/>
            </w:tcMar>
            <w:vAlign w:val="center"/>
          </w:tcPr>
          <w:p>
            <w:pPr>
              <w:rPr>
                <w:rFonts w:hint="default"/>
              </w:rPr>
            </w:pPr>
            <w:r>
              <w:rPr>
                <w:rFonts w:hint="default"/>
                <w:lang w:val="en-US" w:eastAsia="zh-CN"/>
              </w:rPr>
              <w:t>5. Cash Consideration</w:t>
            </w:r>
          </w:p>
        </w:tc>
        <w:tc>
          <w:tcPr>
            <w:tcW w:w="8597" w:type="dxa"/>
            <w:shd w:val="clear"/>
            <w:tcMar>
              <w:top w:w="150" w:type="dxa"/>
              <w:left w:w="240" w:type="dxa"/>
              <w:bottom w:w="150" w:type="dxa"/>
              <w:right w:w="0" w:type="dxa"/>
            </w:tcMar>
            <w:vAlign w:val="center"/>
          </w:tcPr>
          <w:p>
            <w:pPr>
              <w:rPr>
                <w:rFonts w:hint="default"/>
              </w:rPr>
            </w:pPr>
            <w:r>
              <w:rPr>
                <w:rFonts w:hint="default"/>
                <w:lang w:val="en-US" w:eastAsia="zh-CN"/>
              </w:rPr>
              <w:t>The project entity provides the agreed cash component.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83" w:type="dxa"/>
            <w:shd w:val="clear"/>
            <w:tcMar>
              <w:top w:w="150" w:type="dxa"/>
              <w:left w:w="0" w:type="dxa"/>
              <w:bottom w:w="150" w:type="dxa"/>
              <w:right w:w="240" w:type="dxa"/>
            </w:tcMar>
            <w:vAlign w:val="center"/>
          </w:tcPr>
          <w:p>
            <w:pPr>
              <w:rPr>
                <w:rFonts w:hint="default"/>
              </w:rPr>
            </w:pPr>
            <w:r>
              <w:rPr>
                <w:rFonts w:hint="default"/>
                <w:lang w:val="en-US" w:eastAsia="zh-CN"/>
              </w:rPr>
              <w:t>6. Fund-Unit Consideration</w:t>
            </w:r>
          </w:p>
        </w:tc>
        <w:tc>
          <w:tcPr>
            <w:tcW w:w="8597" w:type="dxa"/>
            <w:shd w:val="clear"/>
            <w:tcMar>
              <w:top w:w="150" w:type="dxa"/>
              <w:left w:w="240" w:type="dxa"/>
              <w:bottom w:w="150" w:type="dxa"/>
              <w:right w:w="0" w:type="dxa"/>
            </w:tcMar>
            <w:vAlign w:val="center"/>
          </w:tcPr>
          <w:p>
            <w:pPr>
              <w:rPr>
                <w:rFonts w:hint="default"/>
              </w:rPr>
            </w:pPr>
            <w:r>
              <w:rPr>
                <w:rFonts w:hint="default"/>
                <w:lang w:val="en-US" w:eastAsia="zh-CN"/>
              </w:rPr>
              <w:t>Where legally permissible, the agreed remaining consideration is satisfied through Master Ecosystem Fund Units valued under the applicable Fund methodology.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83" w:type="dxa"/>
            <w:shd w:val="clear"/>
            <w:tcMar>
              <w:top w:w="150" w:type="dxa"/>
              <w:left w:w="0" w:type="dxa"/>
              <w:bottom w:w="150" w:type="dxa"/>
              <w:right w:w="240" w:type="dxa"/>
            </w:tcMar>
            <w:vAlign w:val="center"/>
          </w:tcPr>
          <w:p>
            <w:pPr>
              <w:rPr>
                <w:rFonts w:hint="default"/>
              </w:rPr>
            </w:pPr>
            <w:r>
              <w:rPr>
                <w:rFonts w:hint="default"/>
                <w:lang w:val="en-US" w:eastAsia="zh-CN"/>
              </w:rPr>
              <w:t>7. Legal Completion</w:t>
            </w:r>
          </w:p>
        </w:tc>
        <w:tc>
          <w:tcPr>
            <w:tcW w:w="8597" w:type="dxa"/>
            <w:shd w:val="clear"/>
            <w:tcMar>
              <w:top w:w="150" w:type="dxa"/>
              <w:left w:w="240" w:type="dxa"/>
              <w:bottom w:w="150" w:type="dxa"/>
              <w:right w:w="0" w:type="dxa"/>
            </w:tcMar>
            <w:vAlign w:val="center"/>
          </w:tcPr>
          <w:p>
            <w:pPr>
              <w:rPr>
                <w:rFonts w:hint="default"/>
              </w:rPr>
            </w:pPr>
            <w:r>
              <w:rPr>
                <w:rFonts w:hint="default"/>
                <w:lang w:val="en-US" w:eastAsia="zh-CN"/>
              </w:rPr>
              <w:t>All required legal, financial, regulatory and registration conditions are satisfied.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83" w:type="dxa"/>
            <w:shd w:val="clear"/>
            <w:tcMar>
              <w:top w:w="150" w:type="dxa"/>
              <w:left w:w="0" w:type="dxa"/>
              <w:bottom w:w="150" w:type="dxa"/>
              <w:right w:w="240" w:type="dxa"/>
            </w:tcMar>
            <w:vAlign w:val="center"/>
          </w:tcPr>
          <w:p>
            <w:pPr>
              <w:rPr>
                <w:rFonts w:hint="default"/>
              </w:rPr>
            </w:pPr>
            <w:r>
              <w:rPr>
                <w:rFonts w:hint="default"/>
                <w:lang w:val="en-US" w:eastAsia="zh-CN"/>
              </w:rPr>
              <w:t>8. Transfer/Settlement</w:t>
            </w:r>
          </w:p>
        </w:tc>
        <w:tc>
          <w:tcPr>
            <w:tcW w:w="8597" w:type="dxa"/>
            <w:shd w:val="clear"/>
            <w:tcMar>
              <w:top w:w="150" w:type="dxa"/>
              <w:left w:w="240" w:type="dxa"/>
              <w:bottom w:w="150" w:type="dxa"/>
              <w:right w:w="0" w:type="dxa"/>
            </w:tcMar>
            <w:vAlign w:val="center"/>
          </w:tcPr>
          <w:p>
            <w:pPr>
              <w:rPr>
                <w:rFonts w:hint="default"/>
              </w:rPr>
            </w:pPr>
            <w:r>
              <w:rPr>
                <w:rFonts w:hint="default"/>
                <w:lang w:val="en-US" w:eastAsia="zh-CN"/>
              </w:rPr>
              <w:t>The applicable land interest transfers or the relevant settlement is completed according to executed transaction documents.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83" w:type="dxa"/>
            <w:shd w:val="clear"/>
            <w:tcMar>
              <w:top w:w="150" w:type="dxa"/>
              <w:left w:w="0" w:type="dxa"/>
              <w:bottom w:w="150" w:type="dxa"/>
              <w:right w:w="240" w:type="dxa"/>
            </w:tcMar>
            <w:vAlign w:val="center"/>
          </w:tcPr>
          <w:p>
            <w:pPr>
              <w:rPr>
                <w:rFonts w:hint="default"/>
              </w:rPr>
            </w:pPr>
            <w:r>
              <w:rPr>
                <w:rFonts w:hint="default"/>
                <w:lang w:val="en-US" w:eastAsia="zh-CN"/>
              </w:rPr>
              <w:t>9. Economic Participation</w:t>
            </w:r>
          </w:p>
        </w:tc>
        <w:tc>
          <w:tcPr>
            <w:tcW w:w="8597" w:type="dxa"/>
            <w:shd w:val="clear"/>
            <w:tcMar>
              <w:top w:w="150" w:type="dxa"/>
              <w:left w:w="240" w:type="dxa"/>
              <w:bottom w:w="150" w:type="dxa"/>
              <w:right w:w="0" w:type="dxa"/>
            </w:tcMar>
            <w:vAlign w:val="center"/>
          </w:tcPr>
          <w:p>
            <w:pPr>
              <w:rPr>
                <w:rFonts w:hint="default"/>
              </w:rPr>
            </w:pPr>
            <w:r>
              <w:rPr>
                <w:rFonts w:hint="default"/>
                <w:lang w:val="en-US" w:eastAsia="zh-CN"/>
              </w:rPr>
              <w:t>Eligible recipients hold the applicable Fund Units subject to the rights and restrictions of the relevant Unit class.</w:t>
            </w:r>
          </w:p>
        </w:tc>
      </w:tr>
    </w:tbl>
    <w:p>
      <w:r>
        <w:pict>
          <v:rect id="_x0000_i1087"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XIII. ILLUSTRATIVE LAND-SETTLEMENT TRANSACTION</w:t>
      </w:r>
    </w:p>
    <w:p>
      <w:pPr>
        <w:rPr>
          <w:rFonts w:hint="default"/>
        </w:rPr>
      </w:pPr>
      <w:r>
        <w:rPr>
          <w:rFonts w:hint="default"/>
        </w:rPr>
        <w:t>Illustrative Independent Land Valuation: US$100 Million</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302"/>
        <w:gridCol w:w="3300"/>
        <w:gridCol w:w="26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5302"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Consideration</w:t>
            </w:r>
          </w:p>
        </w:tc>
        <w:tc>
          <w:tcPr>
            <w:tcW w:w="3300"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Amount</w:t>
            </w:r>
          </w:p>
        </w:tc>
        <w:tc>
          <w:tcPr>
            <w:tcW w:w="2677"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Percentage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302" w:type="dxa"/>
            <w:shd w:val="clear"/>
            <w:tcMar>
              <w:top w:w="150" w:type="dxa"/>
              <w:left w:w="0" w:type="dxa"/>
              <w:bottom w:w="150" w:type="dxa"/>
              <w:right w:w="240" w:type="dxa"/>
            </w:tcMar>
            <w:vAlign w:val="center"/>
          </w:tcPr>
          <w:p>
            <w:pPr>
              <w:rPr>
                <w:rFonts w:hint="default"/>
              </w:rPr>
            </w:pPr>
            <w:r>
              <w:rPr>
                <w:rFonts w:hint="default"/>
                <w:lang w:val="en-US" w:eastAsia="zh-CN"/>
              </w:rPr>
              <w:t>Cash Consideration</w:t>
            </w:r>
          </w:p>
        </w:tc>
        <w:tc>
          <w:tcPr>
            <w:tcW w:w="3300" w:type="dxa"/>
            <w:shd w:val="clear"/>
            <w:tcMar>
              <w:top w:w="150" w:type="dxa"/>
              <w:left w:w="240" w:type="dxa"/>
              <w:bottom w:w="150" w:type="dxa"/>
              <w:right w:w="240" w:type="dxa"/>
            </w:tcMar>
            <w:vAlign w:val="center"/>
          </w:tcPr>
          <w:p>
            <w:pPr>
              <w:rPr>
                <w:rFonts w:hint="default"/>
              </w:rPr>
            </w:pPr>
            <w:r>
              <w:rPr>
                <w:rFonts w:hint="default"/>
                <w:lang w:val="en-US" w:eastAsia="zh-CN"/>
              </w:rPr>
              <w:t>US$30 million</w:t>
            </w:r>
          </w:p>
        </w:tc>
        <w:tc>
          <w:tcPr>
            <w:tcW w:w="2677" w:type="dxa"/>
            <w:shd w:val="clear"/>
            <w:tcMar>
              <w:top w:w="150" w:type="dxa"/>
              <w:left w:w="240" w:type="dxa"/>
              <w:bottom w:w="150" w:type="dxa"/>
              <w:right w:w="0" w:type="dxa"/>
            </w:tcMar>
            <w:vAlign w:val="center"/>
          </w:tcPr>
          <w:p>
            <w:pPr>
              <w:rPr>
                <w:rFonts w:hint="default"/>
              </w:rPr>
            </w:pPr>
            <w:r>
              <w:rPr>
                <w:rFonts w:hint="default"/>
                <w:lang w:val="en-US" w:eastAsia="zh-CN"/>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302" w:type="dxa"/>
            <w:shd w:val="clear"/>
            <w:tcMar>
              <w:top w:w="150" w:type="dxa"/>
              <w:left w:w="0" w:type="dxa"/>
              <w:bottom w:w="150" w:type="dxa"/>
              <w:right w:w="240" w:type="dxa"/>
            </w:tcMar>
            <w:vAlign w:val="center"/>
          </w:tcPr>
          <w:p>
            <w:pPr>
              <w:rPr>
                <w:rFonts w:hint="default"/>
              </w:rPr>
            </w:pPr>
            <w:r>
              <w:rPr>
                <w:rFonts w:hint="default"/>
                <w:lang w:val="en-US" w:eastAsia="zh-CN"/>
              </w:rPr>
              <w:t>Master Ecosystem Fund Units</w:t>
            </w:r>
          </w:p>
        </w:tc>
        <w:tc>
          <w:tcPr>
            <w:tcW w:w="3300" w:type="dxa"/>
            <w:shd w:val="clear"/>
            <w:tcMar>
              <w:top w:w="150" w:type="dxa"/>
              <w:left w:w="240" w:type="dxa"/>
              <w:bottom w:w="150" w:type="dxa"/>
              <w:right w:w="240" w:type="dxa"/>
            </w:tcMar>
            <w:vAlign w:val="center"/>
          </w:tcPr>
          <w:p>
            <w:pPr>
              <w:rPr>
                <w:rFonts w:hint="default"/>
              </w:rPr>
            </w:pPr>
            <w:r>
              <w:rPr>
                <w:rFonts w:hint="default"/>
                <w:lang w:val="en-US" w:eastAsia="zh-CN"/>
              </w:rPr>
              <w:t>US$70 million</w:t>
            </w:r>
          </w:p>
        </w:tc>
        <w:tc>
          <w:tcPr>
            <w:tcW w:w="2677" w:type="dxa"/>
            <w:shd w:val="clear"/>
            <w:tcMar>
              <w:top w:w="150" w:type="dxa"/>
              <w:left w:w="240" w:type="dxa"/>
              <w:bottom w:w="150" w:type="dxa"/>
              <w:right w:w="0" w:type="dxa"/>
            </w:tcMar>
            <w:vAlign w:val="center"/>
          </w:tcPr>
          <w:p>
            <w:pPr>
              <w:rPr>
                <w:rFonts w:hint="default"/>
              </w:rPr>
            </w:pPr>
            <w:r>
              <w:rPr>
                <w:rFonts w:hint="default"/>
                <w:lang w:val="en-US" w:eastAsia="zh-CN"/>
              </w:rPr>
              <w:t>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302" w:type="dxa"/>
            <w:shd w:val="clear"/>
            <w:tcMar>
              <w:top w:w="150" w:type="dxa"/>
              <w:left w:w="0" w:type="dxa"/>
              <w:bottom w:w="150" w:type="dxa"/>
              <w:right w:w="240" w:type="dxa"/>
            </w:tcMar>
            <w:vAlign w:val="center"/>
          </w:tcPr>
          <w:p>
            <w:pPr>
              <w:rPr>
                <w:rFonts w:hint="default"/>
              </w:rPr>
            </w:pPr>
            <w:r>
              <w:rPr>
                <w:rFonts w:hint="default"/>
                <w:lang w:val="en-US" w:eastAsia="zh-CN"/>
              </w:rPr>
              <w:t>Total Agreed Consideration</w:t>
            </w:r>
          </w:p>
        </w:tc>
        <w:tc>
          <w:tcPr>
            <w:tcW w:w="3300" w:type="dxa"/>
            <w:shd w:val="clear"/>
            <w:tcMar>
              <w:top w:w="150" w:type="dxa"/>
              <w:left w:w="240" w:type="dxa"/>
              <w:bottom w:w="150" w:type="dxa"/>
              <w:right w:w="240" w:type="dxa"/>
            </w:tcMar>
            <w:vAlign w:val="center"/>
          </w:tcPr>
          <w:p>
            <w:pPr>
              <w:rPr>
                <w:rFonts w:hint="default"/>
              </w:rPr>
            </w:pPr>
            <w:r>
              <w:rPr>
                <w:rFonts w:hint="default"/>
                <w:lang w:val="en-US" w:eastAsia="zh-CN"/>
              </w:rPr>
              <w:t>US$100 million</w:t>
            </w:r>
          </w:p>
        </w:tc>
        <w:tc>
          <w:tcPr>
            <w:tcW w:w="2677" w:type="dxa"/>
            <w:shd w:val="clear"/>
            <w:tcMar>
              <w:top w:w="150" w:type="dxa"/>
              <w:left w:w="240" w:type="dxa"/>
              <w:bottom w:w="150" w:type="dxa"/>
              <w:right w:w="0" w:type="dxa"/>
            </w:tcMar>
            <w:vAlign w:val="center"/>
          </w:tcPr>
          <w:p>
            <w:pPr>
              <w:rPr>
                <w:rFonts w:hint="default"/>
              </w:rPr>
            </w:pPr>
            <w:r>
              <w:rPr>
                <w:rFonts w:hint="default"/>
                <w:lang w:val="en-US" w:eastAsia="zh-CN"/>
              </w:rPr>
              <w:t>100%</w:t>
            </w:r>
          </w:p>
        </w:tc>
      </w:tr>
    </w:tbl>
    <w:p>
      <w:r>
        <w:rPr>
          <w:rFonts w:hint="default"/>
        </w:rPr>
        <w:t>The US$70 million in Fund Units represents the agreed investment consideration at the applicable transaction valuation.</w:t>
      </w:r>
    </w:p>
    <w:p>
      <w:r>
        <w:rPr>
          <w:rFonts w:hint="default"/>
        </w:rPr>
        <w:t xml:space="preserve">It does </w:t>
      </w:r>
      <w:r>
        <w:rPr>
          <w:rFonts w:hint="default"/>
        </w:rPr>
        <w:t>not</w:t>
      </w:r>
      <w:r>
        <w:rPr>
          <w:rFonts w:hint="default"/>
        </w:rPr>
        <w:t xml:space="preserve"> constitute a guaranteed future cash payment of US$70 million.</w:t>
      </w:r>
    </w:p>
    <w:p>
      <w:r>
        <w:rPr>
          <w:rFonts w:hint="default"/>
        </w:rPr>
        <w:t>Subsequent appreciation, depreciation, distributions or other economic outcomes are determined by the performance and terms of the applicable Fund/Unit class.</w:t>
      </w:r>
    </w:p>
    <w:p>
      <w:r>
        <w:pict>
          <v:rect id="_x0000_i1088"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XIV. INVESTOR RIGHTS FOLLOWING SETTLEMENT</w:t>
      </w:r>
    </w:p>
    <w:p>
      <w:r>
        <w:rPr>
          <w:rFonts w:hint="default"/>
        </w:rPr>
        <w:t>Subject to applicable law, Fund rules and the relevant Unit class, an investor may:</w:t>
      </w:r>
    </w:p>
    <w:p/>
    <w:p>
      <w:r>
        <w:rPr>
          <w:rFonts w:hint="default"/>
        </w:rPr>
        <w:t>retain the Units as an investment;</w:t>
      </w:r>
    </w:p>
    <w:p/>
    <w:p/>
    <w:p>
      <w:r>
        <w:rPr>
          <w:rFonts w:hint="default"/>
        </w:rPr>
        <w:t>receive permitted distributions;</w:t>
      </w:r>
    </w:p>
    <w:p/>
    <w:p/>
    <w:p>
      <w:r>
        <w:rPr>
          <w:rFonts w:hint="default"/>
        </w:rPr>
        <w:t>transfer or sell Units through authorized mechanisms;</w:t>
      </w:r>
    </w:p>
    <w:p/>
    <w:p/>
    <w:p>
      <w:r>
        <w:rPr>
          <w:rFonts w:hint="default"/>
        </w:rPr>
        <w:t>redeem Units where permitted by the Fund structure; or</w:t>
      </w:r>
    </w:p>
    <w:p/>
    <w:p/>
    <w:p>
      <w:r>
        <w:rPr>
          <w:rFonts w:hint="default"/>
        </w:rPr>
        <w:t>otherwise exercise the rights attached to the applicable Unit class.</w:t>
      </w:r>
    </w:p>
    <w:p/>
    <w:p>
      <w:r>
        <w:rPr>
          <w:rFonts w:hint="default"/>
        </w:rPr>
        <w:t>The project entity does not control the investor's subsequent investment decision except where lawful contractual restrictions apply.</w:t>
      </w:r>
    </w:p>
    <w:p>
      <w:r>
        <w:pict>
          <v:rect id="_x0000_i1089"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XV. LAND, COMMUNITY AND LEGAL PROTECTION FRAMEWORK</w:t>
      </w:r>
    </w:p>
    <w:p>
      <w:r>
        <w:rPr>
          <w:rFonts w:hint="default"/>
        </w:rPr>
        <w:t>The Land Acquisition &amp; Settlement Facility shall not be interpreted as a mechanism for bypassing:</w:t>
      </w:r>
    </w:p>
    <w:p/>
    <w:p>
      <w:r>
        <w:rPr>
          <w:rFonts w:hint="default"/>
        </w:rPr>
        <w:t>compulsory-acquisition law;</w:t>
      </w:r>
    </w:p>
    <w:p/>
    <w:p/>
    <w:p>
      <w:r>
        <w:rPr>
          <w:rFonts w:hint="default"/>
        </w:rPr>
        <w:t>community-land protections;</w:t>
      </w:r>
    </w:p>
    <w:p/>
    <w:p/>
    <w:p>
      <w:r>
        <w:rPr>
          <w:rFonts w:hint="default"/>
        </w:rPr>
        <w:t>title requirements;</w:t>
      </w:r>
    </w:p>
    <w:p/>
    <w:p/>
    <w:p>
      <w:r>
        <w:rPr>
          <w:rFonts w:hint="default"/>
        </w:rPr>
        <w:t>environmental requirements;</w:t>
      </w:r>
    </w:p>
    <w:p/>
    <w:p/>
    <w:p>
      <w:r>
        <w:rPr>
          <w:rFonts w:hint="default"/>
        </w:rPr>
        <w:t>planning requirements;</w:t>
      </w:r>
    </w:p>
    <w:p/>
    <w:p/>
    <w:p>
      <w:r>
        <w:rPr>
          <w:rFonts w:hint="default"/>
        </w:rPr>
        <w:t>inheritance rights;</w:t>
      </w:r>
    </w:p>
    <w:p/>
    <w:p/>
    <w:p>
      <w:r>
        <w:rPr>
          <w:rFonts w:hint="default"/>
        </w:rPr>
        <w:t>tax obligations;</w:t>
      </w:r>
    </w:p>
    <w:p/>
    <w:p/>
    <w:p>
      <w:r>
        <w:rPr>
          <w:rFonts w:hint="default"/>
        </w:rPr>
        <w:t>registration requirements;</w:t>
      </w:r>
    </w:p>
    <w:p/>
    <w:p/>
    <w:p>
      <w:r>
        <w:rPr>
          <w:rFonts w:hint="default"/>
        </w:rPr>
        <w:t>judicial remedies; or</w:t>
      </w:r>
    </w:p>
    <w:p/>
    <w:p/>
    <w:p>
      <w:r>
        <w:rPr>
          <w:rFonts w:hint="default"/>
        </w:rPr>
        <w:t>other mandatory legal protections.</w:t>
      </w:r>
    </w:p>
    <w:p/>
    <w:p>
      <w:r>
        <w:rPr>
          <w:rFonts w:hint="default"/>
        </w:rPr>
        <w:t xml:space="preserve">The Facility is intended solely as an </w:t>
      </w:r>
      <w:r>
        <w:rPr>
          <w:rFonts w:hint="default"/>
        </w:rPr>
        <w:t>additional consensual economic settlement mechanism</w:t>
      </w:r>
      <w:r>
        <w:rPr>
          <w:rFonts w:hint="default"/>
        </w:rPr>
        <w:t xml:space="preserve"> where the parties are legally able to adopt it.</w:t>
      </w:r>
    </w:p>
    <w:p>
      <w:r>
        <w:rPr>
          <w:rFonts w:hint="default"/>
        </w:rPr>
        <w:t>No transaction shall be considered complete solely because economic terms have been agreed.</w:t>
      </w:r>
    </w:p>
    <w:p>
      <w:r>
        <w:rPr>
          <w:rFonts w:hint="default"/>
        </w:rPr>
        <w:t>Completion requires satisfaction of all applicable legal, valuation, consent, regulatory, environmental, tax, registration and documentation requirements.</w:t>
      </w:r>
    </w:p>
    <w:p>
      <w:pPr>
        <w:rPr>
          <w:rFonts w:hint="default"/>
        </w:rPr>
      </w:pPr>
      <w:r>
        <w:rPr>
          <w:rFonts w:hint="default"/>
        </w:rPr>
        <w:t>15.1 Landowner Protection Standards</w:t>
      </w:r>
    </w:p>
    <w:p>
      <w:r>
        <w:rPr>
          <w:rFonts w:hint="default"/>
        </w:rPr>
        <w:t>The Land Acquisition &amp; Settlement Facility shall incorporate the following minimum protections: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963"/>
        <w:gridCol w:w="93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1963"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Protection</w:t>
            </w:r>
          </w:p>
        </w:tc>
        <w:tc>
          <w:tcPr>
            <w:tcW w:w="9317"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Standard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63" w:type="dxa"/>
            <w:shd w:val="clear"/>
            <w:tcMar>
              <w:top w:w="150" w:type="dxa"/>
              <w:left w:w="0" w:type="dxa"/>
              <w:bottom w:w="150" w:type="dxa"/>
              <w:right w:w="240" w:type="dxa"/>
            </w:tcMar>
            <w:vAlign w:val="center"/>
          </w:tcPr>
          <w:p>
            <w:pPr>
              <w:rPr>
                <w:rFonts w:hint="default"/>
              </w:rPr>
            </w:pPr>
            <w:r>
              <w:rPr>
                <w:rFonts w:hint="default"/>
                <w:lang w:val="en-US" w:eastAsia="zh-CN"/>
              </w:rPr>
              <w:t>Minimum Cash Component</w:t>
            </w:r>
          </w:p>
        </w:tc>
        <w:tc>
          <w:tcPr>
            <w:tcW w:w="9317" w:type="dxa"/>
            <w:shd w:val="clear"/>
            <w:tcMar>
              <w:top w:w="150" w:type="dxa"/>
              <w:left w:w="240" w:type="dxa"/>
              <w:bottom w:w="150" w:type="dxa"/>
              <w:right w:w="0" w:type="dxa"/>
            </w:tcMar>
            <w:vAlign w:val="center"/>
          </w:tcPr>
          <w:p>
            <w:pPr>
              <w:rPr>
                <w:rFonts w:hint="default"/>
              </w:rPr>
            </w:pPr>
            <w:r>
              <w:rPr>
                <w:rFonts w:hint="default"/>
                <w:lang w:val="en-US" w:eastAsia="zh-CN"/>
              </w:rPr>
              <w:t>At least 30–50% of the agreed consideration shall be paid in cash. The exact percentage shall be determined by applicable law, independent valuation, and negotiated agreement.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63" w:type="dxa"/>
            <w:shd w:val="clear"/>
            <w:tcMar>
              <w:top w:w="150" w:type="dxa"/>
              <w:left w:w="0" w:type="dxa"/>
              <w:bottom w:w="150" w:type="dxa"/>
              <w:right w:w="240" w:type="dxa"/>
            </w:tcMar>
            <w:vAlign w:val="center"/>
          </w:tcPr>
          <w:p>
            <w:pPr>
              <w:rPr>
                <w:rFonts w:hint="default"/>
              </w:rPr>
            </w:pPr>
            <w:r>
              <w:rPr>
                <w:rFonts w:hint="default"/>
                <w:lang w:val="en-US" w:eastAsia="zh-CN"/>
              </w:rPr>
              <w:t>Independent Legal Counsel</w:t>
            </w:r>
          </w:p>
        </w:tc>
        <w:tc>
          <w:tcPr>
            <w:tcW w:w="9317" w:type="dxa"/>
            <w:shd w:val="clear"/>
            <w:tcMar>
              <w:top w:w="150" w:type="dxa"/>
              <w:left w:w="240" w:type="dxa"/>
              <w:bottom w:w="150" w:type="dxa"/>
              <w:right w:w="0" w:type="dxa"/>
            </w:tcMar>
            <w:vAlign w:val="center"/>
          </w:tcPr>
          <w:p>
            <w:pPr>
              <w:rPr>
                <w:rFonts w:hint="default"/>
              </w:rPr>
            </w:pPr>
            <w:r>
              <w:rPr>
                <w:rFonts w:hint="default"/>
                <w:lang w:val="en-US" w:eastAsia="zh-CN"/>
              </w:rPr>
              <w:t>Landowners and/or legally recognized community representatives shall have access to independent legal counsel, funded by the project entity where appropriate, to review the proposed settlement.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63" w:type="dxa"/>
            <w:shd w:val="clear"/>
            <w:tcMar>
              <w:top w:w="150" w:type="dxa"/>
              <w:left w:w="0" w:type="dxa"/>
              <w:bottom w:w="150" w:type="dxa"/>
              <w:right w:w="240" w:type="dxa"/>
            </w:tcMar>
            <w:vAlign w:val="center"/>
          </w:tcPr>
          <w:p>
            <w:pPr>
              <w:rPr>
                <w:rFonts w:hint="default"/>
              </w:rPr>
            </w:pPr>
            <w:r>
              <w:rPr>
                <w:rFonts w:hint="default"/>
                <w:lang w:val="en-US" w:eastAsia="zh-CN"/>
              </w:rPr>
              <w:t>Cooling-Off Period</w:t>
            </w:r>
          </w:p>
        </w:tc>
        <w:tc>
          <w:tcPr>
            <w:tcW w:w="9317" w:type="dxa"/>
            <w:shd w:val="clear"/>
            <w:tcMar>
              <w:top w:w="150" w:type="dxa"/>
              <w:left w:w="240" w:type="dxa"/>
              <w:bottom w:w="150" w:type="dxa"/>
              <w:right w:w="0" w:type="dxa"/>
            </w:tcMar>
            <w:vAlign w:val="center"/>
          </w:tcPr>
          <w:p>
            <w:pPr>
              <w:rPr>
                <w:rFonts w:hint="default"/>
              </w:rPr>
            </w:pPr>
            <w:r>
              <w:rPr>
                <w:rFonts w:hint="default"/>
                <w:lang w:val="en-US" w:eastAsia="zh-CN"/>
              </w:rPr>
              <w:t>A mandatory cooling-off period shall apply after agreement is reached and before legal completion, during which landowners may withdraw or renegotiate. The length shall be determined by applicable law and the complexity of the transaction.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63" w:type="dxa"/>
            <w:shd w:val="clear"/>
            <w:tcMar>
              <w:top w:w="150" w:type="dxa"/>
              <w:left w:w="0" w:type="dxa"/>
              <w:bottom w:w="150" w:type="dxa"/>
              <w:right w:w="240" w:type="dxa"/>
            </w:tcMar>
            <w:vAlign w:val="center"/>
          </w:tcPr>
          <w:p>
            <w:pPr>
              <w:rPr>
                <w:rFonts w:hint="default"/>
              </w:rPr>
            </w:pPr>
            <w:r>
              <w:rPr>
                <w:rFonts w:hint="default"/>
                <w:lang w:val="en-US" w:eastAsia="zh-CN"/>
              </w:rPr>
              <w:t>Independent Valuation</w:t>
            </w:r>
          </w:p>
        </w:tc>
        <w:tc>
          <w:tcPr>
            <w:tcW w:w="9317" w:type="dxa"/>
            <w:shd w:val="clear"/>
            <w:tcMar>
              <w:top w:w="150" w:type="dxa"/>
              <w:left w:w="240" w:type="dxa"/>
              <w:bottom w:w="150" w:type="dxa"/>
              <w:right w:w="0" w:type="dxa"/>
            </w:tcMar>
            <w:vAlign w:val="center"/>
          </w:tcPr>
          <w:p>
            <w:pPr>
              <w:rPr>
                <w:rFonts w:hint="default"/>
              </w:rPr>
            </w:pPr>
            <w:r>
              <w:rPr>
                <w:rFonts w:hint="default"/>
                <w:lang w:val="en-US" w:eastAsia="zh-CN"/>
              </w:rPr>
              <w:t>Land interests shall be independently valued by a qualified third-party valuer.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63" w:type="dxa"/>
            <w:shd w:val="clear"/>
            <w:tcMar>
              <w:top w:w="150" w:type="dxa"/>
              <w:left w:w="0" w:type="dxa"/>
              <w:bottom w:w="150" w:type="dxa"/>
              <w:right w:w="240" w:type="dxa"/>
            </w:tcMar>
            <w:vAlign w:val="center"/>
          </w:tcPr>
          <w:p>
            <w:pPr>
              <w:rPr>
                <w:rFonts w:hint="default"/>
              </w:rPr>
            </w:pPr>
            <w:r>
              <w:rPr>
                <w:rFonts w:hint="default"/>
                <w:lang w:val="en-US" w:eastAsia="zh-CN"/>
              </w:rPr>
              <w:t>Community Consultation</w:t>
            </w:r>
          </w:p>
        </w:tc>
        <w:tc>
          <w:tcPr>
            <w:tcW w:w="9317" w:type="dxa"/>
            <w:shd w:val="clear"/>
            <w:tcMar>
              <w:top w:w="150" w:type="dxa"/>
              <w:left w:w="240" w:type="dxa"/>
              <w:bottom w:w="150" w:type="dxa"/>
              <w:right w:w="0" w:type="dxa"/>
            </w:tcMar>
            <w:vAlign w:val="center"/>
          </w:tcPr>
          <w:p>
            <w:pPr>
              <w:rPr>
                <w:rFonts w:hint="default"/>
              </w:rPr>
            </w:pPr>
            <w:r>
              <w:rPr>
                <w:rFonts w:hint="default"/>
                <w:lang w:val="en-US" w:eastAsia="zh-CN"/>
              </w:rPr>
              <w:t>Where community land is involved, documented consultation with affected communities shall be required.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63" w:type="dxa"/>
            <w:shd w:val="clear"/>
            <w:tcMar>
              <w:top w:w="150" w:type="dxa"/>
              <w:left w:w="0" w:type="dxa"/>
              <w:bottom w:w="150" w:type="dxa"/>
              <w:right w:w="240" w:type="dxa"/>
            </w:tcMar>
            <w:vAlign w:val="center"/>
          </w:tcPr>
          <w:p>
            <w:pPr>
              <w:rPr>
                <w:rFonts w:hint="default"/>
              </w:rPr>
            </w:pPr>
            <w:r>
              <w:rPr>
                <w:rFonts w:hint="default"/>
                <w:lang w:val="en-US" w:eastAsia="zh-CN"/>
              </w:rPr>
              <w:t>Grievance Mechanism</w:t>
            </w:r>
          </w:p>
        </w:tc>
        <w:tc>
          <w:tcPr>
            <w:tcW w:w="9317" w:type="dxa"/>
            <w:shd w:val="clear"/>
            <w:tcMar>
              <w:top w:w="150" w:type="dxa"/>
              <w:left w:w="240" w:type="dxa"/>
              <w:bottom w:w="150" w:type="dxa"/>
              <w:right w:w="0" w:type="dxa"/>
            </w:tcMar>
            <w:vAlign w:val="center"/>
          </w:tcPr>
          <w:p>
            <w:pPr>
              <w:rPr>
                <w:rFonts w:hint="default"/>
              </w:rPr>
            </w:pPr>
            <w:r>
              <w:rPr>
                <w:rFonts w:hint="default"/>
                <w:lang w:val="en-US" w:eastAsia="zh-CN"/>
              </w:rPr>
              <w:t>A clear grievance and dispute-resolution mechanism shall be established.</w:t>
            </w:r>
          </w:p>
        </w:tc>
      </w:tr>
    </w:tbl>
    <w:p>
      <w:r>
        <w:rPr>
          <w:rFonts w:hint="default"/>
        </w:rPr>
        <w:t>These protections are intended to ensure that the Facility accelerates land access with guaranteed compensation while preserving legal, community, and individual rights.</w:t>
      </w:r>
    </w:p>
    <w:p>
      <w:r>
        <w:pict>
          <v:rect id="_x0000_i1090"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XVI. ECONOMIC PARTICIPATION PRINCIPLE</w:t>
      </w:r>
    </w:p>
    <w:p>
      <w:r>
        <w:rPr>
          <w:rFonts w:hint="default"/>
        </w:rPr>
        <w:t>Where legally and economically appropriate, the Facility allows eligible landowners or communities to participate in the future economic performance of the wider ecosystem rather than receiving only a one-time cash settlement.</w:t>
      </w:r>
    </w:p>
    <w:p>
      <w:r>
        <w:rPr>
          <w:rFonts w:hint="default"/>
        </w:rPr>
        <w:t>The structural principle is:</w:t>
      </w:r>
    </w:p>
    <w:p>
      <w:r>
        <w:rPr>
          <w:rFonts w:hint="eastAsia"/>
        </w:rPr>
        <w:t>A qualifying land settlement may convert a portion of present land value into regulated participation in future ecosystem value, while preserving the separation between economic participation and governance.</w:t>
      </w:r>
    </w:p>
    <w:p>
      <w:r>
        <w:pict>
          <v:rect id="_x0000_i1091"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XVII. UNIT PRICING AND ISSUANCE</w:t>
      </w:r>
    </w:p>
    <w:p>
      <w:pPr>
        <w:rPr>
          <w:rFonts w:hint="default"/>
        </w:rPr>
      </w:pPr>
      <w:r>
        <w:rPr>
          <w:rFonts w:hint="default"/>
        </w:rPr>
        <w:t>17.1 Unit Pricing Principle</w:t>
      </w:r>
    </w:p>
    <w:p>
      <w:r>
        <w:rPr>
          <w:rFonts w:hint="default"/>
        </w:rPr>
        <w:t>The Fund shall issue units at a price accessible to African citizens and the diaspora.</w:t>
      </w:r>
    </w:p>
    <w:p>
      <w:r>
        <w:rPr>
          <w:rFonts w:hint="default"/>
        </w:rPr>
        <w:t xml:space="preserve">The illustrative unit price used in this Blueprint is </w:t>
      </w:r>
      <w:r>
        <w:rPr>
          <w:rFonts w:hint="default"/>
        </w:rPr>
        <w:t>US$0.05 (five cents)</w:t>
      </w:r>
      <w:r>
        <w:rPr>
          <w:rFonts w:hint="default"/>
        </w:rPr>
        <w:t>.</w:t>
      </w:r>
    </w:p>
    <w:p>
      <w:r>
        <w:rPr>
          <w:rFonts w:hint="default"/>
        </w:rPr>
        <w:t>This is an example only. The final unit price shall be determined at Fund establishment based on:</w:t>
      </w:r>
    </w:p>
    <w:p/>
    <w:p>
      <w:r>
        <w:rPr>
          <w:rFonts w:hint="default"/>
        </w:rPr>
        <w:t>independently established NAV;</w:t>
      </w:r>
    </w:p>
    <w:p/>
    <w:p/>
    <w:p>
      <w:r>
        <w:rPr>
          <w:rFonts w:hint="default"/>
        </w:rPr>
        <w:t>accessibility objectives;</w:t>
      </w:r>
    </w:p>
    <w:p/>
    <w:p/>
    <w:p>
      <w:r>
        <w:rPr>
          <w:rFonts w:hint="default"/>
        </w:rPr>
        <w:t>regulatory requirements;</w:t>
      </w:r>
    </w:p>
    <w:p/>
    <w:p/>
    <w:p>
      <w:r>
        <w:rPr>
          <w:rFonts w:hint="default"/>
        </w:rPr>
        <w:t>market conditions; and</w:t>
      </w:r>
    </w:p>
    <w:p/>
    <w:p/>
    <w:p>
      <w:r>
        <w:rPr>
          <w:rFonts w:hint="default"/>
        </w:rPr>
        <w:t>the Fund's mission of inclusive economic participation.</w:t>
      </w:r>
    </w:p>
    <w:p/>
    <w:p>
      <w:pPr>
        <w:rPr>
          <w:rFonts w:hint="default"/>
        </w:rPr>
      </w:pPr>
      <w:r>
        <w:rPr>
          <w:rFonts w:hint="default"/>
        </w:rPr>
        <w:t>17.2 Illustrative Unit Issuance</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7188"/>
        <w:gridCol w:w="40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7188"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Item</w:t>
            </w:r>
          </w:p>
        </w:tc>
        <w:tc>
          <w:tcPr>
            <w:tcW w:w="409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Illustrative 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7188" w:type="dxa"/>
            <w:shd w:val="clear"/>
            <w:tcMar>
              <w:top w:w="150" w:type="dxa"/>
              <w:left w:w="0" w:type="dxa"/>
              <w:bottom w:w="150" w:type="dxa"/>
              <w:right w:w="240" w:type="dxa"/>
            </w:tcMar>
            <w:vAlign w:val="center"/>
          </w:tcPr>
          <w:p>
            <w:pPr>
              <w:rPr>
                <w:rFonts w:hint="default"/>
              </w:rPr>
            </w:pPr>
            <w:r>
              <w:rPr>
                <w:rFonts w:hint="default"/>
                <w:lang w:val="en-US" w:eastAsia="zh-CN"/>
              </w:rPr>
              <w:t>Illustrative opening NAV</w:t>
            </w:r>
          </w:p>
        </w:tc>
        <w:tc>
          <w:tcPr>
            <w:tcW w:w="4092" w:type="dxa"/>
            <w:shd w:val="clear"/>
            <w:tcMar>
              <w:top w:w="150" w:type="dxa"/>
              <w:left w:w="240" w:type="dxa"/>
              <w:bottom w:w="150" w:type="dxa"/>
              <w:right w:w="0" w:type="dxa"/>
            </w:tcMar>
            <w:vAlign w:val="center"/>
          </w:tcPr>
          <w:p>
            <w:pPr>
              <w:rPr>
                <w:rFonts w:hint="default"/>
              </w:rPr>
            </w:pPr>
            <w:r>
              <w:rPr>
                <w:rFonts w:hint="default"/>
                <w:lang w:val="en-US" w:eastAsia="zh-CN"/>
              </w:rPr>
              <w:t>US$80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7188" w:type="dxa"/>
            <w:shd w:val="clear"/>
            <w:tcMar>
              <w:top w:w="150" w:type="dxa"/>
              <w:left w:w="0" w:type="dxa"/>
              <w:bottom w:w="150" w:type="dxa"/>
              <w:right w:w="240" w:type="dxa"/>
            </w:tcMar>
            <w:vAlign w:val="center"/>
          </w:tcPr>
          <w:p>
            <w:pPr>
              <w:rPr>
                <w:rFonts w:hint="default"/>
              </w:rPr>
            </w:pPr>
            <w:r>
              <w:rPr>
                <w:rFonts w:hint="default"/>
                <w:lang w:val="en-US" w:eastAsia="zh-CN"/>
              </w:rPr>
              <w:t>Illustrative unit price</w:t>
            </w:r>
          </w:p>
        </w:tc>
        <w:tc>
          <w:tcPr>
            <w:tcW w:w="4092" w:type="dxa"/>
            <w:shd w:val="clear"/>
            <w:tcMar>
              <w:top w:w="150" w:type="dxa"/>
              <w:left w:w="240" w:type="dxa"/>
              <w:bottom w:w="150" w:type="dxa"/>
              <w:right w:w="0" w:type="dxa"/>
            </w:tcMar>
            <w:vAlign w:val="center"/>
          </w:tcPr>
          <w:p>
            <w:pPr>
              <w:rPr>
                <w:rFonts w:hint="default"/>
              </w:rPr>
            </w:pPr>
            <w:r>
              <w:rPr>
                <w:rFonts w:hint="default"/>
                <w:lang w:val="en-US" w:eastAsia="zh-CN"/>
              </w:rPr>
              <w:t>US$0.05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7188" w:type="dxa"/>
            <w:shd w:val="clear"/>
            <w:tcMar>
              <w:top w:w="150" w:type="dxa"/>
              <w:left w:w="0" w:type="dxa"/>
              <w:bottom w:w="150" w:type="dxa"/>
              <w:right w:w="240" w:type="dxa"/>
            </w:tcMar>
            <w:vAlign w:val="center"/>
          </w:tcPr>
          <w:p>
            <w:pPr>
              <w:rPr>
                <w:rFonts w:hint="default"/>
              </w:rPr>
            </w:pPr>
            <w:r>
              <w:rPr>
                <w:rFonts w:hint="default"/>
                <w:lang w:val="en-US" w:eastAsia="zh-CN"/>
              </w:rPr>
              <w:t>Illustrative units issued</w:t>
            </w:r>
          </w:p>
        </w:tc>
        <w:tc>
          <w:tcPr>
            <w:tcW w:w="4092" w:type="dxa"/>
            <w:shd w:val="clear"/>
            <w:tcMar>
              <w:top w:w="150" w:type="dxa"/>
              <w:left w:w="240" w:type="dxa"/>
              <w:bottom w:w="150" w:type="dxa"/>
              <w:right w:w="0" w:type="dxa"/>
            </w:tcMar>
            <w:vAlign w:val="center"/>
          </w:tcPr>
          <w:p>
            <w:pPr>
              <w:rPr>
                <w:rFonts w:hint="default"/>
              </w:rPr>
            </w:pPr>
            <w:r>
              <w:rPr>
                <w:rFonts w:hint="default"/>
                <w:lang w:val="en-US" w:eastAsia="zh-CN"/>
              </w:rPr>
              <w:t>1,600 billion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7188" w:type="dxa"/>
            <w:shd w:val="clear"/>
            <w:tcMar>
              <w:top w:w="150" w:type="dxa"/>
              <w:left w:w="0" w:type="dxa"/>
              <w:bottom w:w="150" w:type="dxa"/>
              <w:right w:w="240" w:type="dxa"/>
            </w:tcMar>
            <w:vAlign w:val="center"/>
          </w:tcPr>
          <w:p>
            <w:pPr>
              <w:rPr>
                <w:rFonts w:hint="default"/>
              </w:rPr>
            </w:pPr>
            <w:r>
              <w:rPr>
                <w:rFonts w:hint="default"/>
                <w:lang w:val="en-US" w:eastAsia="zh-CN"/>
              </w:rPr>
              <w:t>Illustrative units sold (80%)</w:t>
            </w:r>
          </w:p>
        </w:tc>
        <w:tc>
          <w:tcPr>
            <w:tcW w:w="4092" w:type="dxa"/>
            <w:shd w:val="clear"/>
            <w:tcMar>
              <w:top w:w="150" w:type="dxa"/>
              <w:left w:w="240" w:type="dxa"/>
              <w:bottom w:w="150" w:type="dxa"/>
              <w:right w:w="0" w:type="dxa"/>
            </w:tcMar>
            <w:vAlign w:val="center"/>
          </w:tcPr>
          <w:p>
            <w:pPr>
              <w:rPr>
                <w:rFonts w:hint="default"/>
              </w:rPr>
            </w:pPr>
            <w:r>
              <w:rPr>
                <w:rFonts w:hint="default"/>
                <w:lang w:val="en-US" w:eastAsia="zh-CN"/>
              </w:rPr>
              <w:t>1,280 billion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7188" w:type="dxa"/>
            <w:shd w:val="clear"/>
            <w:tcMar>
              <w:top w:w="150" w:type="dxa"/>
              <w:left w:w="0" w:type="dxa"/>
              <w:bottom w:w="150" w:type="dxa"/>
              <w:right w:w="240" w:type="dxa"/>
            </w:tcMar>
            <w:vAlign w:val="center"/>
          </w:tcPr>
          <w:p>
            <w:pPr>
              <w:rPr>
                <w:rFonts w:hint="default"/>
              </w:rPr>
            </w:pPr>
            <w:r>
              <w:rPr>
                <w:rFonts w:hint="default"/>
                <w:lang w:val="en-US" w:eastAsia="zh-CN"/>
              </w:rPr>
              <w:t>Illustrative Treasury (remaining 20%)</w:t>
            </w:r>
          </w:p>
        </w:tc>
        <w:tc>
          <w:tcPr>
            <w:tcW w:w="4092" w:type="dxa"/>
            <w:shd w:val="clear"/>
            <w:tcMar>
              <w:top w:w="150" w:type="dxa"/>
              <w:left w:w="240" w:type="dxa"/>
              <w:bottom w:w="150" w:type="dxa"/>
              <w:right w:w="0" w:type="dxa"/>
            </w:tcMar>
            <w:vAlign w:val="center"/>
          </w:tcPr>
          <w:p>
            <w:pPr>
              <w:rPr>
                <w:rFonts w:hint="default"/>
              </w:rPr>
            </w:pPr>
            <w:r>
              <w:rPr>
                <w:rFonts w:hint="default"/>
                <w:lang w:val="en-US" w:eastAsia="zh-CN"/>
              </w:rPr>
              <w:t>320 billion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7188" w:type="dxa"/>
            <w:shd w:val="clear"/>
            <w:tcMar>
              <w:top w:w="150" w:type="dxa"/>
              <w:left w:w="0" w:type="dxa"/>
              <w:bottom w:w="150" w:type="dxa"/>
              <w:right w:w="240" w:type="dxa"/>
            </w:tcMar>
            <w:vAlign w:val="center"/>
          </w:tcPr>
          <w:p>
            <w:pPr>
              <w:rPr>
                <w:rFonts w:hint="default"/>
              </w:rPr>
            </w:pPr>
            <w:r>
              <w:rPr>
                <w:rFonts w:hint="default"/>
                <w:lang w:val="en-US" w:eastAsia="zh-CN"/>
              </w:rPr>
              <w:t>Cash raised from 80% sale</w:t>
            </w:r>
          </w:p>
        </w:tc>
        <w:tc>
          <w:tcPr>
            <w:tcW w:w="4092" w:type="dxa"/>
            <w:shd w:val="clear"/>
            <w:tcMar>
              <w:top w:w="150" w:type="dxa"/>
              <w:left w:w="240" w:type="dxa"/>
              <w:bottom w:w="150" w:type="dxa"/>
              <w:right w:w="0" w:type="dxa"/>
            </w:tcMar>
            <w:vAlign w:val="center"/>
          </w:tcPr>
          <w:p>
            <w:pPr>
              <w:rPr>
                <w:rFonts w:hint="default"/>
              </w:rPr>
            </w:pPr>
            <w:r>
              <w:rPr>
                <w:rFonts w:hint="default"/>
                <w:lang w:val="en-US" w:eastAsia="zh-CN"/>
              </w:rPr>
              <w:t>US$64 billion</w:t>
            </w:r>
          </w:p>
        </w:tc>
      </w:tr>
    </w:tbl>
    <w:p>
      <w:pPr>
        <w:rPr>
          <w:rFonts w:hint="default"/>
        </w:rPr>
      </w:pPr>
      <w:r>
        <w:rPr>
          <w:rFonts w:hint="default"/>
        </w:rPr>
        <w:t>17.3 NAV Per Unit Formula</w:t>
      </w:r>
    </w:p>
    <w:p>
      <w:r>
        <w:rPr>
          <w:rFonts w:hint="eastAsia"/>
        </w:rPr>
        <w:t>NAV per Unit = Total Net Asset Value ÷ Units Outstanding</w:t>
      </w:r>
    </w:p>
    <w:p>
      <w:r>
        <w:rPr>
          <w:rFonts w:hint="default"/>
        </w:rPr>
        <w:t>If the Fund's assets increase in value, NAV per unit increases. If the Fund's assets decrease in value, NAV per unit decreases.</w:t>
      </w:r>
    </w:p>
    <w:p>
      <w:r>
        <w:rPr>
          <w:rFonts w:hint="default"/>
        </w:rPr>
        <w:t>Unit holders participate proportionally in the Fund's NAV through their unit holdings.</w:t>
      </w:r>
    </w:p>
    <w:p>
      <w:pPr>
        <w:rPr>
          <w:rFonts w:hint="default"/>
        </w:rPr>
      </w:pPr>
      <w:r>
        <w:rPr>
          <w:rFonts w:hint="default"/>
        </w:rPr>
        <w:t>17.4 Illustrative Unit Value Change</w:t>
      </w:r>
    </w:p>
    <w:p>
      <w:r>
        <w:rPr>
          <w:rFonts w:hint="default"/>
        </w:rPr>
        <w:t xml:space="preserve">An investor buys </w:t>
      </w:r>
      <w:r>
        <w:rPr>
          <w:rFonts w:hint="default"/>
        </w:rPr>
        <w:t>30,000 units</w:t>
      </w:r>
      <w:r>
        <w:rPr>
          <w:rFonts w:hint="default"/>
        </w:rPr>
        <w:t xml:space="preserve"> at </w:t>
      </w:r>
      <w:r>
        <w:rPr>
          <w:rFonts w:hint="default"/>
        </w:rPr>
        <w:t>US$0.05 per unit</w:t>
      </w:r>
      <w:r>
        <w:rPr>
          <w:rFonts w:hint="default"/>
        </w:rPr>
        <w:t>.</w:t>
      </w:r>
    </w:p>
    <w:tbl>
      <w:tblPr>
        <w:tblW w:w="106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539"/>
        <w:gridCol w:w="1274"/>
        <w:gridCol w:w="2287"/>
        <w:gridCol w:w="1771"/>
        <w:gridCol w:w="27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2539"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Scenario</w:t>
            </w:r>
          </w:p>
        </w:tc>
        <w:tc>
          <w:tcPr>
            <w:tcW w:w="1274"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NAV</w:t>
            </w:r>
          </w:p>
        </w:tc>
        <w:tc>
          <w:tcPr>
            <w:tcW w:w="2287"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Units Outstanding</w:t>
            </w:r>
          </w:p>
        </w:tc>
        <w:tc>
          <w:tcPr>
            <w:tcW w:w="1771"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NAV per Unit</w:t>
            </w:r>
          </w:p>
        </w:tc>
        <w:tc>
          <w:tcPr>
            <w:tcW w:w="2793"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Investor's 30,000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At Purchase</w:t>
            </w:r>
          </w:p>
        </w:tc>
        <w:tc>
          <w:tcPr>
            <w:tcW w:w="1274" w:type="dxa"/>
            <w:shd w:val="clear"/>
            <w:tcMar>
              <w:top w:w="150" w:type="dxa"/>
              <w:left w:w="240" w:type="dxa"/>
              <w:bottom w:w="150" w:type="dxa"/>
              <w:right w:w="240" w:type="dxa"/>
            </w:tcMar>
            <w:vAlign w:val="center"/>
          </w:tcPr>
          <w:p>
            <w:pPr>
              <w:rPr>
                <w:rFonts w:hint="default"/>
              </w:rPr>
            </w:pPr>
            <w:r>
              <w:rPr>
                <w:rFonts w:hint="default"/>
                <w:lang w:val="en-US" w:eastAsia="zh-CN"/>
              </w:rPr>
              <w:t>US$80B</w:t>
            </w:r>
          </w:p>
        </w:tc>
        <w:tc>
          <w:tcPr>
            <w:tcW w:w="2287" w:type="dxa"/>
            <w:shd w:val="clear"/>
            <w:tcMar>
              <w:top w:w="150" w:type="dxa"/>
              <w:left w:w="240" w:type="dxa"/>
              <w:bottom w:w="150" w:type="dxa"/>
              <w:right w:w="240" w:type="dxa"/>
            </w:tcMar>
            <w:vAlign w:val="center"/>
          </w:tcPr>
          <w:p>
            <w:pPr>
              <w:rPr>
                <w:rFonts w:hint="default"/>
              </w:rPr>
            </w:pPr>
            <w:r>
              <w:rPr>
                <w:rFonts w:hint="default"/>
                <w:lang w:val="en-US" w:eastAsia="zh-CN"/>
              </w:rPr>
              <w:t>1,600B</w:t>
            </w:r>
          </w:p>
        </w:tc>
        <w:tc>
          <w:tcPr>
            <w:tcW w:w="1771" w:type="dxa"/>
            <w:shd w:val="clear"/>
            <w:tcMar>
              <w:top w:w="150" w:type="dxa"/>
              <w:left w:w="240" w:type="dxa"/>
              <w:bottom w:w="150" w:type="dxa"/>
              <w:right w:w="240" w:type="dxa"/>
            </w:tcMar>
            <w:vAlign w:val="center"/>
          </w:tcPr>
          <w:p>
            <w:pPr>
              <w:rPr>
                <w:rFonts w:hint="default"/>
              </w:rPr>
            </w:pPr>
            <w:r>
              <w:rPr>
                <w:rFonts w:hint="default"/>
                <w:lang w:val="en-US" w:eastAsia="zh-CN"/>
              </w:rPr>
              <w:t>US$0.05</w:t>
            </w:r>
          </w:p>
        </w:tc>
        <w:tc>
          <w:tcPr>
            <w:tcW w:w="2793" w:type="dxa"/>
            <w:shd w:val="clear"/>
            <w:tcMar>
              <w:top w:w="150" w:type="dxa"/>
              <w:left w:w="240" w:type="dxa"/>
              <w:bottom w:w="150" w:type="dxa"/>
              <w:right w:w="0" w:type="dxa"/>
            </w:tcMar>
            <w:vAlign w:val="center"/>
          </w:tcPr>
          <w:p>
            <w:pPr>
              <w:rPr>
                <w:rFonts w:hint="default"/>
              </w:rPr>
            </w:pPr>
            <w:r>
              <w:rPr>
                <w:rFonts w:hint="default"/>
                <w:lang w:val="en-US" w:eastAsia="zh-CN"/>
              </w:rPr>
              <w:t>US$1,500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After 10% NAV Growth</w:t>
            </w:r>
          </w:p>
        </w:tc>
        <w:tc>
          <w:tcPr>
            <w:tcW w:w="1274" w:type="dxa"/>
            <w:shd w:val="clear"/>
            <w:tcMar>
              <w:top w:w="150" w:type="dxa"/>
              <w:left w:w="240" w:type="dxa"/>
              <w:bottom w:w="150" w:type="dxa"/>
              <w:right w:w="240" w:type="dxa"/>
            </w:tcMar>
            <w:vAlign w:val="center"/>
          </w:tcPr>
          <w:p>
            <w:pPr>
              <w:rPr>
                <w:rFonts w:hint="default"/>
              </w:rPr>
            </w:pPr>
            <w:r>
              <w:rPr>
                <w:rFonts w:hint="default"/>
                <w:lang w:val="en-US" w:eastAsia="zh-CN"/>
              </w:rPr>
              <w:t>US$88B</w:t>
            </w:r>
          </w:p>
        </w:tc>
        <w:tc>
          <w:tcPr>
            <w:tcW w:w="2287" w:type="dxa"/>
            <w:shd w:val="clear"/>
            <w:tcMar>
              <w:top w:w="150" w:type="dxa"/>
              <w:left w:w="240" w:type="dxa"/>
              <w:bottom w:w="150" w:type="dxa"/>
              <w:right w:w="240" w:type="dxa"/>
            </w:tcMar>
            <w:vAlign w:val="center"/>
          </w:tcPr>
          <w:p>
            <w:pPr>
              <w:rPr>
                <w:rFonts w:hint="default"/>
              </w:rPr>
            </w:pPr>
            <w:r>
              <w:rPr>
                <w:rFonts w:hint="default"/>
                <w:lang w:val="en-US" w:eastAsia="zh-CN"/>
              </w:rPr>
              <w:t>1,600B</w:t>
            </w:r>
          </w:p>
        </w:tc>
        <w:tc>
          <w:tcPr>
            <w:tcW w:w="1771" w:type="dxa"/>
            <w:shd w:val="clear"/>
            <w:tcMar>
              <w:top w:w="150" w:type="dxa"/>
              <w:left w:w="240" w:type="dxa"/>
              <w:bottom w:w="150" w:type="dxa"/>
              <w:right w:w="240" w:type="dxa"/>
            </w:tcMar>
            <w:vAlign w:val="center"/>
          </w:tcPr>
          <w:p>
            <w:pPr>
              <w:rPr>
                <w:rFonts w:hint="default"/>
              </w:rPr>
            </w:pPr>
            <w:r>
              <w:rPr>
                <w:rFonts w:hint="default"/>
                <w:lang w:val="en-US" w:eastAsia="zh-CN"/>
              </w:rPr>
              <w:t>US$0.055</w:t>
            </w:r>
          </w:p>
        </w:tc>
        <w:tc>
          <w:tcPr>
            <w:tcW w:w="2793" w:type="dxa"/>
            <w:shd w:val="clear"/>
            <w:tcMar>
              <w:top w:w="150" w:type="dxa"/>
              <w:left w:w="240" w:type="dxa"/>
              <w:bottom w:w="150" w:type="dxa"/>
              <w:right w:w="0" w:type="dxa"/>
            </w:tcMar>
            <w:vAlign w:val="center"/>
          </w:tcPr>
          <w:p>
            <w:pPr>
              <w:rPr>
                <w:rFonts w:hint="default"/>
              </w:rPr>
            </w:pPr>
            <w:r>
              <w:rPr>
                <w:rFonts w:hint="default"/>
                <w:lang w:val="en-US" w:eastAsia="zh-CN"/>
              </w:rPr>
              <w:t>US$1,650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After 10% NAV Decline</w:t>
            </w:r>
          </w:p>
        </w:tc>
        <w:tc>
          <w:tcPr>
            <w:tcW w:w="1274" w:type="dxa"/>
            <w:shd w:val="clear"/>
            <w:tcMar>
              <w:top w:w="150" w:type="dxa"/>
              <w:left w:w="240" w:type="dxa"/>
              <w:bottom w:w="150" w:type="dxa"/>
              <w:right w:w="240" w:type="dxa"/>
            </w:tcMar>
            <w:vAlign w:val="center"/>
          </w:tcPr>
          <w:p>
            <w:pPr>
              <w:rPr>
                <w:rFonts w:hint="default"/>
              </w:rPr>
            </w:pPr>
            <w:r>
              <w:rPr>
                <w:rFonts w:hint="default"/>
                <w:lang w:val="en-US" w:eastAsia="zh-CN"/>
              </w:rPr>
              <w:t>US$72B</w:t>
            </w:r>
          </w:p>
        </w:tc>
        <w:tc>
          <w:tcPr>
            <w:tcW w:w="2287" w:type="dxa"/>
            <w:shd w:val="clear"/>
            <w:tcMar>
              <w:top w:w="150" w:type="dxa"/>
              <w:left w:w="240" w:type="dxa"/>
              <w:bottom w:w="150" w:type="dxa"/>
              <w:right w:w="240" w:type="dxa"/>
            </w:tcMar>
            <w:vAlign w:val="center"/>
          </w:tcPr>
          <w:p>
            <w:pPr>
              <w:rPr>
                <w:rFonts w:hint="default"/>
              </w:rPr>
            </w:pPr>
            <w:r>
              <w:rPr>
                <w:rFonts w:hint="default"/>
                <w:lang w:val="en-US" w:eastAsia="zh-CN"/>
              </w:rPr>
              <w:t>1,600B</w:t>
            </w:r>
          </w:p>
        </w:tc>
        <w:tc>
          <w:tcPr>
            <w:tcW w:w="1771" w:type="dxa"/>
            <w:shd w:val="clear"/>
            <w:tcMar>
              <w:top w:w="150" w:type="dxa"/>
              <w:left w:w="240" w:type="dxa"/>
              <w:bottom w:w="150" w:type="dxa"/>
              <w:right w:w="240" w:type="dxa"/>
            </w:tcMar>
            <w:vAlign w:val="center"/>
          </w:tcPr>
          <w:p>
            <w:pPr>
              <w:rPr>
                <w:rFonts w:hint="default"/>
              </w:rPr>
            </w:pPr>
            <w:r>
              <w:rPr>
                <w:rFonts w:hint="default"/>
                <w:lang w:val="en-US" w:eastAsia="zh-CN"/>
              </w:rPr>
              <w:t>US$0.045</w:t>
            </w:r>
          </w:p>
        </w:tc>
        <w:tc>
          <w:tcPr>
            <w:tcW w:w="2793" w:type="dxa"/>
            <w:shd w:val="clear"/>
            <w:tcMar>
              <w:top w:w="150" w:type="dxa"/>
              <w:left w:w="240" w:type="dxa"/>
              <w:bottom w:w="150" w:type="dxa"/>
              <w:right w:w="0" w:type="dxa"/>
            </w:tcMar>
            <w:vAlign w:val="center"/>
          </w:tcPr>
          <w:p>
            <w:pPr>
              <w:rPr>
                <w:rFonts w:hint="default"/>
              </w:rPr>
            </w:pPr>
            <w:r>
              <w:rPr>
                <w:rFonts w:hint="default"/>
                <w:lang w:val="en-US" w:eastAsia="zh-CN"/>
              </w:rPr>
              <w:t>US$1,350</w:t>
            </w:r>
          </w:p>
        </w:tc>
      </w:tr>
    </w:tbl>
    <w:p>
      <w:r>
        <w:rPr>
          <w:rFonts w:hint="default"/>
        </w:rPr>
        <w:t>This illustrates that unit value changes with Fund NAV. It is not a guarantee. It is a demonstration of the NAV-per-unit mechanism.</w:t>
      </w:r>
    </w:p>
    <w:p>
      <w:pPr>
        <w:rPr>
          <w:rFonts w:hint="default"/>
        </w:rPr>
      </w:pPr>
      <w:r>
        <w:rPr>
          <w:rFonts w:hint="default"/>
        </w:rPr>
        <w:t>17.5 Forward Pricing — How New Capital Is Raised</w:t>
      </w:r>
    </w:p>
    <w:p>
      <w:r>
        <w:rPr>
          <w:rFonts w:hint="default"/>
        </w:rPr>
        <w:t xml:space="preserve">Once the initial Treasury units are exhausted, new capital is raised using </w:t>
      </w:r>
      <w:r>
        <w:rPr>
          <w:rFonts w:hint="default"/>
        </w:rPr>
        <w:t>forward pricing</w:t>
      </w:r>
      <w:r>
        <w:rPr>
          <w:rFonts w:hint="default"/>
        </w:rPr>
        <w:t>.</w:t>
      </w:r>
    </w:p>
    <w:p>
      <w:r>
        <w:rPr>
          <w:rFonts w:hint="eastAsia"/>
        </w:rPr>
        <w:t>New Units Created = New Cash Invested ÷ Current NAV per Unit</w:t>
      </w:r>
    </w:p>
    <w:p>
      <w:pPr>
        <w:rPr>
          <w:rFonts w:hint="default"/>
        </w:rPr>
      </w:pPr>
      <w:r>
        <w:rPr>
          <w:rFonts w:hint="default"/>
        </w:rPr>
        <w:t>Illustrative Example</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136"/>
        <w:gridCol w:w="71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4136"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Item</w:t>
            </w:r>
          </w:p>
        </w:tc>
        <w:tc>
          <w:tcPr>
            <w:tcW w:w="7144"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136" w:type="dxa"/>
            <w:shd w:val="clear"/>
            <w:tcMar>
              <w:top w:w="150" w:type="dxa"/>
              <w:left w:w="0" w:type="dxa"/>
              <w:bottom w:w="150" w:type="dxa"/>
              <w:right w:w="240" w:type="dxa"/>
            </w:tcMar>
            <w:vAlign w:val="center"/>
          </w:tcPr>
          <w:p>
            <w:pPr>
              <w:rPr>
                <w:rFonts w:hint="default"/>
              </w:rPr>
            </w:pPr>
            <w:r>
              <w:rPr>
                <w:rFonts w:hint="default"/>
                <w:lang w:val="en-US" w:eastAsia="zh-CN"/>
              </w:rPr>
              <w:t>Current NAV</w:t>
            </w:r>
          </w:p>
        </w:tc>
        <w:tc>
          <w:tcPr>
            <w:tcW w:w="7144" w:type="dxa"/>
            <w:shd w:val="clear"/>
            <w:tcMar>
              <w:top w:w="150" w:type="dxa"/>
              <w:left w:w="240" w:type="dxa"/>
              <w:bottom w:w="150" w:type="dxa"/>
              <w:right w:w="0" w:type="dxa"/>
            </w:tcMar>
            <w:vAlign w:val="center"/>
          </w:tcPr>
          <w:p>
            <w:pPr>
              <w:rPr>
                <w:rFonts w:hint="default"/>
              </w:rPr>
            </w:pPr>
            <w:r>
              <w:rPr>
                <w:rFonts w:hint="default"/>
                <w:lang w:val="en-US" w:eastAsia="zh-CN"/>
              </w:rPr>
              <w:t>US$1T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136" w:type="dxa"/>
            <w:shd w:val="clear"/>
            <w:tcMar>
              <w:top w:w="150" w:type="dxa"/>
              <w:left w:w="0" w:type="dxa"/>
              <w:bottom w:w="150" w:type="dxa"/>
              <w:right w:w="240" w:type="dxa"/>
            </w:tcMar>
            <w:vAlign w:val="center"/>
          </w:tcPr>
          <w:p>
            <w:pPr>
              <w:rPr>
                <w:rFonts w:hint="default"/>
              </w:rPr>
            </w:pPr>
            <w:r>
              <w:rPr>
                <w:rFonts w:hint="default"/>
                <w:lang w:val="en-US" w:eastAsia="zh-CN"/>
              </w:rPr>
              <w:t>Current NAV per Unit</w:t>
            </w:r>
          </w:p>
        </w:tc>
        <w:tc>
          <w:tcPr>
            <w:tcW w:w="7144" w:type="dxa"/>
            <w:shd w:val="clear"/>
            <w:tcMar>
              <w:top w:w="150" w:type="dxa"/>
              <w:left w:w="240" w:type="dxa"/>
              <w:bottom w:w="150" w:type="dxa"/>
              <w:right w:w="0" w:type="dxa"/>
            </w:tcMar>
            <w:vAlign w:val="center"/>
          </w:tcPr>
          <w:p>
            <w:pPr>
              <w:rPr>
                <w:rFonts w:hint="default"/>
              </w:rPr>
            </w:pPr>
            <w:r>
              <w:rPr>
                <w:rFonts w:hint="default"/>
                <w:lang w:val="en-US" w:eastAsia="zh-CN"/>
              </w:rPr>
              <w:t>US$0.625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136" w:type="dxa"/>
            <w:shd w:val="clear"/>
            <w:tcMar>
              <w:top w:w="150" w:type="dxa"/>
              <w:left w:w="0" w:type="dxa"/>
              <w:bottom w:w="150" w:type="dxa"/>
              <w:right w:w="240" w:type="dxa"/>
            </w:tcMar>
            <w:vAlign w:val="center"/>
          </w:tcPr>
          <w:p>
            <w:pPr>
              <w:rPr>
                <w:rFonts w:hint="default"/>
              </w:rPr>
            </w:pPr>
            <w:r>
              <w:rPr>
                <w:rFonts w:hint="default"/>
                <w:lang w:val="en-US" w:eastAsia="zh-CN"/>
              </w:rPr>
              <w:t>New Cash Invested</w:t>
            </w:r>
          </w:p>
        </w:tc>
        <w:tc>
          <w:tcPr>
            <w:tcW w:w="7144" w:type="dxa"/>
            <w:shd w:val="clear"/>
            <w:tcMar>
              <w:top w:w="150" w:type="dxa"/>
              <w:left w:w="240" w:type="dxa"/>
              <w:bottom w:w="150" w:type="dxa"/>
              <w:right w:w="0" w:type="dxa"/>
            </w:tcMar>
            <w:vAlign w:val="center"/>
          </w:tcPr>
          <w:p>
            <w:pPr>
              <w:rPr>
                <w:rFonts w:hint="default"/>
              </w:rPr>
            </w:pPr>
            <w:r>
              <w:rPr>
                <w:rFonts w:hint="default"/>
                <w:lang w:val="en-US" w:eastAsia="zh-CN"/>
              </w:rPr>
              <w:t>US$10,000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136" w:type="dxa"/>
            <w:shd w:val="clear"/>
            <w:tcMar>
              <w:top w:w="150" w:type="dxa"/>
              <w:left w:w="0" w:type="dxa"/>
              <w:bottom w:w="150" w:type="dxa"/>
              <w:right w:w="240" w:type="dxa"/>
            </w:tcMar>
            <w:vAlign w:val="center"/>
          </w:tcPr>
          <w:p>
            <w:pPr>
              <w:rPr>
                <w:rFonts w:hint="default"/>
              </w:rPr>
            </w:pPr>
            <w:r>
              <w:rPr>
                <w:rFonts w:hint="default"/>
                <w:lang w:val="en-US" w:eastAsia="zh-CN"/>
              </w:rPr>
              <w:t>New Units Created</w:t>
            </w:r>
          </w:p>
        </w:tc>
        <w:tc>
          <w:tcPr>
            <w:tcW w:w="7144" w:type="dxa"/>
            <w:shd w:val="clear"/>
            <w:tcMar>
              <w:top w:w="150" w:type="dxa"/>
              <w:left w:w="240" w:type="dxa"/>
              <w:bottom w:w="150" w:type="dxa"/>
              <w:right w:w="0" w:type="dxa"/>
            </w:tcMar>
            <w:vAlign w:val="center"/>
          </w:tcPr>
          <w:p>
            <w:pPr>
              <w:rPr>
                <w:rFonts w:hint="default"/>
              </w:rPr>
            </w:pPr>
            <w:r>
              <w:rPr>
                <w:rFonts w:hint="default"/>
                <w:lang w:val="en-US" w:eastAsia="zh-CN"/>
              </w:rPr>
              <w:t>US$10,000 ÷ US$0.625 = 16,000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136" w:type="dxa"/>
            <w:shd w:val="clear"/>
            <w:tcMar>
              <w:top w:w="150" w:type="dxa"/>
              <w:left w:w="0" w:type="dxa"/>
              <w:bottom w:w="150" w:type="dxa"/>
              <w:right w:w="240" w:type="dxa"/>
            </w:tcMar>
            <w:vAlign w:val="center"/>
          </w:tcPr>
          <w:p>
            <w:pPr>
              <w:rPr>
                <w:rFonts w:hint="default"/>
              </w:rPr>
            </w:pPr>
            <w:r>
              <w:rPr>
                <w:rFonts w:hint="default"/>
                <w:lang w:val="en-US" w:eastAsia="zh-CN"/>
              </w:rPr>
              <w:t>New NAV</w:t>
            </w:r>
          </w:p>
        </w:tc>
        <w:tc>
          <w:tcPr>
            <w:tcW w:w="7144" w:type="dxa"/>
            <w:shd w:val="clear"/>
            <w:tcMar>
              <w:top w:w="150" w:type="dxa"/>
              <w:left w:w="240" w:type="dxa"/>
              <w:bottom w:w="150" w:type="dxa"/>
              <w:right w:w="0" w:type="dxa"/>
            </w:tcMar>
            <w:vAlign w:val="center"/>
          </w:tcPr>
          <w:p>
            <w:pPr>
              <w:rPr>
                <w:rFonts w:hint="default"/>
              </w:rPr>
            </w:pPr>
            <w:r>
              <w:rPr>
                <w:rFonts w:hint="default"/>
                <w:lang w:val="en-US" w:eastAsia="zh-CN"/>
              </w:rPr>
              <w:t>US$1T + US$10,000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136" w:type="dxa"/>
            <w:shd w:val="clear"/>
            <w:tcMar>
              <w:top w:w="150" w:type="dxa"/>
              <w:left w:w="0" w:type="dxa"/>
              <w:bottom w:w="150" w:type="dxa"/>
              <w:right w:w="240" w:type="dxa"/>
            </w:tcMar>
            <w:vAlign w:val="center"/>
          </w:tcPr>
          <w:p>
            <w:pPr>
              <w:rPr>
                <w:rFonts w:hint="default"/>
              </w:rPr>
            </w:pPr>
            <w:r>
              <w:rPr>
                <w:rFonts w:hint="default"/>
                <w:lang w:val="en-US" w:eastAsia="zh-CN"/>
              </w:rPr>
              <w:t>New Units Outstanding</w:t>
            </w:r>
          </w:p>
        </w:tc>
        <w:tc>
          <w:tcPr>
            <w:tcW w:w="7144" w:type="dxa"/>
            <w:shd w:val="clear"/>
            <w:tcMar>
              <w:top w:w="150" w:type="dxa"/>
              <w:left w:w="240" w:type="dxa"/>
              <w:bottom w:w="150" w:type="dxa"/>
              <w:right w:w="0" w:type="dxa"/>
            </w:tcMar>
            <w:vAlign w:val="center"/>
          </w:tcPr>
          <w:p>
            <w:pPr>
              <w:rPr>
                <w:rFonts w:hint="default"/>
              </w:rPr>
            </w:pPr>
            <w:r>
              <w:rPr>
                <w:rFonts w:hint="default"/>
                <w:lang w:val="en-US" w:eastAsia="zh-CN"/>
              </w:rPr>
              <w:t>1,600B + 16,000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136" w:type="dxa"/>
            <w:shd w:val="clear"/>
            <w:tcMar>
              <w:top w:w="150" w:type="dxa"/>
              <w:left w:w="0" w:type="dxa"/>
              <w:bottom w:w="150" w:type="dxa"/>
              <w:right w:w="240" w:type="dxa"/>
            </w:tcMar>
            <w:vAlign w:val="center"/>
          </w:tcPr>
          <w:p>
            <w:pPr>
              <w:rPr>
                <w:rFonts w:hint="default"/>
              </w:rPr>
            </w:pPr>
            <w:r>
              <w:rPr>
                <w:rFonts w:hint="default"/>
                <w:lang w:val="en-US" w:eastAsia="zh-CN"/>
              </w:rPr>
              <w:t>New NAV per Unit</w:t>
            </w:r>
          </w:p>
        </w:tc>
        <w:tc>
          <w:tcPr>
            <w:tcW w:w="7144" w:type="dxa"/>
            <w:shd w:val="clear"/>
            <w:tcMar>
              <w:top w:w="150" w:type="dxa"/>
              <w:left w:w="240" w:type="dxa"/>
              <w:bottom w:w="150" w:type="dxa"/>
              <w:right w:w="0" w:type="dxa"/>
            </w:tcMar>
            <w:vAlign w:val="center"/>
          </w:tcPr>
          <w:p>
            <w:pPr>
              <w:rPr>
                <w:rFonts w:hint="default"/>
              </w:rPr>
            </w:pPr>
            <w:r>
              <w:rPr>
                <w:rFonts w:hint="default"/>
                <w:lang w:val="en-US" w:eastAsia="zh-CN"/>
              </w:rPr>
              <w:t>US$0.625</w:t>
            </w:r>
          </w:p>
        </w:tc>
      </w:tr>
    </w:tbl>
    <w:p>
      <w:r>
        <w:rPr>
          <w:rFonts w:hint="default"/>
        </w:rPr>
        <w:t>The NAV per unit remains US$0.625. No dilution in value. No change to existing holders. Just new capital and new units at the current price.</w:t>
      </w:r>
    </w:p>
    <w:p>
      <w:pPr>
        <w:rPr>
          <w:rFonts w:hint="default"/>
        </w:rPr>
      </w:pPr>
      <w:r>
        <w:rPr>
          <w:rFonts w:hint="default"/>
        </w:rPr>
        <w:t>The Fund Only Mints What It Needs</w:t>
      </w:r>
    </w:p>
    <w:p>
      <w:r>
        <w:rPr>
          <w:rFonts w:hint="default"/>
        </w:rPr>
        <w:t>The Fund does not mint units for the entire NAV growth.</w:t>
      </w:r>
    </w:p>
    <w:p>
      <w:r>
        <w:rPr>
          <w:rFonts w:hint="default"/>
        </w:rPr>
        <w:t xml:space="preserve">It only mints units for the </w:t>
      </w:r>
      <w:r>
        <w:rPr>
          <w:rFonts w:hint="default"/>
        </w:rPr>
        <w:t>new capital it wants to raise</w:t>
      </w:r>
      <w:r>
        <w:rPr>
          <w:rFonts w:hint="default"/>
        </w:rPr>
        <w:t>.</w:t>
      </w:r>
    </w:p>
    <w:p>
      <w:r>
        <w:rPr>
          <w:rFonts w:hint="eastAsia"/>
        </w:rPr>
        <w:t>New Units Minted = New Capital Target ÷ Current Unit Price</w:t>
      </w:r>
    </w:p>
    <w:p>
      <w:r>
        <w:rPr>
          <w:rFonts w:hint="default"/>
        </w:rPr>
        <w:t>This means the Fund never overproduces units. It only mints what it needs.</w:t>
      </w:r>
    </w:p>
    <w:p>
      <w:pPr>
        <w:rPr>
          <w:rFonts w:hint="default"/>
        </w:rPr>
      </w:pPr>
      <w:r>
        <w:rPr>
          <w:rFonts w:hint="default"/>
        </w:rPr>
        <w:t>17.6 Forward Pricing for Neutral Assets</w:t>
      </w:r>
    </w:p>
    <w:p>
      <w:r>
        <w:rPr>
          <w:rFonts w:hint="default"/>
        </w:rPr>
        <w:t>Once Treasury capacity is exhausted, land contributed to the Neutral Reserve is exchanged for units at the current NAV per unit:</w:t>
      </w:r>
    </w:p>
    <w:p>
      <w:r>
        <w:rPr>
          <w:rFonts w:hint="eastAsia"/>
        </w:rPr>
        <w:t>New Units Minted = Value of Neutral Asset ÷ Current NAV per Unit</w:t>
      </w:r>
    </w:p>
    <w:p>
      <w:pPr>
        <w:rPr>
          <w:rFonts w:hint="default"/>
        </w:rPr>
      </w:pPr>
      <w:r>
        <w:rPr>
          <w:rFonts w:hint="default"/>
        </w:rPr>
        <w:t>Illustrative Example</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426"/>
        <w:gridCol w:w="68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4426"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Item</w:t>
            </w:r>
          </w:p>
        </w:tc>
        <w:tc>
          <w:tcPr>
            <w:tcW w:w="6854"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426" w:type="dxa"/>
            <w:shd w:val="clear"/>
            <w:tcMar>
              <w:top w:w="150" w:type="dxa"/>
              <w:left w:w="0" w:type="dxa"/>
              <w:bottom w:w="150" w:type="dxa"/>
              <w:right w:w="240" w:type="dxa"/>
            </w:tcMar>
            <w:vAlign w:val="center"/>
          </w:tcPr>
          <w:p>
            <w:pPr>
              <w:rPr>
                <w:rFonts w:hint="default"/>
              </w:rPr>
            </w:pPr>
            <w:r>
              <w:rPr>
                <w:rFonts w:hint="default"/>
                <w:lang w:val="en-US" w:eastAsia="zh-CN"/>
              </w:rPr>
              <w:t>Current NAV</w:t>
            </w:r>
          </w:p>
        </w:tc>
        <w:tc>
          <w:tcPr>
            <w:tcW w:w="6854" w:type="dxa"/>
            <w:shd w:val="clear"/>
            <w:tcMar>
              <w:top w:w="150" w:type="dxa"/>
              <w:left w:w="240" w:type="dxa"/>
              <w:bottom w:w="150" w:type="dxa"/>
              <w:right w:w="0" w:type="dxa"/>
            </w:tcMar>
            <w:vAlign w:val="center"/>
          </w:tcPr>
          <w:p>
            <w:pPr>
              <w:rPr>
                <w:rFonts w:hint="default"/>
              </w:rPr>
            </w:pPr>
            <w:r>
              <w:rPr>
                <w:rFonts w:hint="default"/>
                <w:lang w:val="en-US" w:eastAsia="zh-CN"/>
              </w:rPr>
              <w:t>US$1T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426" w:type="dxa"/>
            <w:shd w:val="clear"/>
            <w:tcMar>
              <w:top w:w="150" w:type="dxa"/>
              <w:left w:w="0" w:type="dxa"/>
              <w:bottom w:w="150" w:type="dxa"/>
              <w:right w:w="240" w:type="dxa"/>
            </w:tcMar>
            <w:vAlign w:val="center"/>
          </w:tcPr>
          <w:p>
            <w:pPr>
              <w:rPr>
                <w:rFonts w:hint="default"/>
              </w:rPr>
            </w:pPr>
            <w:r>
              <w:rPr>
                <w:rFonts w:hint="default"/>
                <w:lang w:val="en-US" w:eastAsia="zh-CN"/>
              </w:rPr>
              <w:t>Current NAV per Unit</w:t>
            </w:r>
          </w:p>
        </w:tc>
        <w:tc>
          <w:tcPr>
            <w:tcW w:w="6854" w:type="dxa"/>
            <w:shd w:val="clear"/>
            <w:tcMar>
              <w:top w:w="150" w:type="dxa"/>
              <w:left w:w="240" w:type="dxa"/>
              <w:bottom w:w="150" w:type="dxa"/>
              <w:right w:w="0" w:type="dxa"/>
            </w:tcMar>
            <w:vAlign w:val="center"/>
          </w:tcPr>
          <w:p>
            <w:pPr>
              <w:rPr>
                <w:rFonts w:hint="default"/>
              </w:rPr>
            </w:pPr>
            <w:r>
              <w:rPr>
                <w:rFonts w:hint="default"/>
                <w:lang w:val="en-US" w:eastAsia="zh-CN"/>
              </w:rPr>
              <w:t>US$0.625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426" w:type="dxa"/>
            <w:shd w:val="clear"/>
            <w:tcMar>
              <w:top w:w="150" w:type="dxa"/>
              <w:left w:w="0" w:type="dxa"/>
              <w:bottom w:w="150" w:type="dxa"/>
              <w:right w:w="240" w:type="dxa"/>
            </w:tcMar>
            <w:vAlign w:val="center"/>
          </w:tcPr>
          <w:p>
            <w:pPr>
              <w:rPr>
                <w:rFonts w:hint="default"/>
              </w:rPr>
            </w:pPr>
            <w:r>
              <w:rPr>
                <w:rFonts w:hint="default"/>
                <w:lang w:val="en-US" w:eastAsia="zh-CN"/>
              </w:rPr>
              <w:t>Land Value Contributed</w:t>
            </w:r>
          </w:p>
        </w:tc>
        <w:tc>
          <w:tcPr>
            <w:tcW w:w="6854" w:type="dxa"/>
            <w:shd w:val="clear"/>
            <w:tcMar>
              <w:top w:w="150" w:type="dxa"/>
              <w:left w:w="240" w:type="dxa"/>
              <w:bottom w:w="150" w:type="dxa"/>
              <w:right w:w="0" w:type="dxa"/>
            </w:tcMar>
            <w:vAlign w:val="center"/>
          </w:tcPr>
          <w:p>
            <w:pPr>
              <w:rPr>
                <w:rFonts w:hint="default"/>
              </w:rPr>
            </w:pPr>
            <w:r>
              <w:rPr>
                <w:rFonts w:hint="default"/>
                <w:lang w:val="en-US" w:eastAsia="zh-CN"/>
              </w:rPr>
              <w:t>US$1B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426" w:type="dxa"/>
            <w:shd w:val="clear"/>
            <w:tcMar>
              <w:top w:w="150" w:type="dxa"/>
              <w:left w:w="0" w:type="dxa"/>
              <w:bottom w:w="150" w:type="dxa"/>
              <w:right w:w="240" w:type="dxa"/>
            </w:tcMar>
            <w:vAlign w:val="center"/>
          </w:tcPr>
          <w:p>
            <w:pPr>
              <w:rPr>
                <w:rFonts w:hint="default"/>
              </w:rPr>
            </w:pPr>
            <w:r>
              <w:rPr>
                <w:rFonts w:hint="default"/>
                <w:lang w:val="en-US" w:eastAsia="zh-CN"/>
              </w:rPr>
              <w:t>New Units Minted</w:t>
            </w:r>
          </w:p>
        </w:tc>
        <w:tc>
          <w:tcPr>
            <w:tcW w:w="6854" w:type="dxa"/>
            <w:shd w:val="clear"/>
            <w:tcMar>
              <w:top w:w="150" w:type="dxa"/>
              <w:left w:w="240" w:type="dxa"/>
              <w:bottom w:w="150" w:type="dxa"/>
              <w:right w:w="0" w:type="dxa"/>
            </w:tcMar>
            <w:vAlign w:val="center"/>
          </w:tcPr>
          <w:p>
            <w:pPr>
              <w:rPr>
                <w:rFonts w:hint="default"/>
              </w:rPr>
            </w:pPr>
            <w:r>
              <w:rPr>
                <w:rFonts w:hint="default"/>
                <w:lang w:val="en-US" w:eastAsia="zh-CN"/>
              </w:rPr>
              <w:t>US$1B ÷ US$0.625 = 1.6B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426" w:type="dxa"/>
            <w:shd w:val="clear"/>
            <w:tcMar>
              <w:top w:w="150" w:type="dxa"/>
              <w:left w:w="0" w:type="dxa"/>
              <w:bottom w:w="150" w:type="dxa"/>
              <w:right w:w="240" w:type="dxa"/>
            </w:tcMar>
            <w:vAlign w:val="center"/>
          </w:tcPr>
          <w:p>
            <w:pPr>
              <w:rPr>
                <w:rFonts w:hint="default"/>
              </w:rPr>
            </w:pPr>
            <w:r>
              <w:rPr>
                <w:rFonts w:hint="default"/>
                <w:lang w:val="en-US" w:eastAsia="zh-CN"/>
              </w:rPr>
              <w:t>New NAV</w:t>
            </w:r>
          </w:p>
        </w:tc>
        <w:tc>
          <w:tcPr>
            <w:tcW w:w="6854" w:type="dxa"/>
            <w:shd w:val="clear"/>
            <w:tcMar>
              <w:top w:w="150" w:type="dxa"/>
              <w:left w:w="240" w:type="dxa"/>
              <w:bottom w:w="150" w:type="dxa"/>
              <w:right w:w="0" w:type="dxa"/>
            </w:tcMar>
            <w:vAlign w:val="center"/>
          </w:tcPr>
          <w:p>
            <w:pPr>
              <w:rPr>
                <w:rFonts w:hint="default"/>
              </w:rPr>
            </w:pPr>
            <w:r>
              <w:rPr>
                <w:rFonts w:hint="default"/>
                <w:lang w:val="en-US" w:eastAsia="zh-CN"/>
              </w:rPr>
              <w:t>US$1T + US$1B = US$1.001T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426" w:type="dxa"/>
            <w:shd w:val="clear"/>
            <w:tcMar>
              <w:top w:w="150" w:type="dxa"/>
              <w:left w:w="0" w:type="dxa"/>
              <w:bottom w:w="150" w:type="dxa"/>
              <w:right w:w="240" w:type="dxa"/>
            </w:tcMar>
            <w:vAlign w:val="center"/>
          </w:tcPr>
          <w:p>
            <w:pPr>
              <w:rPr>
                <w:rFonts w:hint="default"/>
              </w:rPr>
            </w:pPr>
            <w:r>
              <w:rPr>
                <w:rFonts w:hint="default"/>
                <w:lang w:val="en-US" w:eastAsia="zh-CN"/>
              </w:rPr>
              <w:t>New Units Outstanding</w:t>
            </w:r>
          </w:p>
        </w:tc>
        <w:tc>
          <w:tcPr>
            <w:tcW w:w="6854" w:type="dxa"/>
            <w:shd w:val="clear"/>
            <w:tcMar>
              <w:top w:w="150" w:type="dxa"/>
              <w:left w:w="240" w:type="dxa"/>
              <w:bottom w:w="150" w:type="dxa"/>
              <w:right w:w="0" w:type="dxa"/>
            </w:tcMar>
            <w:vAlign w:val="center"/>
          </w:tcPr>
          <w:p>
            <w:pPr>
              <w:rPr>
                <w:rFonts w:hint="default"/>
              </w:rPr>
            </w:pPr>
            <w:r>
              <w:rPr>
                <w:rFonts w:hint="default"/>
                <w:lang w:val="en-US" w:eastAsia="zh-CN"/>
              </w:rPr>
              <w:t>1,600B + 1.6B = 1,601.6B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426" w:type="dxa"/>
            <w:shd w:val="clear"/>
            <w:tcMar>
              <w:top w:w="150" w:type="dxa"/>
              <w:left w:w="0" w:type="dxa"/>
              <w:bottom w:w="150" w:type="dxa"/>
              <w:right w:w="240" w:type="dxa"/>
            </w:tcMar>
            <w:vAlign w:val="center"/>
          </w:tcPr>
          <w:p>
            <w:pPr>
              <w:rPr>
                <w:rFonts w:hint="default"/>
              </w:rPr>
            </w:pPr>
            <w:r>
              <w:rPr>
                <w:rFonts w:hint="default"/>
                <w:lang w:val="en-US" w:eastAsia="zh-CN"/>
              </w:rPr>
              <w:t>New NAV per Unit</w:t>
            </w:r>
          </w:p>
        </w:tc>
        <w:tc>
          <w:tcPr>
            <w:tcW w:w="6854" w:type="dxa"/>
            <w:shd w:val="clear"/>
            <w:tcMar>
              <w:top w:w="150" w:type="dxa"/>
              <w:left w:w="240" w:type="dxa"/>
              <w:bottom w:w="150" w:type="dxa"/>
              <w:right w:w="0" w:type="dxa"/>
            </w:tcMar>
            <w:vAlign w:val="center"/>
          </w:tcPr>
          <w:p>
            <w:pPr>
              <w:rPr>
                <w:rFonts w:hint="default"/>
              </w:rPr>
            </w:pPr>
            <w:r>
              <w:rPr>
                <w:rFonts w:hint="default"/>
                <w:lang w:val="en-US" w:eastAsia="zh-CN"/>
              </w:rPr>
              <w:t>US$1.001T ÷ 1,601.6B = US$0.625</w:t>
            </w:r>
          </w:p>
        </w:tc>
      </w:tr>
    </w:tbl>
    <w:p>
      <w:r>
        <w:rPr>
          <w:rFonts w:hint="default"/>
        </w:rPr>
        <w:t>The NAV per unit remains US$0.625. No dilution in value. The land is treated as capital contributed in kind. The contributor receives units at the current NAV per unit.</w:t>
      </w:r>
    </w:p>
    <w:p>
      <w:r>
        <w:pict>
          <v:rect id="_x0000_i1092"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XVIII. VALUATION-WEIGHTED ALLOCATION ENGINE</w:t>
      </w:r>
    </w:p>
    <w:p>
      <w:pPr>
        <w:rPr>
          <w:rFonts w:hint="default"/>
        </w:rPr>
      </w:pPr>
      <w:r>
        <w:rPr>
          <w:rFonts w:hint="default"/>
        </w:rPr>
        <w:t>18.1 Core Principle</w:t>
      </w:r>
    </w:p>
    <w:p>
      <w:r>
        <w:rPr>
          <w:rFonts w:hint="default"/>
        </w:rPr>
        <w:t>Capital allocation shall be determined by the independently established dollar value of qualifying assets vaulted into the relevant Fund structure rather than solely by the nominal percentage of equity transferred.</w:t>
      </w:r>
    </w:p>
    <w:p>
      <w:r>
        <w:rPr>
          <w:rFonts w:hint="default"/>
        </w:rPr>
        <w:t>The principal commercial allocation remains:</w:t>
      </w:r>
    </w:p>
    <w:p/>
    <w:p>
      <w:r>
        <w:rPr>
          <w:rFonts w:hint="default"/>
        </w:rPr>
        <w:t>30% Jowih Core</w:t>
      </w:r>
    </w:p>
    <w:p/>
    <w:p/>
    <w:p>
      <w:r>
        <w:rPr>
          <w:rFonts w:hint="default"/>
        </w:rPr>
        <w:t>70% Ecosystem Partners</w:t>
      </w:r>
    </w:p>
    <w:p/>
    <w:p>
      <w:r>
        <w:rPr>
          <w:rFonts w:hint="default"/>
        </w:rPr>
        <w:t>The Neutral Reserve remains outside this allocation.</w:t>
      </w:r>
    </w:p>
    <w:p>
      <w:pPr>
        <w:rPr>
          <w:rFonts w:hint="default"/>
        </w:rPr>
      </w:pPr>
      <w:r>
        <w:rPr>
          <w:rFonts w:hint="default"/>
        </w:rPr>
        <w:t>18.2 Illustrative Opening Authorization</w:t>
      </w:r>
    </w:p>
    <w:p>
      <w:r>
        <w:rPr>
          <w:rFonts w:hint="eastAsia"/>
        </w:rPr>
        <w:t>Illustrative Example Only — Not a Valuation, Not a Capital Raise Target, Not a Guarantee</w:t>
      </w:r>
    </w:p>
    <w:p>
      <w:r>
        <w:rPr>
          <w:rFonts w:hint="default"/>
        </w:rPr>
        <w:t>Illustrative Opening Authorization: US$80 Billion</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579"/>
        <w:gridCol w:w="2054"/>
        <w:gridCol w:w="46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4579"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Bucket</w:t>
            </w:r>
          </w:p>
        </w:tc>
        <w:tc>
          <w:tcPr>
            <w:tcW w:w="2054"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Allocation</w:t>
            </w:r>
          </w:p>
        </w:tc>
        <w:tc>
          <w:tcPr>
            <w:tcW w:w="4646"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Illustrative Authorized 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579" w:type="dxa"/>
            <w:shd w:val="clear"/>
            <w:tcMar>
              <w:top w:w="150" w:type="dxa"/>
              <w:left w:w="0" w:type="dxa"/>
              <w:bottom w:w="150" w:type="dxa"/>
              <w:right w:w="240" w:type="dxa"/>
            </w:tcMar>
            <w:vAlign w:val="center"/>
          </w:tcPr>
          <w:p>
            <w:pPr>
              <w:rPr>
                <w:rFonts w:hint="default"/>
              </w:rPr>
            </w:pPr>
            <w:r>
              <w:rPr>
                <w:rFonts w:hint="default"/>
                <w:lang w:val="en-US" w:eastAsia="zh-CN"/>
              </w:rPr>
              <w:t>Jowih Core</w:t>
            </w:r>
          </w:p>
        </w:tc>
        <w:tc>
          <w:tcPr>
            <w:tcW w:w="2054" w:type="dxa"/>
            <w:shd w:val="clear"/>
            <w:tcMar>
              <w:top w:w="150" w:type="dxa"/>
              <w:left w:w="240" w:type="dxa"/>
              <w:bottom w:w="150" w:type="dxa"/>
              <w:right w:w="240" w:type="dxa"/>
            </w:tcMar>
            <w:vAlign w:val="center"/>
          </w:tcPr>
          <w:p>
            <w:pPr>
              <w:rPr>
                <w:rFonts w:hint="default"/>
              </w:rPr>
            </w:pPr>
            <w:r>
              <w:rPr>
                <w:rFonts w:hint="default"/>
                <w:lang w:val="en-US" w:eastAsia="zh-CN"/>
              </w:rPr>
              <w:t>30%</w:t>
            </w:r>
          </w:p>
        </w:tc>
        <w:tc>
          <w:tcPr>
            <w:tcW w:w="4646" w:type="dxa"/>
            <w:shd w:val="clear"/>
            <w:tcMar>
              <w:top w:w="150" w:type="dxa"/>
              <w:left w:w="240" w:type="dxa"/>
              <w:bottom w:w="150" w:type="dxa"/>
              <w:right w:w="0" w:type="dxa"/>
            </w:tcMar>
            <w:vAlign w:val="center"/>
          </w:tcPr>
          <w:p>
            <w:pPr>
              <w:rPr>
                <w:rFonts w:hint="default"/>
              </w:rPr>
            </w:pPr>
            <w:r>
              <w:rPr>
                <w:rFonts w:hint="default"/>
                <w:lang w:val="en-US" w:eastAsia="zh-CN"/>
              </w:rPr>
              <w:t>US$24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579" w:type="dxa"/>
            <w:shd w:val="clear"/>
            <w:tcMar>
              <w:top w:w="150" w:type="dxa"/>
              <w:left w:w="0" w:type="dxa"/>
              <w:bottom w:w="150" w:type="dxa"/>
              <w:right w:w="240" w:type="dxa"/>
            </w:tcMar>
            <w:vAlign w:val="center"/>
          </w:tcPr>
          <w:p>
            <w:pPr>
              <w:rPr>
                <w:rFonts w:hint="default"/>
              </w:rPr>
            </w:pPr>
            <w:r>
              <w:rPr>
                <w:rFonts w:hint="default"/>
                <w:lang w:val="en-US" w:eastAsia="zh-CN"/>
              </w:rPr>
              <w:t>Ecosystem Partners</w:t>
            </w:r>
          </w:p>
        </w:tc>
        <w:tc>
          <w:tcPr>
            <w:tcW w:w="2054" w:type="dxa"/>
            <w:shd w:val="clear"/>
            <w:tcMar>
              <w:top w:w="150" w:type="dxa"/>
              <w:left w:w="240" w:type="dxa"/>
              <w:bottom w:w="150" w:type="dxa"/>
              <w:right w:w="240" w:type="dxa"/>
            </w:tcMar>
            <w:vAlign w:val="center"/>
          </w:tcPr>
          <w:p>
            <w:pPr>
              <w:rPr>
                <w:rFonts w:hint="default"/>
              </w:rPr>
            </w:pPr>
            <w:r>
              <w:rPr>
                <w:rFonts w:hint="default"/>
                <w:lang w:val="en-US" w:eastAsia="zh-CN"/>
              </w:rPr>
              <w:t>70%</w:t>
            </w:r>
          </w:p>
        </w:tc>
        <w:tc>
          <w:tcPr>
            <w:tcW w:w="4646" w:type="dxa"/>
            <w:shd w:val="clear"/>
            <w:tcMar>
              <w:top w:w="150" w:type="dxa"/>
              <w:left w:w="240" w:type="dxa"/>
              <w:bottom w:w="150" w:type="dxa"/>
              <w:right w:w="0" w:type="dxa"/>
            </w:tcMar>
            <w:vAlign w:val="center"/>
          </w:tcPr>
          <w:p>
            <w:pPr>
              <w:rPr>
                <w:rFonts w:hint="default"/>
              </w:rPr>
            </w:pPr>
            <w:r>
              <w:rPr>
                <w:rFonts w:hint="default"/>
                <w:lang w:val="en-US" w:eastAsia="zh-CN"/>
              </w:rPr>
              <w:t>US$56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4579" w:type="dxa"/>
            <w:shd w:val="clear"/>
            <w:tcMar>
              <w:top w:w="150" w:type="dxa"/>
              <w:left w:w="0" w:type="dxa"/>
              <w:bottom w:w="150" w:type="dxa"/>
              <w:right w:w="240" w:type="dxa"/>
            </w:tcMar>
            <w:vAlign w:val="center"/>
          </w:tcPr>
          <w:p>
            <w:pPr>
              <w:rPr>
                <w:rFonts w:hint="default"/>
              </w:rPr>
            </w:pPr>
            <w:r>
              <w:rPr>
                <w:rFonts w:hint="default"/>
                <w:lang w:val="en-US" w:eastAsia="zh-CN"/>
              </w:rPr>
              <w:t>Total Illustrative Authorization</w:t>
            </w:r>
          </w:p>
        </w:tc>
        <w:tc>
          <w:tcPr>
            <w:tcW w:w="2054" w:type="dxa"/>
            <w:shd w:val="clear"/>
            <w:tcMar>
              <w:top w:w="150" w:type="dxa"/>
              <w:left w:w="240" w:type="dxa"/>
              <w:bottom w:w="150" w:type="dxa"/>
              <w:right w:w="240" w:type="dxa"/>
            </w:tcMar>
            <w:vAlign w:val="center"/>
          </w:tcPr>
          <w:p>
            <w:pPr>
              <w:rPr>
                <w:rFonts w:hint="default"/>
              </w:rPr>
            </w:pPr>
            <w:r>
              <w:rPr>
                <w:rFonts w:hint="default"/>
                <w:lang w:val="en-US" w:eastAsia="zh-CN"/>
              </w:rPr>
              <w:t>100%</w:t>
            </w:r>
          </w:p>
        </w:tc>
        <w:tc>
          <w:tcPr>
            <w:tcW w:w="4646" w:type="dxa"/>
            <w:shd w:val="clear"/>
            <w:tcMar>
              <w:top w:w="150" w:type="dxa"/>
              <w:left w:w="240" w:type="dxa"/>
              <w:bottom w:w="150" w:type="dxa"/>
              <w:right w:w="0" w:type="dxa"/>
            </w:tcMar>
            <w:vAlign w:val="center"/>
          </w:tcPr>
          <w:p>
            <w:pPr>
              <w:rPr>
                <w:rFonts w:hint="default"/>
              </w:rPr>
            </w:pPr>
            <w:r>
              <w:rPr>
                <w:rFonts w:hint="default"/>
                <w:lang w:val="en-US" w:eastAsia="zh-CN"/>
              </w:rPr>
              <w:t>US$80 billion</w:t>
            </w:r>
          </w:p>
        </w:tc>
      </w:tr>
    </w:tbl>
    <w:p>
      <w:pPr>
        <w:rPr>
          <w:rFonts w:hint="default"/>
        </w:rPr>
      </w:pPr>
      <w:r>
        <w:rPr>
          <w:rFonts w:hint="default"/>
        </w:rPr>
        <w:t>18.3 Illustrative Initial Sale — 80% of Units Sold</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6984"/>
        <w:gridCol w:w="4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6984"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Item</w:t>
            </w:r>
          </w:p>
        </w:tc>
        <w:tc>
          <w:tcPr>
            <w:tcW w:w="4296"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984" w:type="dxa"/>
            <w:shd w:val="clear"/>
            <w:tcMar>
              <w:top w:w="150" w:type="dxa"/>
              <w:left w:w="0" w:type="dxa"/>
              <w:bottom w:w="150" w:type="dxa"/>
              <w:right w:w="240" w:type="dxa"/>
            </w:tcMar>
            <w:vAlign w:val="center"/>
          </w:tcPr>
          <w:p>
            <w:pPr>
              <w:rPr>
                <w:rFonts w:hint="default"/>
              </w:rPr>
            </w:pPr>
            <w:r>
              <w:rPr>
                <w:rFonts w:hint="default"/>
                <w:lang w:val="en-US" w:eastAsia="zh-CN"/>
              </w:rPr>
              <w:t>NAV</w:t>
            </w:r>
          </w:p>
        </w:tc>
        <w:tc>
          <w:tcPr>
            <w:tcW w:w="4296" w:type="dxa"/>
            <w:shd w:val="clear"/>
            <w:tcMar>
              <w:top w:w="150" w:type="dxa"/>
              <w:left w:w="240" w:type="dxa"/>
              <w:bottom w:w="150" w:type="dxa"/>
              <w:right w:w="0" w:type="dxa"/>
            </w:tcMar>
            <w:vAlign w:val="center"/>
          </w:tcPr>
          <w:p>
            <w:pPr>
              <w:rPr>
                <w:rFonts w:hint="default"/>
              </w:rPr>
            </w:pPr>
            <w:r>
              <w:rPr>
                <w:rFonts w:hint="default"/>
                <w:lang w:val="en-US" w:eastAsia="zh-CN"/>
              </w:rPr>
              <w:t>US$80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984" w:type="dxa"/>
            <w:shd w:val="clear"/>
            <w:tcMar>
              <w:top w:w="150" w:type="dxa"/>
              <w:left w:w="0" w:type="dxa"/>
              <w:bottom w:w="150" w:type="dxa"/>
              <w:right w:w="240" w:type="dxa"/>
            </w:tcMar>
            <w:vAlign w:val="center"/>
          </w:tcPr>
          <w:p>
            <w:pPr>
              <w:rPr>
                <w:rFonts w:hint="default"/>
              </w:rPr>
            </w:pPr>
            <w:r>
              <w:rPr>
                <w:rFonts w:hint="default"/>
                <w:lang w:val="en-US" w:eastAsia="zh-CN"/>
              </w:rPr>
              <w:t>Unit Price</w:t>
            </w:r>
          </w:p>
        </w:tc>
        <w:tc>
          <w:tcPr>
            <w:tcW w:w="4296" w:type="dxa"/>
            <w:shd w:val="clear"/>
            <w:tcMar>
              <w:top w:w="150" w:type="dxa"/>
              <w:left w:w="240" w:type="dxa"/>
              <w:bottom w:w="150" w:type="dxa"/>
              <w:right w:w="0" w:type="dxa"/>
            </w:tcMar>
            <w:vAlign w:val="center"/>
          </w:tcPr>
          <w:p>
            <w:pPr>
              <w:rPr>
                <w:rFonts w:hint="default"/>
              </w:rPr>
            </w:pPr>
            <w:r>
              <w:rPr>
                <w:rFonts w:hint="default"/>
                <w:lang w:val="en-US" w:eastAsia="zh-CN"/>
              </w:rPr>
              <w:t>US$0.05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984" w:type="dxa"/>
            <w:shd w:val="clear"/>
            <w:tcMar>
              <w:top w:w="150" w:type="dxa"/>
              <w:left w:w="0" w:type="dxa"/>
              <w:bottom w:w="150" w:type="dxa"/>
              <w:right w:w="240" w:type="dxa"/>
            </w:tcMar>
            <w:vAlign w:val="center"/>
          </w:tcPr>
          <w:p>
            <w:pPr>
              <w:rPr>
                <w:rFonts w:hint="default"/>
              </w:rPr>
            </w:pPr>
            <w:r>
              <w:rPr>
                <w:rFonts w:hint="default"/>
                <w:lang w:val="en-US" w:eastAsia="zh-CN"/>
              </w:rPr>
              <w:t>Units Issued</w:t>
            </w:r>
          </w:p>
        </w:tc>
        <w:tc>
          <w:tcPr>
            <w:tcW w:w="4296" w:type="dxa"/>
            <w:shd w:val="clear"/>
            <w:tcMar>
              <w:top w:w="150" w:type="dxa"/>
              <w:left w:w="240" w:type="dxa"/>
              <w:bottom w:w="150" w:type="dxa"/>
              <w:right w:w="0" w:type="dxa"/>
            </w:tcMar>
            <w:vAlign w:val="center"/>
          </w:tcPr>
          <w:p>
            <w:pPr>
              <w:rPr>
                <w:rFonts w:hint="default"/>
              </w:rPr>
            </w:pPr>
            <w:r>
              <w:rPr>
                <w:rFonts w:hint="default"/>
                <w:lang w:val="en-US" w:eastAsia="zh-CN"/>
              </w:rPr>
              <w:t>1,600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984" w:type="dxa"/>
            <w:shd w:val="clear"/>
            <w:tcMar>
              <w:top w:w="150" w:type="dxa"/>
              <w:left w:w="0" w:type="dxa"/>
              <w:bottom w:w="150" w:type="dxa"/>
              <w:right w:w="240" w:type="dxa"/>
            </w:tcMar>
            <w:vAlign w:val="center"/>
          </w:tcPr>
          <w:p>
            <w:pPr>
              <w:rPr>
                <w:rFonts w:hint="default"/>
              </w:rPr>
            </w:pPr>
            <w:r>
              <w:rPr>
                <w:rFonts w:hint="default"/>
                <w:lang w:val="en-US" w:eastAsia="zh-CN"/>
              </w:rPr>
              <w:t>Units Sold (80%)</w:t>
            </w:r>
          </w:p>
        </w:tc>
        <w:tc>
          <w:tcPr>
            <w:tcW w:w="4296" w:type="dxa"/>
            <w:shd w:val="clear"/>
            <w:tcMar>
              <w:top w:w="150" w:type="dxa"/>
              <w:left w:w="240" w:type="dxa"/>
              <w:bottom w:w="150" w:type="dxa"/>
              <w:right w:w="0" w:type="dxa"/>
            </w:tcMar>
            <w:vAlign w:val="center"/>
          </w:tcPr>
          <w:p>
            <w:pPr>
              <w:rPr>
                <w:rFonts w:hint="default"/>
              </w:rPr>
            </w:pPr>
            <w:r>
              <w:rPr>
                <w:rFonts w:hint="default"/>
                <w:lang w:val="en-US" w:eastAsia="zh-CN"/>
              </w:rPr>
              <w:t>1,280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984" w:type="dxa"/>
            <w:shd w:val="clear"/>
            <w:tcMar>
              <w:top w:w="150" w:type="dxa"/>
              <w:left w:w="0" w:type="dxa"/>
              <w:bottom w:w="150" w:type="dxa"/>
              <w:right w:w="240" w:type="dxa"/>
            </w:tcMar>
            <w:vAlign w:val="center"/>
          </w:tcPr>
          <w:p>
            <w:pPr>
              <w:rPr>
                <w:rFonts w:hint="default"/>
              </w:rPr>
            </w:pPr>
            <w:r>
              <w:rPr>
                <w:rFonts w:hint="default"/>
                <w:lang w:val="en-US" w:eastAsia="zh-CN"/>
              </w:rPr>
              <w:t>Cash Raised</w:t>
            </w:r>
          </w:p>
        </w:tc>
        <w:tc>
          <w:tcPr>
            <w:tcW w:w="4296" w:type="dxa"/>
            <w:shd w:val="clear"/>
            <w:tcMar>
              <w:top w:w="150" w:type="dxa"/>
              <w:left w:w="240" w:type="dxa"/>
              <w:bottom w:w="150" w:type="dxa"/>
              <w:right w:w="0" w:type="dxa"/>
            </w:tcMar>
            <w:vAlign w:val="center"/>
          </w:tcPr>
          <w:p>
            <w:pPr>
              <w:rPr>
                <w:rFonts w:hint="default"/>
              </w:rPr>
            </w:pPr>
            <w:r>
              <w:rPr>
                <w:rFonts w:hint="default"/>
                <w:lang w:val="en-US" w:eastAsia="zh-CN"/>
              </w:rPr>
              <w:t>US$64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984" w:type="dxa"/>
            <w:shd w:val="clear"/>
            <w:tcMar>
              <w:top w:w="150" w:type="dxa"/>
              <w:left w:w="0" w:type="dxa"/>
              <w:bottom w:w="150" w:type="dxa"/>
              <w:right w:w="240" w:type="dxa"/>
            </w:tcMar>
            <w:vAlign w:val="center"/>
          </w:tcPr>
          <w:p>
            <w:pPr>
              <w:rPr>
                <w:rFonts w:hint="default"/>
              </w:rPr>
            </w:pPr>
            <w:r>
              <w:rPr>
                <w:rFonts w:hint="default"/>
                <w:lang w:val="en-US" w:eastAsia="zh-CN"/>
              </w:rPr>
              <w:t>Treasury (Remaining 20%)</w:t>
            </w:r>
          </w:p>
        </w:tc>
        <w:tc>
          <w:tcPr>
            <w:tcW w:w="4296" w:type="dxa"/>
            <w:shd w:val="clear"/>
            <w:tcMar>
              <w:top w:w="150" w:type="dxa"/>
              <w:left w:w="240" w:type="dxa"/>
              <w:bottom w:w="150" w:type="dxa"/>
              <w:right w:w="0" w:type="dxa"/>
            </w:tcMar>
            <w:vAlign w:val="center"/>
          </w:tcPr>
          <w:p>
            <w:pPr>
              <w:rPr>
                <w:rFonts w:hint="default"/>
              </w:rPr>
            </w:pPr>
            <w:r>
              <w:rPr>
                <w:rFonts w:hint="default"/>
                <w:lang w:val="en-US" w:eastAsia="zh-CN"/>
              </w:rPr>
              <w:t>320 billion</w:t>
            </w:r>
          </w:p>
        </w:tc>
      </w:tr>
    </w:tbl>
    <w:p>
      <w:pPr>
        <w:rPr>
          <w:rFonts w:hint="default"/>
        </w:rPr>
      </w:pPr>
      <w:r>
        <w:rPr>
          <w:rFonts w:hint="default"/>
        </w:rPr>
        <w:t>Allocation of the 80% Sale</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331"/>
        <w:gridCol w:w="4625"/>
        <w:gridCol w:w="33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333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Bucket</w:t>
            </w:r>
          </w:p>
        </w:tc>
        <w:tc>
          <w:tcPr>
            <w:tcW w:w="4625"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Outstanding Value</w:t>
            </w:r>
          </w:p>
        </w:tc>
        <w:tc>
          <w:tcPr>
            <w:tcW w:w="3323"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 of Outstanding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331" w:type="dxa"/>
            <w:shd w:val="clear"/>
            <w:tcMar>
              <w:top w:w="150" w:type="dxa"/>
              <w:left w:w="0" w:type="dxa"/>
              <w:bottom w:w="150" w:type="dxa"/>
              <w:right w:w="240" w:type="dxa"/>
            </w:tcMar>
            <w:vAlign w:val="center"/>
          </w:tcPr>
          <w:p>
            <w:pPr>
              <w:rPr>
                <w:rFonts w:hint="default"/>
              </w:rPr>
            </w:pPr>
            <w:r>
              <w:rPr>
                <w:rFonts w:hint="default"/>
                <w:lang w:val="en-US" w:eastAsia="zh-CN"/>
              </w:rPr>
              <w:t>Jowih Core</w:t>
            </w:r>
          </w:p>
        </w:tc>
        <w:tc>
          <w:tcPr>
            <w:tcW w:w="4625" w:type="dxa"/>
            <w:shd w:val="clear"/>
            <w:tcMar>
              <w:top w:w="150" w:type="dxa"/>
              <w:left w:w="240" w:type="dxa"/>
              <w:bottom w:w="150" w:type="dxa"/>
              <w:right w:w="240" w:type="dxa"/>
            </w:tcMar>
            <w:vAlign w:val="center"/>
          </w:tcPr>
          <w:p>
            <w:pPr>
              <w:rPr>
                <w:rFonts w:hint="default"/>
              </w:rPr>
            </w:pPr>
            <w:r>
              <w:rPr>
                <w:rFonts w:hint="default"/>
                <w:lang w:val="en-US" w:eastAsia="zh-CN"/>
              </w:rPr>
              <w:t>US$19.2 billion</w:t>
            </w:r>
          </w:p>
        </w:tc>
        <w:tc>
          <w:tcPr>
            <w:tcW w:w="3323" w:type="dxa"/>
            <w:shd w:val="clear"/>
            <w:tcMar>
              <w:top w:w="150" w:type="dxa"/>
              <w:left w:w="240" w:type="dxa"/>
              <w:bottom w:w="150" w:type="dxa"/>
              <w:right w:w="0" w:type="dxa"/>
            </w:tcMar>
            <w:vAlign w:val="center"/>
          </w:tcPr>
          <w:p>
            <w:pPr>
              <w:rPr>
                <w:rFonts w:hint="default"/>
              </w:rPr>
            </w:pPr>
            <w:r>
              <w:rPr>
                <w:rFonts w:hint="default"/>
                <w:lang w:val="en-US" w:eastAsia="zh-CN"/>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331" w:type="dxa"/>
            <w:shd w:val="clear"/>
            <w:tcMar>
              <w:top w:w="150" w:type="dxa"/>
              <w:left w:w="0" w:type="dxa"/>
              <w:bottom w:w="150" w:type="dxa"/>
              <w:right w:w="240" w:type="dxa"/>
            </w:tcMar>
            <w:vAlign w:val="center"/>
          </w:tcPr>
          <w:p>
            <w:pPr>
              <w:rPr>
                <w:rFonts w:hint="default"/>
              </w:rPr>
            </w:pPr>
            <w:r>
              <w:rPr>
                <w:rFonts w:hint="default"/>
                <w:lang w:val="en-US" w:eastAsia="zh-CN"/>
              </w:rPr>
              <w:t>Ecosystem Partners</w:t>
            </w:r>
          </w:p>
        </w:tc>
        <w:tc>
          <w:tcPr>
            <w:tcW w:w="4625" w:type="dxa"/>
            <w:shd w:val="clear"/>
            <w:tcMar>
              <w:top w:w="150" w:type="dxa"/>
              <w:left w:w="240" w:type="dxa"/>
              <w:bottom w:w="150" w:type="dxa"/>
              <w:right w:w="240" w:type="dxa"/>
            </w:tcMar>
            <w:vAlign w:val="center"/>
          </w:tcPr>
          <w:p>
            <w:pPr>
              <w:rPr>
                <w:rFonts w:hint="default"/>
              </w:rPr>
            </w:pPr>
            <w:r>
              <w:rPr>
                <w:rFonts w:hint="default"/>
                <w:lang w:val="en-US" w:eastAsia="zh-CN"/>
              </w:rPr>
              <w:t>US$44.8 billion</w:t>
            </w:r>
          </w:p>
        </w:tc>
        <w:tc>
          <w:tcPr>
            <w:tcW w:w="3323" w:type="dxa"/>
            <w:shd w:val="clear"/>
            <w:tcMar>
              <w:top w:w="150" w:type="dxa"/>
              <w:left w:w="240" w:type="dxa"/>
              <w:bottom w:w="150" w:type="dxa"/>
              <w:right w:w="0" w:type="dxa"/>
            </w:tcMar>
            <w:vAlign w:val="center"/>
          </w:tcPr>
          <w:p>
            <w:pPr>
              <w:rPr>
                <w:rFonts w:hint="default"/>
              </w:rPr>
            </w:pPr>
            <w:r>
              <w:rPr>
                <w:rFonts w:hint="default"/>
                <w:lang w:val="en-US" w:eastAsia="zh-CN"/>
              </w:rPr>
              <w:t>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331" w:type="dxa"/>
            <w:shd w:val="clear"/>
            <w:tcMar>
              <w:top w:w="150" w:type="dxa"/>
              <w:left w:w="0" w:type="dxa"/>
              <w:bottom w:w="150" w:type="dxa"/>
              <w:right w:w="240" w:type="dxa"/>
            </w:tcMar>
            <w:vAlign w:val="center"/>
          </w:tcPr>
          <w:p>
            <w:pPr>
              <w:rPr>
                <w:rFonts w:hint="default"/>
              </w:rPr>
            </w:pPr>
            <w:r>
              <w:rPr>
                <w:rFonts w:hint="default"/>
                <w:lang w:val="en-US" w:eastAsia="zh-CN"/>
              </w:rPr>
              <w:t>Total Outstanding</w:t>
            </w:r>
          </w:p>
        </w:tc>
        <w:tc>
          <w:tcPr>
            <w:tcW w:w="4625" w:type="dxa"/>
            <w:shd w:val="clear"/>
            <w:tcMar>
              <w:top w:w="150" w:type="dxa"/>
              <w:left w:w="240" w:type="dxa"/>
              <w:bottom w:w="150" w:type="dxa"/>
              <w:right w:w="240" w:type="dxa"/>
            </w:tcMar>
            <w:vAlign w:val="center"/>
          </w:tcPr>
          <w:p>
            <w:pPr>
              <w:rPr>
                <w:rFonts w:hint="default"/>
              </w:rPr>
            </w:pPr>
            <w:r>
              <w:rPr>
                <w:rFonts w:hint="default"/>
                <w:lang w:val="en-US" w:eastAsia="zh-CN"/>
              </w:rPr>
              <w:t>US$64 billion</w:t>
            </w:r>
          </w:p>
        </w:tc>
        <w:tc>
          <w:tcPr>
            <w:tcW w:w="3323" w:type="dxa"/>
            <w:shd w:val="clear"/>
            <w:tcMar>
              <w:top w:w="150" w:type="dxa"/>
              <w:left w:w="240" w:type="dxa"/>
              <w:bottom w:w="150" w:type="dxa"/>
              <w:right w:w="0" w:type="dxa"/>
            </w:tcMar>
            <w:vAlign w:val="center"/>
          </w:tcPr>
          <w:p>
            <w:pPr>
              <w:rPr>
                <w:rFonts w:hint="default"/>
              </w:rPr>
            </w:pPr>
            <w:r>
              <w:rPr>
                <w:rFonts w:hint="default"/>
                <w:lang w:val="en-US"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331" w:type="dxa"/>
            <w:shd w:val="clear"/>
            <w:tcMar>
              <w:top w:w="150" w:type="dxa"/>
              <w:left w:w="0" w:type="dxa"/>
              <w:bottom w:w="150" w:type="dxa"/>
              <w:right w:w="240" w:type="dxa"/>
            </w:tcMar>
            <w:vAlign w:val="center"/>
          </w:tcPr>
          <w:p>
            <w:pPr>
              <w:rPr>
                <w:rFonts w:hint="default"/>
              </w:rPr>
            </w:pPr>
            <w:r>
              <w:rPr>
                <w:rFonts w:hint="default"/>
                <w:lang w:val="en-US" w:eastAsia="zh-CN"/>
              </w:rPr>
              <w:t>Treasury (Unsold)</w:t>
            </w:r>
          </w:p>
        </w:tc>
        <w:tc>
          <w:tcPr>
            <w:tcW w:w="4625" w:type="dxa"/>
            <w:shd w:val="clear"/>
            <w:tcMar>
              <w:top w:w="150" w:type="dxa"/>
              <w:left w:w="240" w:type="dxa"/>
              <w:bottom w:w="150" w:type="dxa"/>
              <w:right w:w="240" w:type="dxa"/>
            </w:tcMar>
            <w:vAlign w:val="center"/>
          </w:tcPr>
          <w:p>
            <w:pPr>
              <w:rPr>
                <w:rFonts w:hint="default"/>
              </w:rPr>
            </w:pPr>
            <w:r>
              <w:rPr>
                <w:rFonts w:hint="default"/>
                <w:lang w:val="en-US" w:eastAsia="zh-CN"/>
              </w:rPr>
              <w:t>US$16 billion (320B units)</w:t>
            </w:r>
          </w:p>
        </w:tc>
        <w:tc>
          <w:tcPr>
            <w:tcW w:w="3323" w:type="dxa"/>
            <w:shd w:val="clear"/>
            <w:tcMar>
              <w:top w:w="150" w:type="dxa"/>
              <w:left w:w="240" w:type="dxa"/>
              <w:bottom w:w="150" w:type="dxa"/>
              <w:right w:w="0" w:type="dxa"/>
            </w:tcMar>
            <w:vAlign w:val="center"/>
          </w:tcPr>
          <w:p>
            <w:pPr>
              <w:rPr>
                <w:rFonts w:hint="default"/>
              </w:rPr>
            </w:pPr>
            <w:r>
              <w:rPr>
                <w:rFonts w:hint="default"/>
                <w:lang w:val="en-US" w:eastAsia="zh-CN"/>
              </w:rPr>
              <w:t>—</w:t>
            </w:r>
          </w:p>
        </w:tc>
      </w:tr>
    </w:tbl>
    <w:p>
      <w:r>
        <w:rPr>
          <w:rFonts w:hint="default"/>
        </w:rPr>
        <w:t xml:space="preserve">The </w:t>
      </w:r>
      <w:r>
        <w:rPr>
          <w:rFonts w:hint="default"/>
        </w:rPr>
        <w:t>30/70 internal split is preserved</w:t>
      </w:r>
      <w:r>
        <w:rPr>
          <w:rFonts w:hint="default"/>
        </w:rPr>
        <w:t xml:space="preserve"> at both authorization and subscription.</w:t>
      </w:r>
    </w:p>
    <w:p>
      <w:pPr>
        <w:rPr>
          <w:rFonts w:hint="default"/>
        </w:rPr>
      </w:pPr>
      <w:r>
        <w:rPr>
          <w:rFonts w:hint="default"/>
        </w:rPr>
        <w:t>18.4 Valuation Principle</w:t>
      </w:r>
    </w:p>
    <w:p>
      <w:r>
        <w:rPr>
          <w:rFonts w:hint="default"/>
        </w:rPr>
        <w:t>A smaller percentage of a highly valued enterprise may contribute more vaulted dollar value than a larger percentage of a lower-valued enterprise.</w:t>
      </w:r>
    </w:p>
    <w:p>
      <w:r>
        <w:rPr>
          <w:rFonts w:hint="default"/>
        </w:rPr>
        <w:t>Accordingly:</w:t>
      </w:r>
    </w:p>
    <w:p>
      <w:r>
        <w:rPr>
          <w:rFonts w:hint="eastAsia"/>
        </w:rPr>
        <w:t>Fund allocation follows the independently established value of qualifying assets vaulted, not merely the nominal equity percentage deposited.</w:t>
      </w:r>
    </w:p>
    <w:p>
      <w:pPr>
        <w:rPr>
          <w:rFonts w:hint="default"/>
        </w:rPr>
      </w:pPr>
      <w:r>
        <w:rPr>
          <w:rFonts w:hint="default"/>
        </w:rPr>
        <w:t>18.5 Illustrative Vaulting Example — Within Ecosystem Partner Bucket</w:t>
      </w:r>
    </w:p>
    <w:p>
      <w:r>
        <w:rPr>
          <w:rFonts w:hint="default"/>
        </w:rPr>
        <w:t>The Ecosystem Partner Bucket has **US$44.8 billion** outstanding (70% of US$64 billion).</w:t>
      </w:r>
    </w:p>
    <w:p>
      <w:pPr>
        <w:rPr>
          <w:rFonts w:hint="default"/>
        </w:rPr>
      </w:pPr>
      <w:r>
        <w:rPr>
          <w:rFonts w:hint="default"/>
        </w:rPr>
        <w:t>Step 1: Partner Deposits and Vaulted Values</w:t>
      </w:r>
    </w:p>
    <w:tbl>
      <w:tblPr>
        <w:tblW w:w="874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96"/>
        <w:gridCol w:w="1453"/>
        <w:gridCol w:w="2072"/>
        <w:gridCol w:w="2192"/>
        <w:gridCol w:w="253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496"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w:t>
            </w:r>
          </w:p>
        </w:tc>
        <w:tc>
          <w:tcPr>
            <w:tcW w:w="1453"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Company</w:t>
            </w:r>
          </w:p>
        </w:tc>
        <w:tc>
          <w:tcPr>
            <w:tcW w:w="207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Total Valuation</w:t>
            </w:r>
          </w:p>
        </w:tc>
        <w:tc>
          <w:tcPr>
            <w:tcW w:w="219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Equity Deposited</w:t>
            </w:r>
          </w:p>
        </w:tc>
        <w:tc>
          <w:tcPr>
            <w:tcW w:w="2536"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Dollar Value Vaulted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A</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$1,000,000,000</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5%</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2</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B</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$500,000,000</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10%</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3</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C</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$250,000,000</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20%</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4</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D</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$200,000,000</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25%</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5</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E</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$166,666,667</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30%</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6</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F</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$142,857,143</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35%</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7</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G</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$125,000,000</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40%</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8</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H</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$111,111,111</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45%</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$50,000,000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9</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I</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$100,000,000</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49%</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$49,000,000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10</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J</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$90,909,091</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49%</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$44,545,455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11</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K</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$83,333,333</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49%</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$40,833,333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12</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L</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$76,923,077</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49%</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$37,692,308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13</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M</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$71,428,571</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49%</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$35,000,000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14</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N</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$66,666,667</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49%</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$32,666,667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15</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O</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$50,000,000</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49%</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$24,500,000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16</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P</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$40,000,000</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49%</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$19,600,000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17</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Q</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$33,333,333</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49%</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$16,333,333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18</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R</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$28,571,429</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49%</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$14,000,000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19</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S</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$25,000,000</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49%</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$12,250,000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20</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T</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$20,408,163</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49%</w:t>
            </w: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$10,000,000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Total</w:t>
            </w:r>
          </w:p>
        </w:tc>
        <w:tc>
          <w:tcPr>
            <w:tcW w:w="2072" w:type="dxa"/>
            <w:shd w:val="clear"/>
            <w:tcMar>
              <w:top w:w="150" w:type="dxa"/>
              <w:left w:w="240" w:type="dxa"/>
              <w:bottom w:w="150" w:type="dxa"/>
              <w:right w:w="240" w:type="dxa"/>
            </w:tcMar>
            <w:vAlign w:val="center"/>
          </w:tcPr>
          <w:p>
            <w:pPr>
              <w:rPr>
                <w:rFonts w:hint="default"/>
              </w:rPr>
            </w:pPr>
          </w:p>
        </w:tc>
        <w:tc>
          <w:tcPr>
            <w:tcW w:w="2192" w:type="dxa"/>
            <w:shd w:val="clear"/>
            <w:tcMar>
              <w:top w:w="150" w:type="dxa"/>
              <w:left w:w="240" w:type="dxa"/>
              <w:bottom w:w="150" w:type="dxa"/>
              <w:right w:w="240" w:type="dxa"/>
            </w:tcMar>
            <w:vAlign w:val="center"/>
          </w:tcPr>
          <w:p>
            <w:pPr>
              <w:rPr>
                <w:rFonts w:hint="default"/>
              </w:rPr>
            </w:pPr>
          </w:p>
        </w:tc>
        <w:tc>
          <w:tcPr>
            <w:tcW w:w="2536" w:type="dxa"/>
            <w:shd w:val="clear"/>
            <w:tcMar>
              <w:top w:w="150" w:type="dxa"/>
              <w:left w:w="240" w:type="dxa"/>
              <w:bottom w:w="150" w:type="dxa"/>
              <w:right w:w="0" w:type="dxa"/>
            </w:tcMar>
            <w:vAlign w:val="center"/>
          </w:tcPr>
          <w:p>
            <w:pPr>
              <w:rPr>
                <w:rFonts w:hint="default"/>
              </w:rPr>
            </w:pPr>
            <w:r>
              <w:rPr>
                <w:rFonts w:hint="default"/>
                <w:lang w:val="en-US" w:eastAsia="zh-CN"/>
              </w:rPr>
              <w:t>$685,020,404</w:t>
            </w:r>
          </w:p>
        </w:tc>
      </w:tr>
    </w:tbl>
    <w:p>
      <w:pPr>
        <w:rPr>
          <w:rFonts w:hint="default"/>
        </w:rPr>
      </w:pPr>
      <w:r>
        <w:rPr>
          <w:rFonts w:hint="default"/>
        </w:rPr>
        <w:t>Step 2: Index Weight</w:t>
      </w:r>
    </w:p>
    <w:p>
      <w:r>
        <w:rPr>
          <w:rFonts w:hint="eastAsia"/>
        </w:rPr>
        <w:t>Index Weight = Net Dollar Value Vaulted ÷ Total Vaulted Value</w:t>
      </w:r>
    </w:p>
    <w:tbl>
      <w:tblPr>
        <w:tblW w:w="56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96"/>
        <w:gridCol w:w="1453"/>
        <w:gridCol w:w="1881"/>
        <w:gridCol w:w="18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496"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w:t>
            </w:r>
          </w:p>
        </w:tc>
        <w:tc>
          <w:tcPr>
            <w:tcW w:w="1453"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Company</w:t>
            </w:r>
          </w:p>
        </w:tc>
        <w:tc>
          <w:tcPr>
            <w:tcW w:w="1881"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Vaulted Value</w:t>
            </w:r>
          </w:p>
        </w:tc>
        <w:tc>
          <w:tcPr>
            <w:tcW w:w="180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Index Weight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A</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$50,000,000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2</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B</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$50,000,000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3</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C</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$50,000,000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4</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D</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$50,000,000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5</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E</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$50,000,000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6</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F</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$50,000,000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7</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G</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$50,000,000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8</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H</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$50,000,000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9</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I</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$49,000,000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7.15%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10</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J</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$44,545,455</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6.50%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11</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K</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$40,833,333</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5.96%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12</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L</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$37,692,308</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5.50%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13</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M</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$35,000,000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5.11%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14</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N</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$32,666,667</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4.77%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15</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O</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$24,500,000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3.58%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16</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P</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$19,600,000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2.86%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17</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Q</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$16,333,333</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2.38%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18</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R</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$14,000,000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2.04%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19</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S</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$12,250,000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1.79%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20</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T</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$10,000,000</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1.46%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Total</w:t>
            </w:r>
          </w:p>
        </w:tc>
        <w:tc>
          <w:tcPr>
            <w:tcW w:w="1881" w:type="dxa"/>
            <w:shd w:val="clear"/>
            <w:tcMar>
              <w:top w:w="150" w:type="dxa"/>
              <w:left w:w="240" w:type="dxa"/>
              <w:bottom w:w="150" w:type="dxa"/>
              <w:right w:w="240" w:type="dxa"/>
            </w:tcMar>
            <w:vAlign w:val="center"/>
          </w:tcPr>
          <w:p>
            <w:pPr>
              <w:rPr>
                <w:rFonts w:hint="default"/>
              </w:rPr>
            </w:pPr>
            <w:r>
              <w:rPr>
                <w:rFonts w:hint="default"/>
                <w:lang w:val="en-US" w:eastAsia="zh-CN"/>
              </w:rPr>
              <w:t>$685,020,404</w:t>
            </w:r>
          </w:p>
        </w:tc>
        <w:tc>
          <w:tcPr>
            <w:tcW w:w="1808" w:type="dxa"/>
            <w:shd w:val="clear"/>
            <w:tcMar>
              <w:top w:w="150" w:type="dxa"/>
              <w:left w:w="240" w:type="dxa"/>
              <w:bottom w:w="150" w:type="dxa"/>
              <w:right w:w="0" w:type="dxa"/>
            </w:tcMar>
            <w:vAlign w:val="center"/>
          </w:tcPr>
          <w:p>
            <w:pPr>
              <w:rPr>
                <w:rFonts w:hint="default"/>
              </w:rPr>
            </w:pPr>
            <w:r>
              <w:rPr>
                <w:rFonts w:hint="default"/>
                <w:lang w:val="en-US" w:eastAsia="zh-CN"/>
              </w:rPr>
              <w:t>100.00%</w:t>
            </w:r>
          </w:p>
        </w:tc>
      </w:tr>
    </w:tbl>
    <w:p>
      <w:pPr>
        <w:rPr>
          <w:rFonts w:hint="default"/>
        </w:rPr>
      </w:pPr>
      <w:r>
        <w:rPr>
          <w:rFonts w:hint="default"/>
        </w:rPr>
        <w:t>Step 3: Capital Distribution</w:t>
      </w:r>
    </w:p>
    <w:p>
      <w:r>
        <w:rPr>
          <w:rFonts w:hint="default"/>
        </w:rPr>
        <w:t xml:space="preserve">The Ecosystem Partner Bucket has </w:t>
      </w:r>
      <w:r>
        <w:rPr>
          <w:rFonts w:hint="default"/>
        </w:rPr>
        <w:t>US$44.8 billion</w:t>
      </w:r>
      <w:r>
        <w:rPr>
          <w:rFonts w:hint="default"/>
        </w:rPr>
        <w:t xml:space="preserve"> outstanding.</w:t>
      </w:r>
    </w:p>
    <w:p>
      <w:r>
        <w:rPr>
          <w:rFonts w:hint="default"/>
        </w:rPr>
        <w:t>Each partner receives:</w:t>
      </w:r>
    </w:p>
    <w:p>
      <w:r>
        <w:rPr>
          <w:rFonts w:hint="eastAsia"/>
        </w:rPr>
        <w:t>Index Weight × US$44,800,000,000</w:t>
      </w:r>
    </w:p>
    <w:tbl>
      <w:tblPr>
        <w:tblW w:w="59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96"/>
        <w:gridCol w:w="1453"/>
        <w:gridCol w:w="1808"/>
        <w:gridCol w:w="219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496"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w:t>
            </w:r>
          </w:p>
        </w:tc>
        <w:tc>
          <w:tcPr>
            <w:tcW w:w="1453"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Company</w:t>
            </w:r>
          </w:p>
        </w:tc>
        <w:tc>
          <w:tcPr>
            <w:tcW w:w="180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Index Weight</w:t>
            </w:r>
          </w:p>
        </w:tc>
        <w:tc>
          <w:tcPr>
            <w:tcW w:w="2199"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Capital Received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A</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7.30%</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$3,270,400,000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2</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B</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7.30%</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$3,270,400,000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3</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C</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7.30%</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$3,270,400,000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4</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D</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7.30%</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$3,270,400,000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5</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E</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7.30%</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$3,270,400,000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6</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F</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7.30%</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$3,270,400,000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7</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G</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7.30%</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$3,270,400,000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8</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H</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7.30%</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$3,270,400,000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9</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I</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7.15%</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$3,203,200,000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10</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J</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6.50%</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$2,912,000,000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11</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K</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5.96%</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$2,670,080,000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12</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L</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5.50%</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$2,464,000,000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13</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M</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5.11%</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$2,289,280,000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14</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N</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4.77%</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$2,136,960,000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15</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O</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3.58%</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$1,603,840,000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16</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P</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2.86%</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$1,281,280,000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17</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Q</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2.38%</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$1,066,240,000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18</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R</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2.04%</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$913,920,000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19</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S</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1.79%</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$801,920,000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r>
              <w:rPr>
                <w:rFonts w:hint="default"/>
                <w:lang w:val="en-US" w:eastAsia="zh-CN"/>
              </w:rPr>
              <w:t>20</w:t>
            </w: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Partner T</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1.46%</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$654,080,000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96" w:type="dxa"/>
            <w:shd w:val="clear"/>
            <w:tcMar>
              <w:top w:w="150" w:type="dxa"/>
              <w:left w:w="0" w:type="dxa"/>
              <w:bottom w:w="150" w:type="dxa"/>
              <w:right w:w="240" w:type="dxa"/>
            </w:tcMar>
            <w:vAlign w:val="center"/>
          </w:tcPr>
          <w:p>
            <w:pPr>
              <w:rPr>
                <w:rFonts w:hint="default"/>
              </w:rPr>
            </w:pPr>
          </w:p>
        </w:tc>
        <w:tc>
          <w:tcPr>
            <w:tcW w:w="1453" w:type="dxa"/>
            <w:shd w:val="clear"/>
            <w:tcMar>
              <w:top w:w="150" w:type="dxa"/>
              <w:left w:w="240" w:type="dxa"/>
              <w:bottom w:w="150" w:type="dxa"/>
              <w:right w:w="240" w:type="dxa"/>
            </w:tcMar>
            <w:vAlign w:val="center"/>
          </w:tcPr>
          <w:p>
            <w:pPr>
              <w:rPr>
                <w:rFonts w:hint="default"/>
              </w:rPr>
            </w:pPr>
            <w:r>
              <w:rPr>
                <w:rFonts w:hint="default"/>
                <w:lang w:val="en-US" w:eastAsia="zh-CN"/>
              </w:rPr>
              <w:t>Total</w:t>
            </w:r>
          </w:p>
        </w:tc>
        <w:tc>
          <w:tcPr>
            <w:tcW w:w="1808" w:type="dxa"/>
            <w:shd w:val="clear"/>
            <w:tcMar>
              <w:top w:w="150" w:type="dxa"/>
              <w:left w:w="240" w:type="dxa"/>
              <w:bottom w:w="150" w:type="dxa"/>
              <w:right w:w="240" w:type="dxa"/>
            </w:tcMar>
            <w:vAlign w:val="center"/>
          </w:tcPr>
          <w:p>
            <w:pPr>
              <w:rPr>
                <w:rFonts w:hint="default"/>
              </w:rPr>
            </w:pPr>
            <w:r>
              <w:rPr>
                <w:rFonts w:hint="default"/>
                <w:lang w:val="en-US" w:eastAsia="zh-CN"/>
              </w:rPr>
              <w:t>100.00%</w:t>
            </w:r>
          </w:p>
        </w:tc>
        <w:tc>
          <w:tcPr>
            <w:tcW w:w="2199" w:type="dxa"/>
            <w:shd w:val="clear"/>
            <w:tcMar>
              <w:top w:w="150" w:type="dxa"/>
              <w:left w:w="240" w:type="dxa"/>
              <w:bottom w:w="150" w:type="dxa"/>
              <w:right w:w="0" w:type="dxa"/>
            </w:tcMar>
            <w:vAlign w:val="center"/>
          </w:tcPr>
          <w:p>
            <w:pPr>
              <w:rPr>
                <w:rFonts w:hint="default"/>
              </w:rPr>
            </w:pPr>
            <w:r>
              <w:rPr>
                <w:rFonts w:hint="default"/>
                <w:lang w:val="en-US" w:eastAsia="zh-CN"/>
              </w:rPr>
              <w:t>$44,800,000,000</w:t>
            </w:r>
          </w:p>
        </w:tc>
      </w:tr>
    </w:tbl>
    <w:p>
      <w:pPr>
        <w:rPr>
          <w:rFonts w:hint="default"/>
        </w:rPr>
      </w:pPr>
      <w:r>
        <w:rPr>
          <w:rFonts w:hint="default"/>
        </w:rPr>
        <w:t>Step 4: The Key Insight</w:t>
      </w:r>
    </w:p>
    <w:tbl>
      <w:tblPr>
        <w:tblW w:w="950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193"/>
        <w:gridCol w:w="2072"/>
        <w:gridCol w:w="2192"/>
        <w:gridCol w:w="1880"/>
        <w:gridCol w:w="21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1193"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Company</w:t>
            </w:r>
          </w:p>
        </w:tc>
        <w:tc>
          <w:tcPr>
            <w:tcW w:w="207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Total Valuation</w:t>
            </w:r>
          </w:p>
        </w:tc>
        <w:tc>
          <w:tcPr>
            <w:tcW w:w="219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Equity Deposited</w:t>
            </w:r>
          </w:p>
        </w:tc>
        <w:tc>
          <w:tcPr>
            <w:tcW w:w="1880"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Vaulted Value</w:t>
            </w:r>
          </w:p>
        </w:tc>
        <w:tc>
          <w:tcPr>
            <w:tcW w:w="2165"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Capital Received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193" w:type="dxa"/>
            <w:shd w:val="clear"/>
            <w:tcMar>
              <w:top w:w="150" w:type="dxa"/>
              <w:left w:w="0" w:type="dxa"/>
              <w:bottom w:w="150" w:type="dxa"/>
              <w:right w:w="240" w:type="dxa"/>
            </w:tcMar>
            <w:vAlign w:val="center"/>
          </w:tcPr>
          <w:p>
            <w:pPr>
              <w:rPr>
                <w:rFonts w:hint="default"/>
              </w:rPr>
            </w:pPr>
            <w:r>
              <w:rPr>
                <w:rFonts w:hint="default"/>
                <w:lang w:val="en-US" w:eastAsia="zh-CN"/>
              </w:rPr>
              <w:t>Partner A</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$1,000,000,000</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5%</w:t>
            </w:r>
          </w:p>
        </w:tc>
        <w:tc>
          <w:tcPr>
            <w:tcW w:w="1880" w:type="dxa"/>
            <w:shd w:val="clear"/>
            <w:tcMar>
              <w:top w:w="150" w:type="dxa"/>
              <w:left w:w="240" w:type="dxa"/>
              <w:bottom w:w="150" w:type="dxa"/>
              <w:right w:w="240" w:type="dxa"/>
            </w:tcMar>
            <w:vAlign w:val="center"/>
          </w:tcPr>
          <w:p>
            <w:pPr>
              <w:rPr>
                <w:rFonts w:hint="default"/>
              </w:rPr>
            </w:pPr>
            <w:r>
              <w:rPr>
                <w:rFonts w:hint="default"/>
                <w:lang w:val="en-US" w:eastAsia="zh-CN"/>
              </w:rPr>
              <w:t>$50,000,000</w:t>
            </w:r>
          </w:p>
        </w:tc>
        <w:tc>
          <w:tcPr>
            <w:tcW w:w="2165" w:type="dxa"/>
            <w:shd w:val="clear"/>
            <w:tcMar>
              <w:top w:w="150" w:type="dxa"/>
              <w:left w:w="240" w:type="dxa"/>
              <w:bottom w:w="150" w:type="dxa"/>
              <w:right w:w="0" w:type="dxa"/>
            </w:tcMar>
            <w:vAlign w:val="center"/>
          </w:tcPr>
          <w:p>
            <w:pPr>
              <w:rPr>
                <w:rFonts w:hint="default"/>
              </w:rPr>
            </w:pPr>
            <w:r>
              <w:rPr>
                <w:rFonts w:hint="default"/>
                <w:lang w:val="en-US" w:eastAsia="zh-CN"/>
              </w:rPr>
              <w:t>$3,270,400,000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193" w:type="dxa"/>
            <w:shd w:val="clear"/>
            <w:tcMar>
              <w:top w:w="150" w:type="dxa"/>
              <w:left w:w="0" w:type="dxa"/>
              <w:bottom w:w="150" w:type="dxa"/>
              <w:right w:w="240" w:type="dxa"/>
            </w:tcMar>
            <w:vAlign w:val="center"/>
          </w:tcPr>
          <w:p>
            <w:pPr>
              <w:rPr>
                <w:rFonts w:hint="default"/>
              </w:rPr>
            </w:pPr>
            <w:r>
              <w:rPr>
                <w:rFonts w:hint="default"/>
                <w:lang w:val="en-US" w:eastAsia="zh-CN"/>
              </w:rPr>
              <w:t>Partner T</w:t>
            </w:r>
          </w:p>
        </w:tc>
        <w:tc>
          <w:tcPr>
            <w:tcW w:w="2072" w:type="dxa"/>
            <w:shd w:val="clear"/>
            <w:tcMar>
              <w:top w:w="150" w:type="dxa"/>
              <w:left w:w="240" w:type="dxa"/>
              <w:bottom w:w="150" w:type="dxa"/>
              <w:right w:w="240" w:type="dxa"/>
            </w:tcMar>
            <w:vAlign w:val="center"/>
          </w:tcPr>
          <w:p>
            <w:pPr>
              <w:rPr>
                <w:rFonts w:hint="default"/>
              </w:rPr>
            </w:pPr>
            <w:r>
              <w:rPr>
                <w:rFonts w:hint="default"/>
                <w:lang w:val="en-US" w:eastAsia="zh-CN"/>
              </w:rPr>
              <w:t>$20,408,163</w:t>
            </w:r>
          </w:p>
        </w:tc>
        <w:tc>
          <w:tcPr>
            <w:tcW w:w="2192" w:type="dxa"/>
            <w:shd w:val="clear"/>
            <w:tcMar>
              <w:top w:w="150" w:type="dxa"/>
              <w:left w:w="240" w:type="dxa"/>
              <w:bottom w:w="150" w:type="dxa"/>
              <w:right w:w="240" w:type="dxa"/>
            </w:tcMar>
            <w:vAlign w:val="center"/>
          </w:tcPr>
          <w:p>
            <w:pPr>
              <w:rPr>
                <w:rFonts w:hint="default"/>
              </w:rPr>
            </w:pPr>
            <w:r>
              <w:rPr>
                <w:rFonts w:hint="default"/>
                <w:lang w:val="en-US" w:eastAsia="zh-CN"/>
              </w:rPr>
              <w:t>49%</w:t>
            </w:r>
          </w:p>
        </w:tc>
        <w:tc>
          <w:tcPr>
            <w:tcW w:w="1880" w:type="dxa"/>
            <w:shd w:val="clear"/>
            <w:tcMar>
              <w:top w:w="150" w:type="dxa"/>
              <w:left w:w="240" w:type="dxa"/>
              <w:bottom w:w="150" w:type="dxa"/>
              <w:right w:w="240" w:type="dxa"/>
            </w:tcMar>
            <w:vAlign w:val="center"/>
          </w:tcPr>
          <w:p>
            <w:pPr>
              <w:rPr>
                <w:rFonts w:hint="default"/>
              </w:rPr>
            </w:pPr>
            <w:r>
              <w:rPr>
                <w:rFonts w:hint="default"/>
                <w:lang w:val="en-US" w:eastAsia="zh-CN"/>
              </w:rPr>
              <w:t>$10,000,000</w:t>
            </w:r>
          </w:p>
        </w:tc>
        <w:tc>
          <w:tcPr>
            <w:tcW w:w="2165" w:type="dxa"/>
            <w:shd w:val="clear"/>
            <w:tcMar>
              <w:top w:w="150" w:type="dxa"/>
              <w:left w:w="240" w:type="dxa"/>
              <w:bottom w:w="150" w:type="dxa"/>
              <w:right w:w="0" w:type="dxa"/>
            </w:tcMar>
            <w:vAlign w:val="center"/>
          </w:tcPr>
          <w:p>
            <w:pPr>
              <w:rPr>
                <w:rFonts w:hint="default"/>
              </w:rPr>
            </w:pPr>
            <w:r>
              <w:rPr>
                <w:rFonts w:hint="default"/>
                <w:lang w:val="en-US" w:eastAsia="zh-CN"/>
              </w:rPr>
              <w:t>$654,080,000</w:t>
            </w:r>
          </w:p>
        </w:tc>
      </w:tr>
    </w:tbl>
    <w:p>
      <w:r>
        <w:rPr>
          <w:rFonts w:hint="default"/>
        </w:rPr>
        <w:t>Partner A</w:t>
      </w:r>
      <w:r>
        <w:rPr>
          <w:rFonts w:hint="default"/>
        </w:rPr>
        <w:t xml:space="preserve"> gave up </w:t>
      </w:r>
      <w:r>
        <w:rPr>
          <w:rFonts w:hint="default"/>
        </w:rPr>
        <w:t>5%</w:t>
      </w:r>
      <w:r>
        <w:rPr>
          <w:rFonts w:hint="default"/>
        </w:rPr>
        <w:t xml:space="preserve"> of a </w:t>
      </w:r>
      <w:r>
        <w:rPr>
          <w:rFonts w:hint="default"/>
        </w:rPr>
        <w:t>$1B** company and received **$3.27B</w:t>
      </w:r>
      <w:r>
        <w:rPr>
          <w:rFonts w:hint="default"/>
        </w:rPr>
        <w:t>.</w:t>
      </w:r>
    </w:p>
    <w:p>
      <w:r>
        <w:rPr>
          <w:rFonts w:hint="default"/>
        </w:rPr>
        <w:t>Partner T</w:t>
      </w:r>
      <w:r>
        <w:rPr>
          <w:rFonts w:hint="default"/>
        </w:rPr>
        <w:t xml:space="preserve"> gave up </w:t>
      </w:r>
      <w:r>
        <w:rPr>
          <w:rFonts w:hint="default"/>
        </w:rPr>
        <w:t>49%</w:t>
      </w:r>
      <w:r>
        <w:rPr>
          <w:rFonts w:hint="default"/>
        </w:rPr>
        <w:t xml:space="preserve"> of a </w:t>
      </w:r>
      <w:r>
        <w:rPr>
          <w:rFonts w:hint="default"/>
        </w:rPr>
        <w:t>$20.4M** company and received **$654M</w:t>
      </w:r>
      <w:r>
        <w:rPr>
          <w:rFonts w:hint="default"/>
        </w:rPr>
        <w:t>.</w:t>
      </w:r>
    </w:p>
    <w:p>
      <w:r>
        <w:rPr>
          <w:rFonts w:hint="eastAsia"/>
        </w:rPr>
        <w:t>Capital follows the independently established dollar value, not the equity percentage.</w:t>
      </w:r>
    </w:p>
    <w:p>
      <w:r>
        <w:pict>
          <v:rect id="_x0000_i1093"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XIX. VAULT RULES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105"/>
        <w:gridCol w:w="61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5105"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Parameter</w:t>
            </w:r>
          </w:p>
        </w:tc>
        <w:tc>
          <w:tcPr>
            <w:tcW w:w="6175"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Base 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105" w:type="dxa"/>
            <w:shd w:val="clear"/>
            <w:tcMar>
              <w:top w:w="150" w:type="dxa"/>
              <w:left w:w="0" w:type="dxa"/>
              <w:bottom w:w="150" w:type="dxa"/>
              <w:right w:w="240" w:type="dxa"/>
            </w:tcMar>
            <w:vAlign w:val="center"/>
          </w:tcPr>
          <w:p>
            <w:pPr>
              <w:rPr>
                <w:rFonts w:hint="default"/>
              </w:rPr>
            </w:pPr>
            <w:r>
              <w:rPr>
                <w:rFonts w:hint="default"/>
                <w:lang w:val="en-US" w:eastAsia="zh-CN"/>
              </w:rPr>
              <w:t>Maximum Partner Equity Ordinarily Eligible for Vaulting</w:t>
            </w:r>
          </w:p>
        </w:tc>
        <w:tc>
          <w:tcPr>
            <w:tcW w:w="6175" w:type="dxa"/>
            <w:shd w:val="clear"/>
            <w:tcMar>
              <w:top w:w="150" w:type="dxa"/>
              <w:left w:w="240" w:type="dxa"/>
              <w:bottom w:w="150" w:type="dxa"/>
              <w:right w:w="0" w:type="dxa"/>
            </w:tcMar>
            <w:vAlign w:val="center"/>
          </w:tcPr>
          <w:p>
            <w:pPr>
              <w:rPr>
                <w:rFonts w:hint="default"/>
              </w:rPr>
            </w:pPr>
            <w:r>
              <w:rPr>
                <w:rFonts w:hint="default"/>
                <w:lang w:val="en-US" w:eastAsia="zh-CN"/>
              </w:rPr>
              <w:t>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105" w:type="dxa"/>
            <w:shd w:val="clear"/>
            <w:tcMar>
              <w:top w:w="150" w:type="dxa"/>
              <w:left w:w="0" w:type="dxa"/>
              <w:bottom w:w="150" w:type="dxa"/>
              <w:right w:w="240" w:type="dxa"/>
            </w:tcMar>
            <w:vAlign w:val="center"/>
          </w:tcPr>
          <w:p>
            <w:pPr>
              <w:rPr>
                <w:rFonts w:hint="default"/>
              </w:rPr>
            </w:pPr>
            <w:r>
              <w:rPr>
                <w:rFonts w:hint="default"/>
                <w:lang w:val="en-US" w:eastAsia="zh-CN"/>
              </w:rPr>
              <w:t>Minimum Partner Equity Ordinarily Retained</w:t>
            </w:r>
          </w:p>
        </w:tc>
        <w:tc>
          <w:tcPr>
            <w:tcW w:w="6175" w:type="dxa"/>
            <w:shd w:val="clear"/>
            <w:tcMar>
              <w:top w:w="150" w:type="dxa"/>
              <w:left w:w="240" w:type="dxa"/>
              <w:bottom w:w="150" w:type="dxa"/>
              <w:right w:w="0" w:type="dxa"/>
            </w:tcMar>
            <w:vAlign w:val="center"/>
          </w:tcPr>
          <w:p>
            <w:pPr>
              <w:rPr>
                <w:rFonts w:hint="default"/>
              </w:rPr>
            </w:pPr>
            <w:r>
              <w:rPr>
                <w:rFonts w:hint="default"/>
                <w:lang w:val="en-US" w:eastAsia="zh-CN"/>
              </w:rPr>
              <w:t>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105" w:type="dxa"/>
            <w:shd w:val="clear"/>
            <w:tcMar>
              <w:top w:w="150" w:type="dxa"/>
              <w:left w:w="0" w:type="dxa"/>
              <w:bottom w:w="150" w:type="dxa"/>
              <w:right w:w="240" w:type="dxa"/>
            </w:tcMar>
            <w:vAlign w:val="center"/>
          </w:tcPr>
          <w:p>
            <w:pPr>
              <w:rPr>
                <w:rFonts w:hint="default"/>
              </w:rPr>
            </w:pPr>
            <w:r>
              <w:rPr>
                <w:rFonts w:hint="default"/>
                <w:lang w:val="en-US" w:eastAsia="zh-CN"/>
              </w:rPr>
              <w:t>Voting Rights Transferred Through Fund Units</w:t>
            </w:r>
          </w:p>
        </w:tc>
        <w:tc>
          <w:tcPr>
            <w:tcW w:w="6175" w:type="dxa"/>
            <w:shd w:val="clear"/>
            <w:tcMar>
              <w:top w:w="150" w:type="dxa"/>
              <w:left w:w="240" w:type="dxa"/>
              <w:bottom w:w="150" w:type="dxa"/>
              <w:right w:w="0" w:type="dxa"/>
            </w:tcMar>
            <w:vAlign w:val="center"/>
          </w:tcPr>
          <w:p>
            <w:pPr>
              <w:rPr>
                <w:rFonts w:hint="default"/>
              </w:rPr>
            </w:pPr>
            <w:r>
              <w:rPr>
                <w:rFonts w:hint="default"/>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105" w:type="dxa"/>
            <w:shd w:val="clear"/>
            <w:tcMar>
              <w:top w:w="150" w:type="dxa"/>
              <w:left w:w="0" w:type="dxa"/>
              <w:bottom w:w="150" w:type="dxa"/>
              <w:right w:w="240" w:type="dxa"/>
            </w:tcMar>
            <w:vAlign w:val="center"/>
          </w:tcPr>
          <w:p>
            <w:pPr>
              <w:rPr>
                <w:rFonts w:hint="default"/>
              </w:rPr>
            </w:pPr>
            <w:r>
              <w:rPr>
                <w:rFonts w:hint="default"/>
                <w:lang w:val="en-US" w:eastAsia="zh-CN"/>
              </w:rPr>
              <w:t>Board Seats Transferred Through Fund Units</w:t>
            </w:r>
          </w:p>
        </w:tc>
        <w:tc>
          <w:tcPr>
            <w:tcW w:w="6175" w:type="dxa"/>
            <w:shd w:val="clear"/>
            <w:tcMar>
              <w:top w:w="150" w:type="dxa"/>
              <w:left w:w="240" w:type="dxa"/>
              <w:bottom w:w="150" w:type="dxa"/>
              <w:right w:w="0" w:type="dxa"/>
            </w:tcMar>
            <w:vAlign w:val="center"/>
          </w:tcPr>
          <w:p>
            <w:pPr>
              <w:rPr>
                <w:rFonts w:hint="default"/>
              </w:rPr>
            </w:pPr>
            <w:r>
              <w:rPr>
                <w:rFonts w:hint="default"/>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105" w:type="dxa"/>
            <w:shd w:val="clear"/>
            <w:tcMar>
              <w:top w:w="150" w:type="dxa"/>
              <w:left w:w="0" w:type="dxa"/>
              <w:bottom w:w="150" w:type="dxa"/>
              <w:right w:w="240" w:type="dxa"/>
            </w:tcMar>
            <w:vAlign w:val="center"/>
          </w:tcPr>
          <w:p>
            <w:pPr>
              <w:rPr>
                <w:rFonts w:hint="default"/>
              </w:rPr>
            </w:pPr>
            <w:r>
              <w:rPr>
                <w:rFonts w:hint="default"/>
                <w:lang w:val="en-US" w:eastAsia="zh-CN"/>
              </w:rPr>
              <w:t>Operational Control Transferred Through Fund Units</w:t>
            </w:r>
          </w:p>
        </w:tc>
        <w:tc>
          <w:tcPr>
            <w:tcW w:w="6175" w:type="dxa"/>
            <w:shd w:val="clear"/>
            <w:tcMar>
              <w:top w:w="150" w:type="dxa"/>
              <w:left w:w="240" w:type="dxa"/>
              <w:bottom w:w="150" w:type="dxa"/>
              <w:right w:w="0" w:type="dxa"/>
            </w:tcMar>
            <w:vAlign w:val="center"/>
          </w:tcPr>
          <w:p>
            <w:pPr>
              <w:rPr>
                <w:rFonts w:hint="default"/>
              </w:rPr>
            </w:pPr>
            <w:r>
              <w:rPr>
                <w:rFonts w:hint="default"/>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105" w:type="dxa"/>
            <w:shd w:val="clear"/>
            <w:tcMar>
              <w:top w:w="150" w:type="dxa"/>
              <w:left w:w="0" w:type="dxa"/>
              <w:bottom w:w="150" w:type="dxa"/>
              <w:right w:w="240" w:type="dxa"/>
            </w:tcMar>
            <w:vAlign w:val="center"/>
          </w:tcPr>
          <w:p>
            <w:pPr>
              <w:rPr>
                <w:rFonts w:hint="default"/>
              </w:rPr>
            </w:pPr>
            <w:r>
              <w:rPr>
                <w:rFonts w:hint="default"/>
                <w:lang w:val="en-US" w:eastAsia="zh-CN"/>
              </w:rPr>
              <w:t>Fund Voting of Vaulted Shares</w:t>
            </w:r>
          </w:p>
        </w:tc>
        <w:tc>
          <w:tcPr>
            <w:tcW w:w="6175" w:type="dxa"/>
            <w:shd w:val="clear"/>
            <w:tcMar>
              <w:top w:w="150" w:type="dxa"/>
              <w:left w:w="240" w:type="dxa"/>
              <w:bottom w:w="150" w:type="dxa"/>
              <w:right w:w="0" w:type="dxa"/>
            </w:tcMar>
            <w:vAlign w:val="center"/>
          </w:tcPr>
          <w:p>
            <w:pPr>
              <w:rPr>
                <w:rFonts w:hint="default"/>
              </w:rPr>
            </w:pPr>
            <w:r>
              <w:rPr>
                <w:rFonts w:hint="default"/>
                <w:lang w:val="en-US" w:eastAsia="zh-CN"/>
              </w:rPr>
              <w:t>None — shares are asset-locked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105" w:type="dxa"/>
            <w:shd w:val="clear"/>
            <w:tcMar>
              <w:top w:w="150" w:type="dxa"/>
              <w:left w:w="0" w:type="dxa"/>
              <w:bottom w:w="150" w:type="dxa"/>
              <w:right w:w="240" w:type="dxa"/>
            </w:tcMar>
            <w:vAlign w:val="center"/>
          </w:tcPr>
          <w:p>
            <w:pPr>
              <w:rPr>
                <w:rFonts w:hint="default"/>
              </w:rPr>
            </w:pPr>
            <w:r>
              <w:rPr>
                <w:rFonts w:hint="default"/>
                <w:lang w:val="en-US" w:eastAsia="zh-CN"/>
              </w:rPr>
              <w:t>Capital Allocation Method</w:t>
            </w:r>
          </w:p>
        </w:tc>
        <w:tc>
          <w:tcPr>
            <w:tcW w:w="6175" w:type="dxa"/>
            <w:shd w:val="clear"/>
            <w:tcMar>
              <w:top w:w="150" w:type="dxa"/>
              <w:left w:w="240" w:type="dxa"/>
              <w:bottom w:w="150" w:type="dxa"/>
              <w:right w:w="0" w:type="dxa"/>
            </w:tcMar>
            <w:vAlign w:val="center"/>
          </w:tcPr>
          <w:p>
            <w:pPr>
              <w:rPr>
                <w:rFonts w:hint="default"/>
              </w:rPr>
            </w:pPr>
            <w:r>
              <w:rPr>
                <w:rFonts w:hint="default"/>
                <w:lang w:val="en-US" w:eastAsia="zh-CN"/>
              </w:rPr>
              <w:t>Valuation-weighted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105" w:type="dxa"/>
            <w:shd w:val="clear"/>
            <w:tcMar>
              <w:top w:w="150" w:type="dxa"/>
              <w:left w:w="0" w:type="dxa"/>
              <w:bottom w:w="150" w:type="dxa"/>
              <w:right w:w="240" w:type="dxa"/>
            </w:tcMar>
            <w:vAlign w:val="center"/>
          </w:tcPr>
          <w:p>
            <w:pPr>
              <w:rPr>
                <w:rFonts w:hint="default"/>
              </w:rPr>
            </w:pPr>
            <w:r>
              <w:rPr>
                <w:rFonts w:hint="default"/>
                <w:lang w:val="en-US" w:eastAsia="zh-CN"/>
              </w:rPr>
              <w:t>Partner Future Capital Raising</w:t>
            </w:r>
          </w:p>
        </w:tc>
        <w:tc>
          <w:tcPr>
            <w:tcW w:w="6175" w:type="dxa"/>
            <w:shd w:val="clear"/>
            <w:tcMar>
              <w:top w:w="150" w:type="dxa"/>
              <w:left w:w="240" w:type="dxa"/>
              <w:bottom w:w="150" w:type="dxa"/>
              <w:right w:w="0" w:type="dxa"/>
            </w:tcMar>
            <w:vAlign w:val="center"/>
          </w:tcPr>
          <w:p>
            <w:pPr>
              <w:rPr>
                <w:rFonts w:hint="default"/>
              </w:rPr>
            </w:pPr>
            <w:r>
              <w:rPr>
                <w:rFonts w:hint="default"/>
                <w:lang w:val="en-US" w:eastAsia="zh-CN"/>
              </w:rPr>
              <w:t>Permitted subject to applicable restrictions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105" w:type="dxa"/>
            <w:shd w:val="clear"/>
            <w:tcMar>
              <w:top w:w="150" w:type="dxa"/>
              <w:left w:w="0" w:type="dxa"/>
              <w:bottom w:w="150" w:type="dxa"/>
              <w:right w:w="240" w:type="dxa"/>
            </w:tcMar>
            <w:vAlign w:val="center"/>
          </w:tcPr>
          <w:p>
            <w:pPr>
              <w:rPr>
                <w:rFonts w:hint="default"/>
              </w:rPr>
            </w:pPr>
            <w:r>
              <w:rPr>
                <w:rFonts w:hint="default"/>
                <w:lang w:val="en-US" w:eastAsia="zh-CN"/>
              </w:rPr>
              <w:t>Partner Buy-Back of Vaulted Shares</w:t>
            </w:r>
          </w:p>
        </w:tc>
        <w:tc>
          <w:tcPr>
            <w:tcW w:w="6175" w:type="dxa"/>
            <w:shd w:val="clear"/>
            <w:tcMar>
              <w:top w:w="150" w:type="dxa"/>
              <w:left w:w="240" w:type="dxa"/>
              <w:bottom w:w="150" w:type="dxa"/>
              <w:right w:w="0" w:type="dxa"/>
            </w:tcMar>
            <w:vAlign w:val="center"/>
          </w:tcPr>
          <w:p>
            <w:pPr>
              <w:rPr>
                <w:rFonts w:hint="default"/>
              </w:rPr>
            </w:pPr>
            <w:r>
              <w:rPr>
                <w:rFonts w:hint="default"/>
                <w:lang w:val="en-US" w:eastAsia="zh-CN"/>
              </w:rPr>
              <w:t>Permitted subject to applicable lock-up and Fund terms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105" w:type="dxa"/>
            <w:shd w:val="clear"/>
            <w:tcMar>
              <w:top w:w="150" w:type="dxa"/>
              <w:left w:w="0" w:type="dxa"/>
              <w:bottom w:w="150" w:type="dxa"/>
              <w:right w:w="240" w:type="dxa"/>
            </w:tcMar>
            <w:vAlign w:val="center"/>
          </w:tcPr>
          <w:p>
            <w:pPr>
              <w:rPr>
                <w:rFonts w:hint="default"/>
              </w:rPr>
            </w:pPr>
            <w:r>
              <w:rPr>
                <w:rFonts w:hint="default"/>
                <w:lang w:val="en-US" w:eastAsia="zh-CN"/>
              </w:rPr>
              <w:t>Jowih Core Treatment</w:t>
            </w:r>
          </w:p>
        </w:tc>
        <w:tc>
          <w:tcPr>
            <w:tcW w:w="6175" w:type="dxa"/>
            <w:shd w:val="clear"/>
            <w:tcMar>
              <w:top w:w="150" w:type="dxa"/>
              <w:left w:w="240" w:type="dxa"/>
              <w:bottom w:w="150" w:type="dxa"/>
              <w:right w:w="0" w:type="dxa"/>
            </w:tcMar>
            <w:vAlign w:val="center"/>
          </w:tcPr>
          <w:p>
            <w:pPr>
              <w:rPr>
                <w:rFonts w:hint="default"/>
              </w:rPr>
            </w:pPr>
            <w:r>
              <w:rPr>
                <w:rFonts w:hint="default"/>
                <w:lang w:val="en-US" w:eastAsia="zh-CN"/>
              </w:rPr>
              <w:t>Determined under the applicable Jowih corporate structure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105" w:type="dxa"/>
            <w:shd w:val="clear"/>
            <w:tcMar>
              <w:top w:w="150" w:type="dxa"/>
              <w:left w:w="0" w:type="dxa"/>
              <w:bottom w:w="150" w:type="dxa"/>
              <w:right w:w="240" w:type="dxa"/>
            </w:tcMar>
            <w:vAlign w:val="center"/>
          </w:tcPr>
          <w:p>
            <w:pPr>
              <w:rPr>
                <w:rFonts w:hint="default"/>
              </w:rPr>
            </w:pPr>
            <w:r>
              <w:rPr>
                <w:rFonts w:hint="default"/>
                <w:lang w:val="en-US" w:eastAsia="zh-CN"/>
              </w:rPr>
              <w:t>Land/Neutral Asset Treatment</w:t>
            </w:r>
          </w:p>
        </w:tc>
        <w:tc>
          <w:tcPr>
            <w:tcW w:w="6175" w:type="dxa"/>
            <w:shd w:val="clear"/>
            <w:tcMar>
              <w:top w:w="150" w:type="dxa"/>
              <w:left w:w="240" w:type="dxa"/>
              <w:bottom w:w="150" w:type="dxa"/>
              <w:right w:w="0" w:type="dxa"/>
            </w:tcMar>
            <w:vAlign w:val="center"/>
          </w:tcPr>
          <w:p>
            <w:pPr>
              <w:rPr>
                <w:rFonts w:hint="default"/>
              </w:rPr>
            </w:pPr>
            <w:r>
              <w:rPr>
                <w:rFonts w:hint="default"/>
                <w:lang w:val="en-US" w:eastAsia="zh-CN"/>
              </w:rPr>
              <w:t>Governed separately from the partner-equity vaulting threshold</w:t>
            </w:r>
          </w:p>
        </w:tc>
      </w:tr>
    </w:tbl>
    <w:p>
      <w:r>
        <w:rPr>
          <w:rFonts w:hint="default"/>
        </w:rPr>
        <w:t>The 49% threshold applies specifically to the partner-equity vaulting mechanism.</w:t>
      </w:r>
    </w:p>
    <w:p>
      <w:r>
        <w:rPr>
          <w:rFonts w:hint="default"/>
        </w:rPr>
        <w:t>It does not automatically determine the legal treatment of land, infrastructure or other neutral assets.</w:t>
      </w:r>
    </w:p>
    <w:p>
      <w:r>
        <w:pict>
          <v:rect id="_x0000_i1094"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 INVESTOR AND UNIT-HOLDER RIGHTS</w:t>
      </w:r>
    </w:p>
    <w:p>
      <w:pPr>
        <w:rPr>
          <w:rFonts w:hint="default"/>
        </w:rPr>
      </w:pPr>
      <w:r>
        <w:rPr>
          <w:rFonts w:hint="default"/>
        </w:rPr>
        <w:t>20.1 Economic Rights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398"/>
        <w:gridCol w:w="88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398"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Right</w:t>
            </w:r>
          </w:p>
        </w:tc>
        <w:tc>
          <w:tcPr>
            <w:tcW w:w="888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Institutional 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398" w:type="dxa"/>
            <w:shd w:val="clear"/>
            <w:tcMar>
              <w:top w:w="150" w:type="dxa"/>
              <w:left w:w="0" w:type="dxa"/>
              <w:bottom w:w="150" w:type="dxa"/>
              <w:right w:w="240" w:type="dxa"/>
            </w:tcMar>
            <w:vAlign w:val="center"/>
          </w:tcPr>
          <w:p>
            <w:pPr>
              <w:rPr>
                <w:rFonts w:hint="default"/>
              </w:rPr>
            </w:pPr>
            <w:r>
              <w:rPr>
                <w:rFonts w:hint="default"/>
                <w:lang w:val="en-US" w:eastAsia="zh-CN"/>
              </w:rPr>
              <w:t>NAV Exposure</w:t>
            </w:r>
          </w:p>
        </w:tc>
        <w:tc>
          <w:tcPr>
            <w:tcW w:w="8882" w:type="dxa"/>
            <w:shd w:val="clear"/>
            <w:tcMar>
              <w:top w:w="150" w:type="dxa"/>
              <w:left w:w="240" w:type="dxa"/>
              <w:bottom w:w="150" w:type="dxa"/>
              <w:right w:w="0" w:type="dxa"/>
            </w:tcMar>
            <w:vAlign w:val="center"/>
          </w:tcPr>
          <w:p>
            <w:pPr>
              <w:rPr>
                <w:rFonts w:hint="default"/>
              </w:rPr>
            </w:pPr>
            <w:r>
              <w:rPr>
                <w:rFonts w:hint="default"/>
                <w:lang w:val="en-US" w:eastAsia="zh-CN"/>
              </w:rPr>
              <w:t>Pro-rata economic participation in the applicable Fund portfolio or Unit class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398" w:type="dxa"/>
            <w:shd w:val="clear"/>
            <w:tcMar>
              <w:top w:w="150" w:type="dxa"/>
              <w:left w:w="0" w:type="dxa"/>
              <w:bottom w:w="150" w:type="dxa"/>
              <w:right w:w="240" w:type="dxa"/>
            </w:tcMar>
            <w:vAlign w:val="center"/>
          </w:tcPr>
          <w:p>
            <w:pPr>
              <w:rPr>
                <w:rFonts w:hint="default"/>
              </w:rPr>
            </w:pPr>
            <w:r>
              <w:rPr>
                <w:rFonts w:hint="default"/>
                <w:lang w:val="en-US" w:eastAsia="zh-CN"/>
              </w:rPr>
              <w:t>Distributions</w:t>
            </w:r>
          </w:p>
        </w:tc>
        <w:tc>
          <w:tcPr>
            <w:tcW w:w="8882" w:type="dxa"/>
            <w:shd w:val="clear"/>
            <w:tcMar>
              <w:top w:w="150" w:type="dxa"/>
              <w:left w:w="240" w:type="dxa"/>
              <w:bottom w:w="150" w:type="dxa"/>
              <w:right w:w="0" w:type="dxa"/>
            </w:tcMar>
            <w:vAlign w:val="center"/>
          </w:tcPr>
          <w:p>
            <w:pPr>
              <w:rPr>
                <w:rFonts w:hint="default"/>
              </w:rPr>
            </w:pPr>
            <w:r>
              <w:rPr>
                <w:rFonts w:hint="default"/>
                <w:lang w:val="en-US" w:eastAsia="zh-CN"/>
              </w:rPr>
              <w:t>Entitlement to permitted distributions under applicable Fund documents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398" w:type="dxa"/>
            <w:shd w:val="clear"/>
            <w:tcMar>
              <w:top w:w="150" w:type="dxa"/>
              <w:left w:w="0" w:type="dxa"/>
              <w:bottom w:w="150" w:type="dxa"/>
              <w:right w:w="240" w:type="dxa"/>
            </w:tcMar>
            <w:vAlign w:val="center"/>
          </w:tcPr>
          <w:p>
            <w:pPr>
              <w:rPr>
                <w:rFonts w:hint="default"/>
              </w:rPr>
            </w:pPr>
            <w:r>
              <w:rPr>
                <w:rFonts w:hint="default"/>
                <w:lang w:val="en-US" w:eastAsia="zh-CN"/>
              </w:rPr>
              <w:t>Valuation Information</w:t>
            </w:r>
          </w:p>
        </w:tc>
        <w:tc>
          <w:tcPr>
            <w:tcW w:w="8882" w:type="dxa"/>
            <w:shd w:val="clear"/>
            <w:tcMar>
              <w:top w:w="150" w:type="dxa"/>
              <w:left w:w="240" w:type="dxa"/>
              <w:bottom w:w="150" w:type="dxa"/>
              <w:right w:w="0" w:type="dxa"/>
            </w:tcMar>
            <w:vAlign w:val="center"/>
          </w:tcPr>
          <w:p>
            <w:pPr>
              <w:rPr>
                <w:rFonts w:hint="default"/>
              </w:rPr>
            </w:pPr>
            <w:r>
              <w:rPr>
                <w:rFonts w:hint="default"/>
                <w:lang w:val="en-US" w:eastAsia="zh-CN"/>
              </w:rPr>
              <w:t>Access to required NAV and asset valuation information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398" w:type="dxa"/>
            <w:shd w:val="clear"/>
            <w:tcMar>
              <w:top w:w="150" w:type="dxa"/>
              <w:left w:w="0" w:type="dxa"/>
              <w:bottom w:w="150" w:type="dxa"/>
              <w:right w:w="240" w:type="dxa"/>
            </w:tcMar>
            <w:vAlign w:val="center"/>
          </w:tcPr>
          <w:p>
            <w:pPr>
              <w:rPr>
                <w:rFonts w:hint="default"/>
              </w:rPr>
            </w:pPr>
            <w:r>
              <w:rPr>
                <w:rFonts w:hint="default"/>
                <w:lang w:val="en-US" w:eastAsia="zh-CN"/>
              </w:rPr>
              <w:t>Regulatory Reporting</w:t>
            </w:r>
          </w:p>
        </w:tc>
        <w:tc>
          <w:tcPr>
            <w:tcW w:w="8882" w:type="dxa"/>
            <w:shd w:val="clear"/>
            <w:tcMar>
              <w:top w:w="150" w:type="dxa"/>
              <w:left w:w="240" w:type="dxa"/>
              <w:bottom w:w="150" w:type="dxa"/>
              <w:right w:w="0" w:type="dxa"/>
            </w:tcMar>
            <w:vAlign w:val="center"/>
          </w:tcPr>
          <w:p>
            <w:pPr>
              <w:rPr>
                <w:rFonts w:hint="default"/>
              </w:rPr>
            </w:pPr>
            <w:r>
              <w:rPr>
                <w:rFonts w:hint="default"/>
                <w:lang w:val="en-US" w:eastAsia="zh-CN"/>
              </w:rPr>
              <w:t>Access to disclosures required under applicable regulatory standards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398" w:type="dxa"/>
            <w:shd w:val="clear"/>
            <w:tcMar>
              <w:top w:w="150" w:type="dxa"/>
              <w:left w:w="0" w:type="dxa"/>
              <w:bottom w:w="150" w:type="dxa"/>
              <w:right w:w="240" w:type="dxa"/>
            </w:tcMar>
            <w:vAlign w:val="center"/>
          </w:tcPr>
          <w:p>
            <w:pPr>
              <w:rPr>
                <w:rFonts w:hint="default"/>
              </w:rPr>
            </w:pPr>
            <w:r>
              <w:rPr>
                <w:rFonts w:hint="default"/>
                <w:lang w:val="en-US" w:eastAsia="zh-CN"/>
              </w:rPr>
              <w:t>Redemption/Exit</w:t>
            </w:r>
          </w:p>
        </w:tc>
        <w:tc>
          <w:tcPr>
            <w:tcW w:w="8882" w:type="dxa"/>
            <w:shd w:val="clear"/>
            <w:tcMar>
              <w:top w:w="150" w:type="dxa"/>
              <w:left w:w="240" w:type="dxa"/>
              <w:bottom w:w="150" w:type="dxa"/>
              <w:right w:w="0" w:type="dxa"/>
            </w:tcMar>
            <w:vAlign w:val="center"/>
          </w:tcPr>
          <w:p>
            <w:pPr>
              <w:rPr>
                <w:rFonts w:hint="default"/>
              </w:rPr>
            </w:pPr>
            <w:r>
              <w:rPr>
                <w:rFonts w:hint="default"/>
                <w:lang w:val="en-US" w:eastAsia="zh-CN"/>
              </w:rPr>
              <w:t>Available where permitted under Fund documents, liquidity rules and applicable law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398" w:type="dxa"/>
            <w:shd w:val="clear"/>
            <w:tcMar>
              <w:top w:w="150" w:type="dxa"/>
              <w:left w:w="0" w:type="dxa"/>
              <w:bottom w:w="150" w:type="dxa"/>
              <w:right w:w="240" w:type="dxa"/>
            </w:tcMar>
            <w:vAlign w:val="center"/>
          </w:tcPr>
          <w:p>
            <w:pPr>
              <w:rPr>
                <w:rFonts w:hint="default"/>
              </w:rPr>
            </w:pPr>
            <w:r>
              <w:rPr>
                <w:rFonts w:hint="default"/>
                <w:lang w:val="en-US" w:eastAsia="zh-CN"/>
              </w:rPr>
              <w:t>Transfer</w:t>
            </w:r>
          </w:p>
        </w:tc>
        <w:tc>
          <w:tcPr>
            <w:tcW w:w="8882" w:type="dxa"/>
            <w:shd w:val="clear"/>
            <w:tcMar>
              <w:top w:w="150" w:type="dxa"/>
              <w:left w:w="240" w:type="dxa"/>
              <w:bottom w:w="150" w:type="dxa"/>
              <w:right w:w="0" w:type="dxa"/>
            </w:tcMar>
            <w:vAlign w:val="center"/>
          </w:tcPr>
          <w:p>
            <w:pPr>
              <w:rPr>
                <w:rFonts w:hint="default"/>
              </w:rPr>
            </w:pPr>
            <w:r>
              <w:rPr>
                <w:rFonts w:hint="default"/>
                <w:lang w:val="en-US" w:eastAsia="zh-CN"/>
              </w:rPr>
              <w:t>Permitted where authorized under the applicable Unit class and regulatory framework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398" w:type="dxa"/>
            <w:shd w:val="clear"/>
            <w:tcMar>
              <w:top w:w="150" w:type="dxa"/>
              <w:left w:w="0" w:type="dxa"/>
              <w:bottom w:w="150" w:type="dxa"/>
              <w:right w:w="240" w:type="dxa"/>
            </w:tcMar>
            <w:vAlign w:val="center"/>
          </w:tcPr>
          <w:p>
            <w:pPr>
              <w:rPr>
                <w:rFonts w:hint="default"/>
              </w:rPr>
            </w:pPr>
            <w:r>
              <w:rPr>
                <w:rFonts w:hint="default"/>
                <w:lang w:val="en-US" w:eastAsia="zh-CN"/>
              </w:rPr>
              <w:t>Secondary Market</w:t>
            </w:r>
          </w:p>
        </w:tc>
        <w:tc>
          <w:tcPr>
            <w:tcW w:w="8882" w:type="dxa"/>
            <w:shd w:val="clear"/>
            <w:tcMar>
              <w:top w:w="150" w:type="dxa"/>
              <w:left w:w="240" w:type="dxa"/>
              <w:bottom w:w="150" w:type="dxa"/>
              <w:right w:w="0" w:type="dxa"/>
            </w:tcMar>
            <w:vAlign w:val="center"/>
          </w:tcPr>
          <w:p>
            <w:pPr>
              <w:rPr>
                <w:rFonts w:hint="default"/>
              </w:rPr>
            </w:pPr>
            <w:r>
              <w:rPr>
                <w:rFonts w:hint="default"/>
                <w:lang w:val="en-US" w:eastAsia="zh-CN"/>
              </w:rPr>
              <w:t>Units may be listed on NSE and other regulated African securities exchanges</w:t>
            </w:r>
          </w:p>
        </w:tc>
      </w:tr>
    </w:tbl>
    <w:p>
      <w:pPr>
        <w:rPr>
          <w:rFonts w:hint="default"/>
        </w:rPr>
      </w:pPr>
      <w:r>
        <w:rPr>
          <w:rFonts w:hint="default"/>
        </w:rPr>
        <w:t>20.2 Diversification Protection</w:t>
      </w:r>
    </w:p>
    <w:p>
      <w:r>
        <w:rPr>
          <w:rFonts w:hint="default"/>
        </w:rPr>
        <w:t xml:space="preserve">Master Ecosystem Units represent economic exposure to the </w:t>
      </w:r>
      <w:r>
        <w:rPr>
          <w:rFonts w:hint="default"/>
        </w:rPr>
        <w:t>entire Jowih 100 → 500 Index</w:t>
      </w:r>
      <w:r>
        <w:rPr>
          <w:rFonts w:hint="default"/>
        </w:rPr>
        <w:t>, not to any single company, sector, or sub-fund.</w:t>
      </w:r>
    </w:p>
    <w:p>
      <w:r>
        <w:rPr>
          <w:rFonts w:hint="default"/>
        </w:rPr>
        <w:t>A decline in one constituent or one sub-fund does not necessarily result in a proportional decline in unit value, because the unit holds diversified exposure across the full portfolio.</w:t>
      </w:r>
    </w:p>
    <w:p>
      <w:r>
        <w:rPr>
          <w:rFonts w:hint="default"/>
        </w:rPr>
        <w:t>This structural diversification is a core investor protection feature of the architecture.</w:t>
      </w:r>
    </w:p>
    <w:p>
      <w:pPr>
        <w:rPr>
          <w:rFonts w:hint="default"/>
        </w:rPr>
      </w:pPr>
      <w:r>
        <w:rPr>
          <w:rFonts w:hint="default"/>
        </w:rPr>
        <w:t>20.3 Structural Restrictions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515"/>
        <w:gridCol w:w="87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515"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Restriction</w:t>
            </w:r>
          </w:p>
        </w:tc>
        <w:tc>
          <w:tcPr>
            <w:tcW w:w="8765"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Institutional Effect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15" w:type="dxa"/>
            <w:shd w:val="clear"/>
            <w:tcMar>
              <w:top w:w="150" w:type="dxa"/>
              <w:left w:w="0" w:type="dxa"/>
              <w:bottom w:w="150" w:type="dxa"/>
              <w:right w:w="240" w:type="dxa"/>
            </w:tcMar>
            <w:vAlign w:val="center"/>
          </w:tcPr>
          <w:p>
            <w:pPr>
              <w:rPr>
                <w:rFonts w:hint="default"/>
              </w:rPr>
            </w:pPr>
            <w:r>
              <w:rPr>
                <w:rFonts w:hint="default"/>
                <w:lang w:val="en-US" w:eastAsia="zh-CN"/>
              </w:rPr>
              <w:t>No Foundation Voting Rights</w:t>
            </w:r>
          </w:p>
        </w:tc>
        <w:tc>
          <w:tcPr>
            <w:tcW w:w="8765" w:type="dxa"/>
            <w:shd w:val="clear"/>
            <w:tcMar>
              <w:top w:w="150" w:type="dxa"/>
              <w:left w:w="240" w:type="dxa"/>
              <w:bottom w:w="150" w:type="dxa"/>
              <w:right w:w="0" w:type="dxa"/>
            </w:tcMar>
            <w:vAlign w:val="center"/>
          </w:tcPr>
          <w:p>
            <w:pPr>
              <w:rPr>
                <w:rFonts w:hint="default"/>
              </w:rPr>
            </w:pPr>
            <w:r>
              <w:rPr>
                <w:rFonts w:hint="default"/>
                <w:lang w:val="en-US" w:eastAsia="zh-CN"/>
              </w:rPr>
              <w:t>Units do not provide governance access to the Jowih Foundation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15" w:type="dxa"/>
            <w:shd w:val="clear"/>
            <w:tcMar>
              <w:top w:w="150" w:type="dxa"/>
              <w:left w:w="0" w:type="dxa"/>
              <w:bottom w:w="150" w:type="dxa"/>
              <w:right w:w="240" w:type="dxa"/>
            </w:tcMar>
            <w:vAlign w:val="center"/>
          </w:tcPr>
          <w:p>
            <w:pPr>
              <w:rPr>
                <w:rFonts w:hint="default"/>
              </w:rPr>
            </w:pPr>
            <w:r>
              <w:rPr>
                <w:rFonts w:hint="default"/>
                <w:lang w:val="en-US" w:eastAsia="zh-CN"/>
              </w:rPr>
              <w:t>No Constitutional Control</w:t>
            </w:r>
          </w:p>
        </w:tc>
        <w:tc>
          <w:tcPr>
            <w:tcW w:w="8765" w:type="dxa"/>
            <w:shd w:val="clear"/>
            <w:tcMar>
              <w:top w:w="150" w:type="dxa"/>
              <w:left w:w="240" w:type="dxa"/>
              <w:bottom w:w="150" w:type="dxa"/>
              <w:right w:w="0" w:type="dxa"/>
            </w:tcMar>
            <w:vAlign w:val="center"/>
          </w:tcPr>
          <w:p>
            <w:pPr>
              <w:rPr>
                <w:rFonts w:hint="default"/>
              </w:rPr>
            </w:pPr>
            <w:r>
              <w:rPr>
                <w:rFonts w:hint="default"/>
                <w:lang w:val="en-US" w:eastAsia="zh-CN"/>
              </w:rPr>
              <w:t>Unit holders cannot alter the Foundation's protected mission architecture through Fund participation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15" w:type="dxa"/>
            <w:shd w:val="clear"/>
            <w:tcMar>
              <w:top w:w="150" w:type="dxa"/>
              <w:left w:w="0" w:type="dxa"/>
              <w:bottom w:w="150" w:type="dxa"/>
              <w:right w:w="240" w:type="dxa"/>
            </w:tcMar>
            <w:vAlign w:val="center"/>
          </w:tcPr>
          <w:p>
            <w:pPr>
              <w:rPr>
                <w:rFonts w:hint="default"/>
              </w:rPr>
            </w:pPr>
            <w:r>
              <w:rPr>
                <w:rFonts w:hint="default"/>
                <w:lang w:val="en-US" w:eastAsia="zh-CN"/>
              </w:rPr>
              <w:t>No Holding Company Control</w:t>
            </w:r>
          </w:p>
        </w:tc>
        <w:tc>
          <w:tcPr>
            <w:tcW w:w="8765" w:type="dxa"/>
            <w:shd w:val="clear"/>
            <w:tcMar>
              <w:top w:w="150" w:type="dxa"/>
              <w:left w:w="240" w:type="dxa"/>
              <w:bottom w:w="150" w:type="dxa"/>
              <w:right w:w="0" w:type="dxa"/>
            </w:tcMar>
            <w:vAlign w:val="center"/>
          </w:tcPr>
          <w:p>
            <w:pPr>
              <w:rPr>
                <w:rFonts w:hint="default"/>
              </w:rPr>
            </w:pPr>
            <w:r>
              <w:rPr>
                <w:rFonts w:hint="default"/>
                <w:lang w:val="en-US" w:eastAsia="zh-CN"/>
              </w:rPr>
              <w:t>Units do not appoint Jowih Holdings directors or control its governance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15" w:type="dxa"/>
            <w:shd w:val="clear"/>
            <w:tcMar>
              <w:top w:w="150" w:type="dxa"/>
              <w:left w:w="0" w:type="dxa"/>
              <w:bottom w:w="150" w:type="dxa"/>
              <w:right w:w="240" w:type="dxa"/>
            </w:tcMar>
            <w:vAlign w:val="center"/>
          </w:tcPr>
          <w:p>
            <w:pPr>
              <w:rPr>
                <w:rFonts w:hint="default"/>
              </w:rPr>
            </w:pPr>
            <w:r>
              <w:rPr>
                <w:rFonts w:hint="default"/>
                <w:lang w:val="en-US" w:eastAsia="zh-CN"/>
              </w:rPr>
              <w:t>No Operational Control</w:t>
            </w:r>
          </w:p>
        </w:tc>
        <w:tc>
          <w:tcPr>
            <w:tcW w:w="8765" w:type="dxa"/>
            <w:shd w:val="clear"/>
            <w:tcMar>
              <w:top w:w="150" w:type="dxa"/>
              <w:left w:w="240" w:type="dxa"/>
              <w:bottom w:w="150" w:type="dxa"/>
              <w:right w:w="0" w:type="dxa"/>
            </w:tcMar>
            <w:vAlign w:val="center"/>
          </w:tcPr>
          <w:p>
            <w:pPr>
              <w:rPr>
                <w:rFonts w:hint="default"/>
              </w:rPr>
            </w:pPr>
            <w:r>
              <w:rPr>
                <w:rFonts w:hint="default"/>
                <w:lang w:val="en-US" w:eastAsia="zh-CN"/>
              </w:rPr>
              <w:t>Units do not confer direct operating authority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15" w:type="dxa"/>
            <w:shd w:val="clear"/>
            <w:tcMar>
              <w:top w:w="150" w:type="dxa"/>
              <w:left w:w="0" w:type="dxa"/>
              <w:bottom w:w="150" w:type="dxa"/>
              <w:right w:w="240" w:type="dxa"/>
            </w:tcMar>
            <w:vAlign w:val="center"/>
          </w:tcPr>
          <w:p>
            <w:pPr>
              <w:rPr>
                <w:rFonts w:hint="default"/>
              </w:rPr>
            </w:pPr>
            <w:r>
              <w:rPr>
                <w:rFonts w:hint="default"/>
                <w:lang w:val="en-US" w:eastAsia="zh-CN"/>
              </w:rPr>
              <w:t>No Direct Asset Claim</w:t>
            </w:r>
          </w:p>
        </w:tc>
        <w:tc>
          <w:tcPr>
            <w:tcW w:w="8765" w:type="dxa"/>
            <w:shd w:val="clear"/>
            <w:tcMar>
              <w:top w:w="150" w:type="dxa"/>
              <w:left w:w="240" w:type="dxa"/>
              <w:bottom w:w="150" w:type="dxa"/>
              <w:right w:w="0" w:type="dxa"/>
            </w:tcMar>
            <w:vAlign w:val="center"/>
          </w:tcPr>
          <w:p>
            <w:pPr>
              <w:rPr>
                <w:rFonts w:hint="default"/>
              </w:rPr>
            </w:pPr>
            <w:r>
              <w:rPr>
                <w:rFonts w:hint="default"/>
                <w:lang w:val="en-US" w:eastAsia="zh-CN"/>
              </w:rPr>
              <w:t>A Unit represents an interest in the applicable Fund vehicle/class rather than direct fractional title to every underlying physical asset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15" w:type="dxa"/>
            <w:shd w:val="clear"/>
            <w:tcMar>
              <w:top w:w="150" w:type="dxa"/>
              <w:left w:w="0" w:type="dxa"/>
              <w:bottom w:w="150" w:type="dxa"/>
              <w:right w:w="240" w:type="dxa"/>
            </w:tcMar>
            <w:vAlign w:val="center"/>
          </w:tcPr>
          <w:p>
            <w:pPr>
              <w:rPr>
                <w:rFonts w:hint="default"/>
              </w:rPr>
            </w:pPr>
            <w:r>
              <w:rPr>
                <w:rFonts w:hint="default"/>
                <w:lang w:val="en-US" w:eastAsia="zh-CN"/>
              </w:rPr>
              <w:t>No Mission Dilution</w:t>
            </w:r>
          </w:p>
        </w:tc>
        <w:tc>
          <w:tcPr>
            <w:tcW w:w="8765" w:type="dxa"/>
            <w:shd w:val="clear"/>
            <w:tcMar>
              <w:top w:w="150" w:type="dxa"/>
              <w:left w:w="240" w:type="dxa"/>
              <w:bottom w:w="150" w:type="dxa"/>
              <w:right w:w="0" w:type="dxa"/>
            </w:tcMar>
            <w:vAlign w:val="center"/>
          </w:tcPr>
          <w:p>
            <w:pPr>
              <w:rPr>
                <w:rFonts w:hint="default"/>
              </w:rPr>
            </w:pPr>
            <w:r>
              <w:rPr>
                <w:rFonts w:hint="default"/>
                <w:lang w:val="en-US" w:eastAsia="zh-CN"/>
              </w:rPr>
              <w:t>Fund participation does not create a direct dilution mechanism against the Foundation's mission layer</w:t>
            </w:r>
          </w:p>
        </w:tc>
      </w:tr>
    </w:tbl>
    <w:p>
      <w:r>
        <w:pict>
          <v:rect id="_x0000_i1095"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XXI. AUTHORIZATION, OUTSTANDING UNITS AND TREASURY</w:t>
      </w:r>
    </w:p>
    <w:p>
      <w:r>
        <w:rPr>
          <w:rFonts w:hint="default"/>
        </w:rPr>
        <w:t>The Fund shall maintain a strict distinction among three quantities.</w:t>
      </w:r>
    </w:p>
    <w:p>
      <w:pPr>
        <w:rPr>
          <w:rFonts w:hint="default"/>
        </w:rPr>
      </w:pPr>
      <w:r>
        <w:rPr>
          <w:rFonts w:hint="default"/>
        </w:rPr>
        <w:t>21.1 Authorized Capacity</w:t>
      </w:r>
    </w:p>
    <w:p>
      <w:r>
        <w:rPr>
          <w:rFonts w:hint="default"/>
        </w:rPr>
        <w:t>The total unit capacity authorized under the applicable Fund architecture.</w:t>
      </w:r>
    </w:p>
    <w:p>
      <w:pPr>
        <w:rPr>
          <w:rFonts w:hint="default"/>
        </w:rPr>
      </w:pPr>
      <w:r>
        <w:rPr>
          <w:rFonts w:hint="default"/>
        </w:rPr>
        <w:t>21.2 Outstanding/Issued Units</w:t>
      </w:r>
    </w:p>
    <w:p>
      <w:r>
        <w:rPr>
          <w:rFonts w:hint="default"/>
        </w:rPr>
        <w:t>The portion of authorized capacity actually issued and held by investors or other entitled recipients.</w:t>
      </w:r>
    </w:p>
    <w:p>
      <w:pPr>
        <w:rPr>
          <w:rFonts w:hint="default"/>
        </w:rPr>
      </w:pPr>
      <w:r>
        <w:rPr>
          <w:rFonts w:hint="default"/>
        </w:rPr>
        <w:t>21.3 Treasury/Unissued Capacity</w:t>
      </w:r>
    </w:p>
    <w:p>
      <w:r>
        <w:rPr>
          <w:rFonts w:hint="default"/>
        </w:rPr>
        <w:t>The portion of authorized capacity that remains unissued and available for future permitted issuance.</w:t>
      </w:r>
    </w:p>
    <w:p>
      <w:pPr>
        <w:rPr>
          <w:rFonts w:hint="default"/>
        </w:rPr>
      </w:pPr>
      <w:r>
        <w:rPr>
          <w:rFonts w:hint="default"/>
        </w:rPr>
        <w:t>Core Accounting Distinction</w:t>
      </w:r>
    </w:p>
    <w:p>
      <w:r>
        <w:rPr>
          <w:rFonts w:hint="eastAsia"/>
        </w:rPr>
        <w:t>Authorized Capacity ≠ Outstanding Units ≠ Treasury Capacity</w:t>
      </w:r>
    </w:p>
    <w:p>
      <w:r>
        <w:rPr>
          <w:rFonts w:hint="default"/>
        </w:rPr>
        <w:t>Authorization therefore does not constitute money already raised.</w:t>
      </w:r>
    </w:p>
    <w:p>
      <w:r>
        <w:rPr>
          <w:rFonts w:hint="default"/>
        </w:rPr>
        <w:t>The Fund is not required to issue its full authorized capacity at inception.</w:t>
      </w:r>
    </w:p>
    <w:p>
      <w:r>
        <w:pict>
          <v:rect id="_x0000_i1096"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XXII. STAGED SCALABILITY MODEL</w:t>
      </w:r>
    </w:p>
    <w:p>
      <w:r>
        <w:rPr>
          <w:rFonts w:hint="eastAsia"/>
        </w:rPr>
        <w:t>Illustrative Example Only — Not a Valuation, Not a Capital Raise Target, Not a Guarantee</w:t>
      </w:r>
    </w:p>
    <w:p>
      <w:pPr>
        <w:rPr>
          <w:rFonts w:hint="default"/>
        </w:rPr>
      </w:pPr>
      <w:r>
        <w:rPr>
          <w:rFonts w:hint="default"/>
        </w:rPr>
        <w:t>Stage 1 — Illustrative Initial Authorization: US$80 Billion (Jowih 100)</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642"/>
        <w:gridCol w:w="3022"/>
        <w:gridCol w:w="46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3642"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Category</w:t>
            </w:r>
          </w:p>
        </w:tc>
        <w:tc>
          <w:tcPr>
            <w:tcW w:w="302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Authorized Value</w:t>
            </w:r>
          </w:p>
        </w:tc>
        <w:tc>
          <w:tcPr>
            <w:tcW w:w="4615"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Share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642" w:type="dxa"/>
            <w:shd w:val="clear"/>
            <w:tcMar>
              <w:top w:w="150" w:type="dxa"/>
              <w:left w:w="0" w:type="dxa"/>
              <w:bottom w:w="150" w:type="dxa"/>
              <w:right w:w="240" w:type="dxa"/>
            </w:tcMar>
            <w:vAlign w:val="center"/>
          </w:tcPr>
          <w:p>
            <w:pPr>
              <w:rPr>
                <w:rFonts w:hint="default"/>
              </w:rPr>
            </w:pPr>
            <w:r>
              <w:rPr>
                <w:rFonts w:hint="default"/>
                <w:lang w:val="en-US" w:eastAsia="zh-CN"/>
              </w:rPr>
              <w:t>Jowih Core</w:t>
            </w:r>
          </w:p>
        </w:tc>
        <w:tc>
          <w:tcPr>
            <w:tcW w:w="3022" w:type="dxa"/>
            <w:shd w:val="clear"/>
            <w:tcMar>
              <w:top w:w="150" w:type="dxa"/>
              <w:left w:w="240" w:type="dxa"/>
              <w:bottom w:w="150" w:type="dxa"/>
              <w:right w:w="240" w:type="dxa"/>
            </w:tcMar>
            <w:vAlign w:val="center"/>
          </w:tcPr>
          <w:p>
            <w:pPr>
              <w:rPr>
                <w:rFonts w:hint="default"/>
              </w:rPr>
            </w:pPr>
            <w:r>
              <w:rPr>
                <w:rFonts w:hint="default"/>
                <w:lang w:val="en-US" w:eastAsia="zh-CN"/>
              </w:rPr>
              <w:t>US$24B</w:t>
            </w:r>
          </w:p>
        </w:tc>
        <w:tc>
          <w:tcPr>
            <w:tcW w:w="4615" w:type="dxa"/>
            <w:shd w:val="clear"/>
            <w:tcMar>
              <w:top w:w="150" w:type="dxa"/>
              <w:left w:w="240" w:type="dxa"/>
              <w:bottom w:w="150" w:type="dxa"/>
              <w:right w:w="0" w:type="dxa"/>
            </w:tcMar>
            <w:vAlign w:val="center"/>
          </w:tcPr>
          <w:p>
            <w:pPr>
              <w:rPr>
                <w:rFonts w:hint="default"/>
              </w:rPr>
            </w:pPr>
            <w:r>
              <w:rPr>
                <w:rFonts w:hint="default"/>
                <w:lang w:val="en-US" w:eastAsia="zh-CN"/>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642" w:type="dxa"/>
            <w:shd w:val="clear"/>
            <w:tcMar>
              <w:top w:w="150" w:type="dxa"/>
              <w:left w:w="0" w:type="dxa"/>
              <w:bottom w:w="150" w:type="dxa"/>
              <w:right w:w="240" w:type="dxa"/>
            </w:tcMar>
            <w:vAlign w:val="center"/>
          </w:tcPr>
          <w:p>
            <w:pPr>
              <w:rPr>
                <w:rFonts w:hint="default"/>
              </w:rPr>
            </w:pPr>
            <w:r>
              <w:rPr>
                <w:rFonts w:hint="default"/>
                <w:lang w:val="en-US" w:eastAsia="zh-CN"/>
              </w:rPr>
              <w:t>Ecosystem Partners</w:t>
            </w:r>
          </w:p>
        </w:tc>
        <w:tc>
          <w:tcPr>
            <w:tcW w:w="3022" w:type="dxa"/>
            <w:shd w:val="clear"/>
            <w:tcMar>
              <w:top w:w="150" w:type="dxa"/>
              <w:left w:w="240" w:type="dxa"/>
              <w:bottom w:w="150" w:type="dxa"/>
              <w:right w:w="240" w:type="dxa"/>
            </w:tcMar>
            <w:vAlign w:val="center"/>
          </w:tcPr>
          <w:p>
            <w:pPr>
              <w:rPr>
                <w:rFonts w:hint="default"/>
              </w:rPr>
            </w:pPr>
            <w:r>
              <w:rPr>
                <w:rFonts w:hint="default"/>
                <w:lang w:val="en-US" w:eastAsia="zh-CN"/>
              </w:rPr>
              <w:t>US$56B</w:t>
            </w:r>
          </w:p>
        </w:tc>
        <w:tc>
          <w:tcPr>
            <w:tcW w:w="4615" w:type="dxa"/>
            <w:shd w:val="clear"/>
            <w:tcMar>
              <w:top w:w="150" w:type="dxa"/>
              <w:left w:w="240" w:type="dxa"/>
              <w:bottom w:w="150" w:type="dxa"/>
              <w:right w:w="0" w:type="dxa"/>
            </w:tcMar>
            <w:vAlign w:val="center"/>
          </w:tcPr>
          <w:p>
            <w:pPr>
              <w:rPr>
                <w:rFonts w:hint="default"/>
              </w:rPr>
            </w:pPr>
            <w:r>
              <w:rPr>
                <w:rFonts w:hint="default"/>
                <w:lang w:val="en-US" w:eastAsia="zh-CN"/>
              </w:rPr>
              <w:t>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642" w:type="dxa"/>
            <w:shd w:val="clear"/>
            <w:tcMar>
              <w:top w:w="150" w:type="dxa"/>
              <w:left w:w="0" w:type="dxa"/>
              <w:bottom w:w="150" w:type="dxa"/>
              <w:right w:w="240" w:type="dxa"/>
            </w:tcMar>
            <w:vAlign w:val="center"/>
          </w:tcPr>
          <w:p>
            <w:pPr>
              <w:rPr>
                <w:rFonts w:hint="default"/>
              </w:rPr>
            </w:pPr>
            <w:r>
              <w:rPr>
                <w:rFonts w:hint="default"/>
                <w:lang w:val="en-US" w:eastAsia="zh-CN"/>
              </w:rPr>
              <w:t>Total Authorized</w:t>
            </w:r>
          </w:p>
        </w:tc>
        <w:tc>
          <w:tcPr>
            <w:tcW w:w="3022" w:type="dxa"/>
            <w:shd w:val="clear"/>
            <w:tcMar>
              <w:top w:w="150" w:type="dxa"/>
              <w:left w:w="240" w:type="dxa"/>
              <w:bottom w:w="150" w:type="dxa"/>
              <w:right w:w="240" w:type="dxa"/>
            </w:tcMar>
            <w:vAlign w:val="center"/>
          </w:tcPr>
          <w:p>
            <w:pPr>
              <w:rPr>
                <w:rFonts w:hint="default"/>
              </w:rPr>
            </w:pPr>
            <w:r>
              <w:rPr>
                <w:rFonts w:hint="default"/>
                <w:lang w:val="en-US" w:eastAsia="zh-CN"/>
              </w:rPr>
              <w:t>US$80B</w:t>
            </w:r>
          </w:p>
        </w:tc>
        <w:tc>
          <w:tcPr>
            <w:tcW w:w="4615" w:type="dxa"/>
            <w:shd w:val="clear"/>
            <w:tcMar>
              <w:top w:w="150" w:type="dxa"/>
              <w:left w:w="240" w:type="dxa"/>
              <w:bottom w:w="150" w:type="dxa"/>
              <w:right w:w="0" w:type="dxa"/>
            </w:tcMar>
            <w:vAlign w:val="center"/>
          </w:tcPr>
          <w:p>
            <w:pPr>
              <w:rPr>
                <w:rFonts w:hint="default"/>
              </w:rPr>
            </w:pPr>
            <w:r>
              <w:rPr>
                <w:rFonts w:hint="default"/>
                <w:lang w:val="en-US"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642" w:type="dxa"/>
            <w:shd w:val="clear"/>
            <w:tcMar>
              <w:top w:w="150" w:type="dxa"/>
              <w:left w:w="0" w:type="dxa"/>
              <w:bottom w:w="150" w:type="dxa"/>
              <w:right w:w="240" w:type="dxa"/>
            </w:tcMar>
            <w:vAlign w:val="center"/>
          </w:tcPr>
          <w:p>
            <w:pPr>
              <w:rPr>
                <w:rFonts w:hint="default"/>
              </w:rPr>
            </w:pPr>
            <w:r>
              <w:rPr>
                <w:rFonts w:hint="default"/>
                <w:lang w:val="en-US" w:eastAsia="zh-CN"/>
              </w:rPr>
              <w:t>Outstanding at Opening</w:t>
            </w:r>
          </w:p>
        </w:tc>
        <w:tc>
          <w:tcPr>
            <w:tcW w:w="3022" w:type="dxa"/>
            <w:shd w:val="clear"/>
            <w:tcMar>
              <w:top w:w="150" w:type="dxa"/>
              <w:left w:w="240" w:type="dxa"/>
              <w:bottom w:w="150" w:type="dxa"/>
              <w:right w:w="240" w:type="dxa"/>
            </w:tcMar>
            <w:vAlign w:val="center"/>
          </w:tcPr>
          <w:p>
            <w:pPr>
              <w:rPr>
                <w:rFonts w:hint="default"/>
              </w:rPr>
            </w:pPr>
            <w:r>
              <w:rPr>
                <w:rFonts w:hint="default"/>
                <w:lang w:val="en-US" w:eastAsia="zh-CN"/>
              </w:rPr>
              <w:t>US$0</w:t>
            </w:r>
          </w:p>
        </w:tc>
        <w:tc>
          <w:tcPr>
            <w:tcW w:w="4615" w:type="dxa"/>
            <w:shd w:val="clear"/>
            <w:tcMar>
              <w:top w:w="150" w:type="dxa"/>
              <w:left w:w="240" w:type="dxa"/>
              <w:bottom w:w="150" w:type="dxa"/>
              <w:right w:w="0" w:type="dxa"/>
            </w:tcMar>
            <w:vAlign w:val="center"/>
          </w:tcPr>
          <w:p>
            <w:pPr>
              <w:rPr>
                <w:rFonts w:hint="default"/>
              </w:rPr>
            </w:pPr>
            <w:r>
              <w:rPr>
                <w:rFonts w:hint="default"/>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642" w:type="dxa"/>
            <w:shd w:val="clear"/>
            <w:tcMar>
              <w:top w:w="150" w:type="dxa"/>
              <w:left w:w="0" w:type="dxa"/>
              <w:bottom w:w="150" w:type="dxa"/>
              <w:right w:w="240" w:type="dxa"/>
            </w:tcMar>
            <w:vAlign w:val="center"/>
          </w:tcPr>
          <w:p>
            <w:pPr>
              <w:rPr>
                <w:rFonts w:hint="default"/>
              </w:rPr>
            </w:pPr>
            <w:r>
              <w:rPr>
                <w:rFonts w:hint="default"/>
                <w:lang w:val="en-US" w:eastAsia="zh-CN"/>
              </w:rPr>
              <w:t>Treasury Capacity</w:t>
            </w:r>
          </w:p>
        </w:tc>
        <w:tc>
          <w:tcPr>
            <w:tcW w:w="3022" w:type="dxa"/>
            <w:shd w:val="clear"/>
            <w:tcMar>
              <w:top w:w="150" w:type="dxa"/>
              <w:left w:w="240" w:type="dxa"/>
              <w:bottom w:w="150" w:type="dxa"/>
              <w:right w:w="240" w:type="dxa"/>
            </w:tcMar>
            <w:vAlign w:val="center"/>
          </w:tcPr>
          <w:p>
            <w:pPr>
              <w:rPr>
                <w:rFonts w:hint="default"/>
              </w:rPr>
            </w:pPr>
            <w:r>
              <w:rPr>
                <w:rFonts w:hint="default"/>
                <w:lang w:val="en-US" w:eastAsia="zh-CN"/>
              </w:rPr>
              <w:t>US$80B</w:t>
            </w:r>
          </w:p>
        </w:tc>
        <w:tc>
          <w:tcPr>
            <w:tcW w:w="4615" w:type="dxa"/>
            <w:shd w:val="clear"/>
            <w:tcMar>
              <w:top w:w="150" w:type="dxa"/>
              <w:left w:w="240" w:type="dxa"/>
              <w:bottom w:w="150" w:type="dxa"/>
              <w:right w:w="0" w:type="dxa"/>
            </w:tcMar>
            <w:vAlign w:val="center"/>
          </w:tcPr>
          <w:p>
            <w:pPr>
              <w:rPr>
                <w:rFonts w:hint="default"/>
              </w:rPr>
            </w:pPr>
            <w:r>
              <w:rPr>
                <w:rFonts w:hint="default"/>
                <w:lang w:val="en-US" w:eastAsia="zh-CN"/>
              </w:rPr>
              <w:t>100% of authorized capacity</w:t>
            </w:r>
          </w:p>
        </w:tc>
      </w:tr>
    </w:tbl>
    <w:p>
      <w:pPr>
        <w:rPr>
          <w:rFonts w:hint="default"/>
        </w:rPr>
      </w:pPr>
      <w:r>
        <w:rPr>
          <w:rFonts w:hint="default"/>
        </w:rPr>
        <w:t>Stage 2 — Illustrative Initial Sale: 80% of Units Sold</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680"/>
        <w:gridCol w:w="56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5680"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Item</w:t>
            </w:r>
          </w:p>
        </w:tc>
        <w:tc>
          <w:tcPr>
            <w:tcW w:w="5600"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680" w:type="dxa"/>
            <w:shd w:val="clear"/>
            <w:tcMar>
              <w:top w:w="150" w:type="dxa"/>
              <w:left w:w="0" w:type="dxa"/>
              <w:bottom w:w="150" w:type="dxa"/>
              <w:right w:w="240" w:type="dxa"/>
            </w:tcMar>
            <w:vAlign w:val="center"/>
          </w:tcPr>
          <w:p>
            <w:pPr>
              <w:rPr>
                <w:rFonts w:hint="default"/>
              </w:rPr>
            </w:pPr>
            <w:r>
              <w:rPr>
                <w:rFonts w:hint="default"/>
                <w:lang w:val="en-US" w:eastAsia="zh-CN"/>
              </w:rPr>
              <w:t>Units Issued</w:t>
            </w:r>
          </w:p>
        </w:tc>
        <w:tc>
          <w:tcPr>
            <w:tcW w:w="5600" w:type="dxa"/>
            <w:shd w:val="clear"/>
            <w:tcMar>
              <w:top w:w="150" w:type="dxa"/>
              <w:left w:w="240" w:type="dxa"/>
              <w:bottom w:w="150" w:type="dxa"/>
              <w:right w:w="0" w:type="dxa"/>
            </w:tcMar>
            <w:vAlign w:val="center"/>
          </w:tcPr>
          <w:p>
            <w:pPr>
              <w:rPr>
                <w:rFonts w:hint="default"/>
              </w:rPr>
            </w:pPr>
            <w:r>
              <w:rPr>
                <w:rFonts w:hint="default"/>
                <w:lang w:val="en-US" w:eastAsia="zh-CN"/>
              </w:rPr>
              <w:t>1,600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680" w:type="dxa"/>
            <w:shd w:val="clear"/>
            <w:tcMar>
              <w:top w:w="150" w:type="dxa"/>
              <w:left w:w="0" w:type="dxa"/>
              <w:bottom w:w="150" w:type="dxa"/>
              <w:right w:w="240" w:type="dxa"/>
            </w:tcMar>
            <w:vAlign w:val="center"/>
          </w:tcPr>
          <w:p>
            <w:pPr>
              <w:rPr>
                <w:rFonts w:hint="default"/>
              </w:rPr>
            </w:pPr>
            <w:r>
              <w:rPr>
                <w:rFonts w:hint="default"/>
                <w:lang w:val="en-US" w:eastAsia="zh-CN"/>
              </w:rPr>
              <w:t>Unit Price</w:t>
            </w:r>
          </w:p>
        </w:tc>
        <w:tc>
          <w:tcPr>
            <w:tcW w:w="5600" w:type="dxa"/>
            <w:shd w:val="clear"/>
            <w:tcMar>
              <w:top w:w="150" w:type="dxa"/>
              <w:left w:w="240" w:type="dxa"/>
              <w:bottom w:w="150" w:type="dxa"/>
              <w:right w:w="0" w:type="dxa"/>
            </w:tcMar>
            <w:vAlign w:val="center"/>
          </w:tcPr>
          <w:p>
            <w:pPr>
              <w:rPr>
                <w:rFonts w:hint="default"/>
              </w:rPr>
            </w:pPr>
            <w:r>
              <w:rPr>
                <w:rFonts w:hint="default"/>
                <w:lang w:val="en-US" w:eastAsia="zh-CN"/>
              </w:rPr>
              <w:t>US$0.05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680" w:type="dxa"/>
            <w:shd w:val="clear"/>
            <w:tcMar>
              <w:top w:w="150" w:type="dxa"/>
              <w:left w:w="0" w:type="dxa"/>
              <w:bottom w:w="150" w:type="dxa"/>
              <w:right w:w="240" w:type="dxa"/>
            </w:tcMar>
            <w:vAlign w:val="center"/>
          </w:tcPr>
          <w:p>
            <w:pPr>
              <w:rPr>
                <w:rFonts w:hint="default"/>
              </w:rPr>
            </w:pPr>
            <w:r>
              <w:rPr>
                <w:rFonts w:hint="default"/>
                <w:lang w:val="en-US" w:eastAsia="zh-CN"/>
              </w:rPr>
              <w:t>Units Sold</w:t>
            </w:r>
          </w:p>
        </w:tc>
        <w:tc>
          <w:tcPr>
            <w:tcW w:w="5600" w:type="dxa"/>
            <w:shd w:val="clear"/>
            <w:tcMar>
              <w:top w:w="150" w:type="dxa"/>
              <w:left w:w="240" w:type="dxa"/>
              <w:bottom w:w="150" w:type="dxa"/>
              <w:right w:w="0" w:type="dxa"/>
            </w:tcMar>
            <w:vAlign w:val="center"/>
          </w:tcPr>
          <w:p>
            <w:pPr>
              <w:rPr>
                <w:rFonts w:hint="default"/>
              </w:rPr>
            </w:pPr>
            <w:r>
              <w:rPr>
                <w:rFonts w:hint="default"/>
                <w:lang w:val="en-US" w:eastAsia="zh-CN"/>
              </w:rPr>
              <w:t>1,280 billion (80%)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680" w:type="dxa"/>
            <w:shd w:val="clear"/>
            <w:tcMar>
              <w:top w:w="150" w:type="dxa"/>
              <w:left w:w="0" w:type="dxa"/>
              <w:bottom w:w="150" w:type="dxa"/>
              <w:right w:w="240" w:type="dxa"/>
            </w:tcMar>
            <w:vAlign w:val="center"/>
          </w:tcPr>
          <w:p>
            <w:pPr>
              <w:rPr>
                <w:rFonts w:hint="default"/>
              </w:rPr>
            </w:pPr>
            <w:r>
              <w:rPr>
                <w:rFonts w:hint="default"/>
                <w:lang w:val="en-US" w:eastAsia="zh-CN"/>
              </w:rPr>
              <w:t>Cash Raised</w:t>
            </w:r>
          </w:p>
        </w:tc>
        <w:tc>
          <w:tcPr>
            <w:tcW w:w="5600" w:type="dxa"/>
            <w:shd w:val="clear"/>
            <w:tcMar>
              <w:top w:w="150" w:type="dxa"/>
              <w:left w:w="240" w:type="dxa"/>
              <w:bottom w:w="150" w:type="dxa"/>
              <w:right w:w="0" w:type="dxa"/>
            </w:tcMar>
            <w:vAlign w:val="center"/>
          </w:tcPr>
          <w:p>
            <w:pPr>
              <w:rPr>
                <w:rFonts w:hint="default"/>
              </w:rPr>
            </w:pPr>
            <w:r>
              <w:rPr>
                <w:rFonts w:hint="default"/>
                <w:lang w:val="en-US" w:eastAsia="zh-CN"/>
              </w:rPr>
              <w:t>US$64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680" w:type="dxa"/>
            <w:shd w:val="clear"/>
            <w:tcMar>
              <w:top w:w="150" w:type="dxa"/>
              <w:left w:w="0" w:type="dxa"/>
              <w:bottom w:w="150" w:type="dxa"/>
              <w:right w:w="240" w:type="dxa"/>
            </w:tcMar>
            <w:vAlign w:val="center"/>
          </w:tcPr>
          <w:p>
            <w:pPr>
              <w:rPr>
                <w:rFonts w:hint="default"/>
              </w:rPr>
            </w:pPr>
            <w:r>
              <w:rPr>
                <w:rFonts w:hint="default"/>
                <w:lang w:val="en-US" w:eastAsia="zh-CN"/>
              </w:rPr>
              <w:t>Treasury (Remaining)</w:t>
            </w:r>
          </w:p>
        </w:tc>
        <w:tc>
          <w:tcPr>
            <w:tcW w:w="5600" w:type="dxa"/>
            <w:shd w:val="clear"/>
            <w:tcMar>
              <w:top w:w="150" w:type="dxa"/>
              <w:left w:w="240" w:type="dxa"/>
              <w:bottom w:w="150" w:type="dxa"/>
              <w:right w:w="0" w:type="dxa"/>
            </w:tcMar>
            <w:vAlign w:val="center"/>
          </w:tcPr>
          <w:p>
            <w:pPr>
              <w:rPr>
                <w:rFonts w:hint="default"/>
              </w:rPr>
            </w:pPr>
            <w:r>
              <w:rPr>
                <w:rFonts w:hint="default"/>
                <w:lang w:val="en-US" w:eastAsia="zh-CN"/>
              </w:rPr>
              <w:t>320 billion (20%)</w:t>
            </w:r>
          </w:p>
        </w:tc>
      </w:tr>
    </w:tbl>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288"/>
        <w:gridCol w:w="4945"/>
        <w:gridCol w:w="20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4288"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Category</w:t>
            </w:r>
          </w:p>
        </w:tc>
        <w:tc>
          <w:tcPr>
            <w:tcW w:w="4945"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Outstanding Value</w:t>
            </w:r>
          </w:p>
        </w:tc>
        <w:tc>
          <w:tcPr>
            <w:tcW w:w="2046"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Share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288" w:type="dxa"/>
            <w:shd w:val="clear"/>
            <w:tcMar>
              <w:top w:w="150" w:type="dxa"/>
              <w:left w:w="0" w:type="dxa"/>
              <w:bottom w:w="150" w:type="dxa"/>
              <w:right w:w="240" w:type="dxa"/>
            </w:tcMar>
            <w:vAlign w:val="center"/>
          </w:tcPr>
          <w:p>
            <w:pPr>
              <w:rPr>
                <w:rFonts w:hint="default"/>
              </w:rPr>
            </w:pPr>
            <w:r>
              <w:rPr>
                <w:rFonts w:hint="default"/>
                <w:lang w:val="en-US" w:eastAsia="zh-CN"/>
              </w:rPr>
              <w:t>Jowih Core</w:t>
            </w:r>
          </w:p>
        </w:tc>
        <w:tc>
          <w:tcPr>
            <w:tcW w:w="4945" w:type="dxa"/>
            <w:shd w:val="clear"/>
            <w:tcMar>
              <w:top w:w="150" w:type="dxa"/>
              <w:left w:w="240" w:type="dxa"/>
              <w:bottom w:w="150" w:type="dxa"/>
              <w:right w:w="240" w:type="dxa"/>
            </w:tcMar>
            <w:vAlign w:val="center"/>
          </w:tcPr>
          <w:p>
            <w:pPr>
              <w:rPr>
                <w:rFonts w:hint="default"/>
              </w:rPr>
            </w:pPr>
            <w:r>
              <w:rPr>
                <w:rFonts w:hint="default"/>
                <w:lang w:val="en-US" w:eastAsia="zh-CN"/>
              </w:rPr>
              <w:t>US$19.2B</w:t>
            </w:r>
          </w:p>
        </w:tc>
        <w:tc>
          <w:tcPr>
            <w:tcW w:w="2046" w:type="dxa"/>
            <w:shd w:val="clear"/>
            <w:tcMar>
              <w:top w:w="150" w:type="dxa"/>
              <w:left w:w="240" w:type="dxa"/>
              <w:bottom w:w="150" w:type="dxa"/>
              <w:right w:w="0" w:type="dxa"/>
            </w:tcMar>
            <w:vAlign w:val="center"/>
          </w:tcPr>
          <w:p>
            <w:pPr>
              <w:rPr>
                <w:rFonts w:hint="default"/>
              </w:rPr>
            </w:pPr>
            <w:r>
              <w:rPr>
                <w:rFonts w:hint="default"/>
                <w:lang w:val="en-US" w:eastAsia="zh-CN"/>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288" w:type="dxa"/>
            <w:shd w:val="clear"/>
            <w:tcMar>
              <w:top w:w="150" w:type="dxa"/>
              <w:left w:w="0" w:type="dxa"/>
              <w:bottom w:w="150" w:type="dxa"/>
              <w:right w:w="240" w:type="dxa"/>
            </w:tcMar>
            <w:vAlign w:val="center"/>
          </w:tcPr>
          <w:p>
            <w:pPr>
              <w:rPr>
                <w:rFonts w:hint="default"/>
              </w:rPr>
            </w:pPr>
            <w:r>
              <w:rPr>
                <w:rFonts w:hint="default"/>
                <w:lang w:val="en-US" w:eastAsia="zh-CN"/>
              </w:rPr>
              <w:t>Ecosystem Partners</w:t>
            </w:r>
          </w:p>
        </w:tc>
        <w:tc>
          <w:tcPr>
            <w:tcW w:w="4945" w:type="dxa"/>
            <w:shd w:val="clear"/>
            <w:tcMar>
              <w:top w:w="150" w:type="dxa"/>
              <w:left w:w="240" w:type="dxa"/>
              <w:bottom w:w="150" w:type="dxa"/>
              <w:right w:w="240" w:type="dxa"/>
            </w:tcMar>
            <w:vAlign w:val="center"/>
          </w:tcPr>
          <w:p>
            <w:pPr>
              <w:rPr>
                <w:rFonts w:hint="default"/>
              </w:rPr>
            </w:pPr>
            <w:r>
              <w:rPr>
                <w:rFonts w:hint="default"/>
                <w:lang w:val="en-US" w:eastAsia="zh-CN"/>
              </w:rPr>
              <w:t>US$44.8B</w:t>
            </w:r>
          </w:p>
        </w:tc>
        <w:tc>
          <w:tcPr>
            <w:tcW w:w="2046" w:type="dxa"/>
            <w:shd w:val="clear"/>
            <w:tcMar>
              <w:top w:w="150" w:type="dxa"/>
              <w:left w:w="240" w:type="dxa"/>
              <w:bottom w:w="150" w:type="dxa"/>
              <w:right w:w="0" w:type="dxa"/>
            </w:tcMar>
            <w:vAlign w:val="center"/>
          </w:tcPr>
          <w:p>
            <w:pPr>
              <w:rPr>
                <w:rFonts w:hint="default"/>
              </w:rPr>
            </w:pPr>
            <w:r>
              <w:rPr>
                <w:rFonts w:hint="default"/>
                <w:lang w:val="en-US" w:eastAsia="zh-CN"/>
              </w:rPr>
              <w:t>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288" w:type="dxa"/>
            <w:shd w:val="clear"/>
            <w:tcMar>
              <w:top w:w="150" w:type="dxa"/>
              <w:left w:w="0" w:type="dxa"/>
              <w:bottom w:w="150" w:type="dxa"/>
              <w:right w:w="240" w:type="dxa"/>
            </w:tcMar>
            <w:vAlign w:val="center"/>
          </w:tcPr>
          <w:p>
            <w:pPr>
              <w:rPr>
                <w:rFonts w:hint="default"/>
              </w:rPr>
            </w:pPr>
            <w:r>
              <w:rPr>
                <w:rFonts w:hint="default"/>
                <w:lang w:val="en-US" w:eastAsia="zh-CN"/>
              </w:rPr>
              <w:t>Total Outstanding</w:t>
            </w:r>
          </w:p>
        </w:tc>
        <w:tc>
          <w:tcPr>
            <w:tcW w:w="4945" w:type="dxa"/>
            <w:shd w:val="clear"/>
            <w:tcMar>
              <w:top w:w="150" w:type="dxa"/>
              <w:left w:w="240" w:type="dxa"/>
              <w:bottom w:w="150" w:type="dxa"/>
              <w:right w:w="240" w:type="dxa"/>
            </w:tcMar>
            <w:vAlign w:val="center"/>
          </w:tcPr>
          <w:p>
            <w:pPr>
              <w:rPr>
                <w:rFonts w:hint="default"/>
              </w:rPr>
            </w:pPr>
            <w:r>
              <w:rPr>
                <w:rFonts w:hint="default"/>
                <w:lang w:val="en-US" w:eastAsia="zh-CN"/>
              </w:rPr>
              <w:t>US$64B</w:t>
            </w:r>
          </w:p>
        </w:tc>
        <w:tc>
          <w:tcPr>
            <w:tcW w:w="2046" w:type="dxa"/>
            <w:shd w:val="clear"/>
            <w:tcMar>
              <w:top w:w="150" w:type="dxa"/>
              <w:left w:w="240" w:type="dxa"/>
              <w:bottom w:w="150" w:type="dxa"/>
              <w:right w:w="0" w:type="dxa"/>
            </w:tcMar>
            <w:vAlign w:val="center"/>
          </w:tcPr>
          <w:p>
            <w:pPr>
              <w:rPr>
                <w:rFonts w:hint="default"/>
              </w:rPr>
            </w:pPr>
            <w:r>
              <w:rPr>
                <w:rFonts w:hint="default"/>
                <w:lang w:val="en-US"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288" w:type="dxa"/>
            <w:shd w:val="clear"/>
            <w:tcMar>
              <w:top w:w="150" w:type="dxa"/>
              <w:left w:w="0" w:type="dxa"/>
              <w:bottom w:w="150" w:type="dxa"/>
              <w:right w:w="240" w:type="dxa"/>
            </w:tcMar>
            <w:vAlign w:val="center"/>
          </w:tcPr>
          <w:p>
            <w:pPr>
              <w:rPr>
                <w:rFonts w:hint="default"/>
              </w:rPr>
            </w:pPr>
            <w:r>
              <w:rPr>
                <w:rFonts w:hint="default"/>
                <w:lang w:val="en-US" w:eastAsia="zh-CN"/>
              </w:rPr>
              <w:t>Treasury Capacity</w:t>
            </w:r>
          </w:p>
        </w:tc>
        <w:tc>
          <w:tcPr>
            <w:tcW w:w="4945" w:type="dxa"/>
            <w:shd w:val="clear"/>
            <w:tcMar>
              <w:top w:w="150" w:type="dxa"/>
              <w:left w:w="240" w:type="dxa"/>
              <w:bottom w:w="150" w:type="dxa"/>
              <w:right w:w="240" w:type="dxa"/>
            </w:tcMar>
            <w:vAlign w:val="center"/>
          </w:tcPr>
          <w:p>
            <w:pPr>
              <w:rPr>
                <w:rFonts w:hint="default"/>
              </w:rPr>
            </w:pPr>
            <w:r>
              <w:rPr>
                <w:rFonts w:hint="default"/>
                <w:lang w:val="en-US" w:eastAsia="zh-CN"/>
              </w:rPr>
              <w:t>US$16B (320B units)</w:t>
            </w:r>
          </w:p>
        </w:tc>
        <w:tc>
          <w:tcPr>
            <w:tcW w:w="2046" w:type="dxa"/>
            <w:shd w:val="clear"/>
            <w:tcMar>
              <w:top w:w="150" w:type="dxa"/>
              <w:left w:w="240" w:type="dxa"/>
              <w:bottom w:w="150" w:type="dxa"/>
              <w:right w:w="0" w:type="dxa"/>
            </w:tcMar>
            <w:vAlign w:val="center"/>
          </w:tcPr>
          <w:p>
            <w:pPr>
              <w:rPr>
                <w:rFonts w:hint="default"/>
              </w:rPr>
            </w:pPr>
            <w:r>
              <w:rPr>
                <w:rFonts w:hint="default"/>
                <w:lang w:val="en-US" w:eastAsia="zh-CN"/>
              </w:rPr>
              <w:t>—</w:t>
            </w:r>
          </w:p>
        </w:tc>
      </w:tr>
    </w:tbl>
    <w:p>
      <w:pPr>
        <w:rPr>
          <w:rFonts w:hint="default"/>
        </w:rPr>
      </w:pPr>
      <w:r>
        <w:rPr>
          <w:rFonts w:hint="default"/>
        </w:rPr>
        <w:t>Stage 3 — Illustrative Year 3 Growth: NAV Grows to US$300B</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921"/>
        <w:gridCol w:w="73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392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Item</w:t>
            </w:r>
          </w:p>
        </w:tc>
        <w:tc>
          <w:tcPr>
            <w:tcW w:w="7359"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921" w:type="dxa"/>
            <w:shd w:val="clear"/>
            <w:tcMar>
              <w:top w:w="150" w:type="dxa"/>
              <w:left w:w="0" w:type="dxa"/>
              <w:bottom w:w="150" w:type="dxa"/>
              <w:right w:w="240" w:type="dxa"/>
            </w:tcMar>
            <w:vAlign w:val="center"/>
          </w:tcPr>
          <w:p>
            <w:pPr>
              <w:rPr>
                <w:rFonts w:hint="default"/>
              </w:rPr>
            </w:pPr>
            <w:r>
              <w:rPr>
                <w:rFonts w:hint="default"/>
                <w:lang w:val="en-US" w:eastAsia="zh-CN"/>
              </w:rPr>
              <w:t>NAV</w:t>
            </w:r>
          </w:p>
        </w:tc>
        <w:tc>
          <w:tcPr>
            <w:tcW w:w="7359" w:type="dxa"/>
            <w:shd w:val="clear"/>
            <w:tcMar>
              <w:top w:w="150" w:type="dxa"/>
              <w:left w:w="240" w:type="dxa"/>
              <w:bottom w:w="150" w:type="dxa"/>
              <w:right w:w="0" w:type="dxa"/>
            </w:tcMar>
            <w:vAlign w:val="center"/>
          </w:tcPr>
          <w:p>
            <w:pPr>
              <w:rPr>
                <w:rFonts w:hint="default"/>
              </w:rPr>
            </w:pPr>
            <w:r>
              <w:rPr>
                <w:rFonts w:hint="default"/>
                <w:lang w:val="en-US" w:eastAsia="zh-CN"/>
              </w:rPr>
              <w:t>US$300B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921" w:type="dxa"/>
            <w:shd w:val="clear"/>
            <w:tcMar>
              <w:top w:w="150" w:type="dxa"/>
              <w:left w:w="0" w:type="dxa"/>
              <w:bottom w:w="150" w:type="dxa"/>
              <w:right w:w="240" w:type="dxa"/>
            </w:tcMar>
            <w:vAlign w:val="center"/>
          </w:tcPr>
          <w:p>
            <w:pPr>
              <w:rPr>
                <w:rFonts w:hint="default"/>
              </w:rPr>
            </w:pPr>
            <w:r>
              <w:rPr>
                <w:rFonts w:hint="default"/>
                <w:lang w:val="en-US" w:eastAsia="zh-CN"/>
              </w:rPr>
              <w:t>Unit Price</w:t>
            </w:r>
          </w:p>
        </w:tc>
        <w:tc>
          <w:tcPr>
            <w:tcW w:w="7359" w:type="dxa"/>
            <w:shd w:val="clear"/>
            <w:tcMar>
              <w:top w:w="150" w:type="dxa"/>
              <w:left w:w="240" w:type="dxa"/>
              <w:bottom w:w="150" w:type="dxa"/>
              <w:right w:w="0" w:type="dxa"/>
            </w:tcMar>
            <w:vAlign w:val="center"/>
          </w:tcPr>
          <w:p>
            <w:pPr>
              <w:rPr>
                <w:rFonts w:hint="default"/>
              </w:rPr>
            </w:pPr>
            <w:r>
              <w:rPr>
                <w:rFonts w:hint="default"/>
                <w:lang w:val="en-US" w:eastAsia="zh-CN"/>
              </w:rPr>
              <w:t>US$300B ÷ 1,600B = US$0.1875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921" w:type="dxa"/>
            <w:shd w:val="clear"/>
            <w:tcMar>
              <w:top w:w="150" w:type="dxa"/>
              <w:left w:w="0" w:type="dxa"/>
              <w:bottom w:w="150" w:type="dxa"/>
              <w:right w:w="240" w:type="dxa"/>
            </w:tcMar>
            <w:vAlign w:val="center"/>
          </w:tcPr>
          <w:p>
            <w:pPr>
              <w:rPr>
                <w:rFonts w:hint="default"/>
              </w:rPr>
            </w:pPr>
            <w:r>
              <w:rPr>
                <w:rFonts w:hint="default"/>
                <w:lang w:val="en-US" w:eastAsia="zh-CN"/>
              </w:rPr>
              <w:t>Units Issued</w:t>
            </w:r>
          </w:p>
        </w:tc>
        <w:tc>
          <w:tcPr>
            <w:tcW w:w="7359" w:type="dxa"/>
            <w:shd w:val="clear"/>
            <w:tcMar>
              <w:top w:w="150" w:type="dxa"/>
              <w:left w:w="240" w:type="dxa"/>
              <w:bottom w:w="150" w:type="dxa"/>
              <w:right w:w="0" w:type="dxa"/>
            </w:tcMar>
            <w:vAlign w:val="center"/>
          </w:tcPr>
          <w:p>
            <w:pPr>
              <w:rPr>
                <w:rFonts w:hint="default"/>
              </w:rPr>
            </w:pPr>
            <w:r>
              <w:rPr>
                <w:rFonts w:hint="default"/>
                <w:lang w:val="en-US" w:eastAsia="zh-CN"/>
              </w:rPr>
              <w:t>1,600B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921" w:type="dxa"/>
            <w:shd w:val="clear"/>
            <w:tcMar>
              <w:top w:w="150" w:type="dxa"/>
              <w:left w:w="0" w:type="dxa"/>
              <w:bottom w:w="150" w:type="dxa"/>
              <w:right w:w="240" w:type="dxa"/>
            </w:tcMar>
            <w:vAlign w:val="center"/>
          </w:tcPr>
          <w:p>
            <w:pPr>
              <w:rPr>
                <w:rFonts w:hint="default"/>
              </w:rPr>
            </w:pPr>
            <w:r>
              <w:rPr>
                <w:rFonts w:hint="default"/>
                <w:lang w:val="en-US" w:eastAsia="zh-CN"/>
              </w:rPr>
              <w:t>Outstanding</w:t>
            </w:r>
          </w:p>
        </w:tc>
        <w:tc>
          <w:tcPr>
            <w:tcW w:w="7359" w:type="dxa"/>
            <w:shd w:val="clear"/>
            <w:tcMar>
              <w:top w:w="150" w:type="dxa"/>
              <w:left w:w="240" w:type="dxa"/>
              <w:bottom w:w="150" w:type="dxa"/>
              <w:right w:w="0" w:type="dxa"/>
            </w:tcMar>
            <w:vAlign w:val="center"/>
          </w:tcPr>
          <w:p>
            <w:pPr>
              <w:rPr>
                <w:rFonts w:hint="default"/>
              </w:rPr>
            </w:pPr>
            <w:r>
              <w:rPr>
                <w:rFonts w:hint="default"/>
                <w:lang w:val="en-US" w:eastAsia="zh-CN"/>
              </w:rPr>
              <w:t>1,280B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921" w:type="dxa"/>
            <w:shd w:val="clear"/>
            <w:tcMar>
              <w:top w:w="150" w:type="dxa"/>
              <w:left w:w="0" w:type="dxa"/>
              <w:bottom w:w="150" w:type="dxa"/>
              <w:right w:w="240" w:type="dxa"/>
            </w:tcMar>
            <w:vAlign w:val="center"/>
          </w:tcPr>
          <w:p>
            <w:pPr>
              <w:rPr>
                <w:rFonts w:hint="default"/>
              </w:rPr>
            </w:pPr>
            <w:r>
              <w:rPr>
                <w:rFonts w:hint="default"/>
                <w:lang w:val="en-US" w:eastAsia="zh-CN"/>
              </w:rPr>
              <w:t>Treasury (Unsold)</w:t>
            </w:r>
          </w:p>
        </w:tc>
        <w:tc>
          <w:tcPr>
            <w:tcW w:w="7359" w:type="dxa"/>
            <w:shd w:val="clear"/>
            <w:tcMar>
              <w:top w:w="150" w:type="dxa"/>
              <w:left w:w="240" w:type="dxa"/>
              <w:bottom w:w="150" w:type="dxa"/>
              <w:right w:w="0" w:type="dxa"/>
            </w:tcMar>
            <w:vAlign w:val="center"/>
          </w:tcPr>
          <w:p>
            <w:pPr>
              <w:rPr>
                <w:rFonts w:hint="default"/>
              </w:rPr>
            </w:pPr>
            <w:r>
              <w:rPr>
                <w:rFonts w:hint="default"/>
                <w:lang w:val="en-US" w:eastAsia="zh-CN"/>
              </w:rPr>
              <w:t>320B</w:t>
            </w:r>
          </w:p>
        </w:tc>
      </w:tr>
    </w:tbl>
    <w:p>
      <w:pPr>
        <w:rPr>
          <w:rFonts w:hint="default"/>
        </w:rPr>
      </w:pPr>
      <w:r>
        <w:rPr>
          <w:rFonts w:hint="default"/>
        </w:rPr>
        <w:t>Stage 4 — Illustrative Year 10 Growth: NAV Grows to US$1T</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559"/>
        <w:gridCol w:w="87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559"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Item</w:t>
            </w:r>
          </w:p>
        </w:tc>
        <w:tc>
          <w:tcPr>
            <w:tcW w:w="8721"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59" w:type="dxa"/>
            <w:shd w:val="clear"/>
            <w:tcMar>
              <w:top w:w="150" w:type="dxa"/>
              <w:left w:w="0" w:type="dxa"/>
              <w:bottom w:w="150" w:type="dxa"/>
              <w:right w:w="240" w:type="dxa"/>
            </w:tcMar>
            <w:vAlign w:val="center"/>
          </w:tcPr>
          <w:p>
            <w:pPr>
              <w:rPr>
                <w:rFonts w:hint="default"/>
              </w:rPr>
            </w:pPr>
            <w:r>
              <w:rPr>
                <w:rFonts w:hint="default"/>
                <w:lang w:val="en-US" w:eastAsia="zh-CN"/>
              </w:rPr>
              <w:t>NAV</w:t>
            </w:r>
          </w:p>
        </w:tc>
        <w:tc>
          <w:tcPr>
            <w:tcW w:w="8721" w:type="dxa"/>
            <w:shd w:val="clear"/>
            <w:tcMar>
              <w:top w:w="150" w:type="dxa"/>
              <w:left w:w="240" w:type="dxa"/>
              <w:bottom w:w="150" w:type="dxa"/>
              <w:right w:w="0" w:type="dxa"/>
            </w:tcMar>
            <w:vAlign w:val="center"/>
          </w:tcPr>
          <w:p>
            <w:pPr>
              <w:rPr>
                <w:rFonts w:hint="default"/>
              </w:rPr>
            </w:pPr>
            <w:r>
              <w:rPr>
                <w:rFonts w:hint="default"/>
                <w:lang w:val="en-US" w:eastAsia="zh-CN"/>
              </w:rPr>
              <w:t>US$1T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59" w:type="dxa"/>
            <w:shd w:val="clear"/>
            <w:tcMar>
              <w:top w:w="150" w:type="dxa"/>
              <w:left w:w="0" w:type="dxa"/>
              <w:bottom w:w="150" w:type="dxa"/>
              <w:right w:w="240" w:type="dxa"/>
            </w:tcMar>
            <w:vAlign w:val="center"/>
          </w:tcPr>
          <w:p>
            <w:pPr>
              <w:rPr>
                <w:rFonts w:hint="default"/>
              </w:rPr>
            </w:pPr>
            <w:r>
              <w:rPr>
                <w:rFonts w:hint="default"/>
                <w:lang w:val="en-US" w:eastAsia="zh-CN"/>
              </w:rPr>
              <w:t>Units Issued</w:t>
            </w:r>
          </w:p>
        </w:tc>
        <w:tc>
          <w:tcPr>
            <w:tcW w:w="8721" w:type="dxa"/>
            <w:shd w:val="clear"/>
            <w:tcMar>
              <w:top w:w="150" w:type="dxa"/>
              <w:left w:w="240" w:type="dxa"/>
              <w:bottom w:w="150" w:type="dxa"/>
              <w:right w:w="0" w:type="dxa"/>
            </w:tcMar>
            <w:vAlign w:val="center"/>
          </w:tcPr>
          <w:p>
            <w:pPr>
              <w:rPr>
                <w:rFonts w:hint="default"/>
              </w:rPr>
            </w:pPr>
            <w:r>
              <w:rPr>
                <w:rFonts w:hint="default"/>
                <w:lang w:val="en-US" w:eastAsia="zh-CN"/>
              </w:rPr>
              <w:t>1,600B (or more, depending on subsequent capital raises)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59" w:type="dxa"/>
            <w:shd w:val="clear"/>
            <w:tcMar>
              <w:top w:w="150" w:type="dxa"/>
              <w:left w:w="0" w:type="dxa"/>
              <w:bottom w:w="150" w:type="dxa"/>
              <w:right w:w="240" w:type="dxa"/>
            </w:tcMar>
            <w:vAlign w:val="center"/>
          </w:tcPr>
          <w:p>
            <w:pPr>
              <w:rPr>
                <w:rFonts w:hint="default"/>
              </w:rPr>
            </w:pPr>
            <w:r>
              <w:rPr>
                <w:rFonts w:hint="default"/>
                <w:lang w:val="en-US" w:eastAsia="zh-CN"/>
              </w:rPr>
              <w:t>NAV per Unit</w:t>
            </w:r>
          </w:p>
        </w:tc>
        <w:tc>
          <w:tcPr>
            <w:tcW w:w="8721" w:type="dxa"/>
            <w:shd w:val="clear"/>
            <w:tcMar>
              <w:top w:w="150" w:type="dxa"/>
              <w:left w:w="240" w:type="dxa"/>
              <w:bottom w:w="150" w:type="dxa"/>
              <w:right w:w="0" w:type="dxa"/>
            </w:tcMar>
            <w:vAlign w:val="center"/>
          </w:tcPr>
          <w:p>
            <w:pPr>
              <w:rPr>
                <w:rFonts w:hint="default"/>
              </w:rPr>
            </w:pPr>
            <w:r>
              <w:rPr>
                <w:rFonts w:hint="default"/>
                <w:lang w:val="en-US" w:eastAsia="zh-CN"/>
              </w:rPr>
              <w:t>~US$0.625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59" w:type="dxa"/>
            <w:shd w:val="clear"/>
            <w:tcMar>
              <w:top w:w="150" w:type="dxa"/>
              <w:left w:w="0" w:type="dxa"/>
              <w:bottom w:w="150" w:type="dxa"/>
              <w:right w:w="240" w:type="dxa"/>
            </w:tcMar>
            <w:vAlign w:val="center"/>
          </w:tcPr>
          <w:p>
            <w:pPr>
              <w:rPr>
                <w:rFonts w:hint="default"/>
              </w:rPr>
            </w:pPr>
            <w:r>
              <w:rPr>
                <w:rFonts w:hint="default"/>
                <w:lang w:val="en-US" w:eastAsia="zh-CN"/>
              </w:rPr>
              <w:t>Neutral Reserve</w:t>
            </w:r>
          </w:p>
        </w:tc>
        <w:tc>
          <w:tcPr>
            <w:tcW w:w="8721" w:type="dxa"/>
            <w:shd w:val="clear"/>
            <w:tcMar>
              <w:top w:w="150" w:type="dxa"/>
              <w:left w:w="240" w:type="dxa"/>
              <w:bottom w:w="150" w:type="dxa"/>
              <w:right w:w="0" w:type="dxa"/>
            </w:tcMar>
            <w:vAlign w:val="center"/>
          </w:tcPr>
          <w:p>
            <w:pPr>
              <w:rPr>
                <w:rFonts w:hint="default"/>
              </w:rPr>
            </w:pPr>
            <w:r>
              <w:rPr>
                <w:rFonts w:hint="default"/>
                <w:lang w:val="en-US" w:eastAsia="zh-CN"/>
              </w:rPr>
              <w:t>US$XXB (appreciated)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59" w:type="dxa"/>
            <w:shd w:val="clear"/>
            <w:tcMar>
              <w:top w:w="150" w:type="dxa"/>
              <w:left w:w="0" w:type="dxa"/>
              <w:bottom w:w="150" w:type="dxa"/>
              <w:right w:w="240" w:type="dxa"/>
            </w:tcMar>
            <w:vAlign w:val="center"/>
          </w:tcPr>
          <w:p>
            <w:pPr>
              <w:rPr>
                <w:rFonts w:hint="default"/>
              </w:rPr>
            </w:pPr>
            <w:r>
              <w:rPr>
                <w:rFonts w:hint="default"/>
                <w:lang w:val="en-US" w:eastAsia="zh-CN"/>
              </w:rPr>
              <w:t>Outstanding</w:t>
            </w:r>
          </w:p>
        </w:tc>
        <w:tc>
          <w:tcPr>
            <w:tcW w:w="8721" w:type="dxa"/>
            <w:shd w:val="clear"/>
            <w:tcMar>
              <w:top w:w="150" w:type="dxa"/>
              <w:left w:w="240" w:type="dxa"/>
              <w:bottom w:w="150" w:type="dxa"/>
              <w:right w:w="0" w:type="dxa"/>
            </w:tcMar>
            <w:vAlign w:val="center"/>
          </w:tcPr>
          <w:p>
            <w:pPr>
              <w:rPr>
                <w:rFonts w:hint="default"/>
              </w:rPr>
            </w:pPr>
            <w:r>
              <w:rPr>
                <w:rFonts w:hint="default"/>
                <w:lang w:val="en-US" w:eastAsia="zh-CN"/>
              </w:rPr>
              <w:t>All units sold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59" w:type="dxa"/>
            <w:shd w:val="clear"/>
            <w:tcMar>
              <w:top w:w="150" w:type="dxa"/>
              <w:left w:w="0" w:type="dxa"/>
              <w:bottom w:w="150" w:type="dxa"/>
              <w:right w:w="240" w:type="dxa"/>
            </w:tcMar>
            <w:vAlign w:val="center"/>
          </w:tcPr>
          <w:p>
            <w:pPr>
              <w:rPr>
                <w:rFonts w:hint="default"/>
              </w:rPr>
            </w:pPr>
            <w:r>
              <w:rPr>
                <w:rFonts w:hint="default"/>
                <w:lang w:val="en-US" w:eastAsia="zh-CN"/>
              </w:rPr>
              <w:t>Treasury</w:t>
            </w:r>
          </w:p>
        </w:tc>
        <w:tc>
          <w:tcPr>
            <w:tcW w:w="8721" w:type="dxa"/>
            <w:shd w:val="clear"/>
            <w:tcMar>
              <w:top w:w="150" w:type="dxa"/>
              <w:left w:w="240" w:type="dxa"/>
              <w:bottom w:w="150" w:type="dxa"/>
              <w:right w:w="0" w:type="dxa"/>
            </w:tcMar>
            <w:vAlign w:val="center"/>
          </w:tcPr>
          <w:p>
            <w:pPr>
              <w:rPr>
                <w:rFonts w:hint="default"/>
              </w:rPr>
            </w:pPr>
            <w:r>
              <w:rPr>
                <w:rFonts w:hint="default"/>
                <w:lang w:val="en-US" w:eastAsia="zh-CN"/>
              </w:rPr>
              <w:t>Replenished as needed via forward pricing</w:t>
            </w:r>
          </w:p>
        </w:tc>
      </w:tr>
    </w:tbl>
    <w:p>
      <w:pPr>
        <w:rPr>
          <w:rFonts w:hint="default"/>
        </w:rPr>
      </w:pPr>
      <w:r>
        <w:rPr>
          <w:rFonts w:hint="default"/>
        </w:rPr>
        <w:t>Stage 5 — Forward Pricing as Needed</w:t>
      </w:r>
    </w:p>
    <w:p>
      <w:r>
        <w:rPr>
          <w:rFonts w:hint="default"/>
        </w:rPr>
        <w:t>Every time new capital is raised, the Fund uses forward pricing:</w:t>
      </w:r>
    </w:p>
    <w:p>
      <w:r>
        <w:rPr>
          <w:rFonts w:hint="eastAsia"/>
        </w:rPr>
        <w:t>New Units Created = New Cash Invested ÷ Current NAV per Unit</w:t>
      </w:r>
    </w:p>
    <w:p>
      <w:r>
        <w:rPr>
          <w:rFonts w:hint="default"/>
        </w:rPr>
        <w:t>The Fund only mints what it needs to raise.</w:t>
      </w:r>
    </w:p>
    <w:p>
      <w:r>
        <w:rPr>
          <w:rFonts w:hint="default"/>
        </w:rPr>
        <w:t>The rest of the NAV growth flows to unit appreciation.</w:t>
      </w:r>
    </w:p>
    <w:p>
      <w:r>
        <w:pict>
          <v:rect id="_x0000_i1097"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XXIII. MARKET, TRANSFER AND LIQUIDITY FRAMEWORK</w:t>
      </w:r>
    </w:p>
    <w:p>
      <w:r>
        <w:rPr>
          <w:rFonts w:hint="default"/>
        </w:rPr>
        <w:t>The Master Fund may provide regulated primary and secondary participation mechanisms subject to applicable securities, investment, exchange and market regulations.</w:t>
      </w:r>
    </w:p>
    <w:p>
      <w:r>
        <w:rPr>
          <w:rFonts w:hint="default"/>
        </w:rPr>
        <w:t>Potential channels include:</w:t>
      </w:r>
    </w:p>
    <w:p/>
    <w:p>
      <w:r>
        <w:rPr>
          <w:rFonts w:hint="default"/>
        </w:rPr>
        <w:t>regulated African securities exchanges (NSE and others);</w:t>
      </w:r>
    </w:p>
    <w:p/>
    <w:p/>
    <w:p>
      <w:r>
        <w:rPr>
          <w:rFonts w:hint="default"/>
        </w:rPr>
        <w:t>licensed brokers;</w:t>
      </w:r>
    </w:p>
    <w:p/>
    <w:p/>
    <w:p>
      <w:r>
        <w:rPr>
          <w:rFonts w:hint="default"/>
        </w:rPr>
        <w:t>authorized investment platforms;</w:t>
      </w:r>
    </w:p>
    <w:p/>
    <w:p/>
    <w:p>
      <w:r>
        <w:rPr>
          <w:rFonts w:hint="default"/>
        </w:rPr>
        <w:t>approved Jowih ecosystem interfaces;</w:t>
      </w:r>
    </w:p>
    <w:p/>
    <w:p/>
    <w:p>
      <w:r>
        <w:rPr>
          <w:rFonts w:hint="default"/>
        </w:rPr>
        <w:t>licensed banks and financial institutions;</w:t>
      </w:r>
    </w:p>
    <w:p/>
    <w:p/>
    <w:p>
      <w:r>
        <w:rPr>
          <w:rFonts w:hint="default"/>
        </w:rPr>
        <w:t>approved payment service providers; and</w:t>
      </w:r>
    </w:p>
    <w:p/>
    <w:p/>
    <w:p>
      <w:r>
        <w:rPr>
          <w:rFonts w:hint="default"/>
        </w:rPr>
        <w:t>institutional allocation channels.</w:t>
      </w:r>
    </w:p>
    <w:p/>
    <w:p>
      <w:r>
        <w:rPr>
          <w:rFonts w:hint="default"/>
        </w:rPr>
        <w:t>The final listing, redemption, transfer and liquidity framework shall be determined by:</w:t>
      </w:r>
    </w:p>
    <w:p/>
    <w:p>
      <w:r>
        <w:rPr>
          <w:rFonts w:hint="default"/>
        </w:rPr>
        <w:t>the final Fund structure;</w:t>
      </w:r>
    </w:p>
    <w:p/>
    <w:p/>
    <w:p>
      <w:r>
        <w:rPr>
          <w:rFonts w:hint="default"/>
        </w:rPr>
        <w:t>applicable securities law;</w:t>
      </w:r>
    </w:p>
    <w:p/>
    <w:p/>
    <w:p>
      <w:r>
        <w:rPr>
          <w:rFonts w:hint="default"/>
        </w:rPr>
        <w:t>licensing requirements;</w:t>
      </w:r>
    </w:p>
    <w:p/>
    <w:p/>
    <w:p>
      <w:r>
        <w:rPr>
          <w:rFonts w:hint="default"/>
        </w:rPr>
        <w:t>investor eligibility;</w:t>
      </w:r>
    </w:p>
    <w:p/>
    <w:p/>
    <w:p>
      <w:r>
        <w:rPr>
          <w:rFonts w:hint="default"/>
        </w:rPr>
        <w:t>Unit-class terms;</w:t>
      </w:r>
    </w:p>
    <w:p/>
    <w:p/>
    <w:p>
      <w:r>
        <w:rPr>
          <w:rFonts w:hint="default"/>
        </w:rPr>
        <w:t>custody requirements; and</w:t>
      </w:r>
    </w:p>
    <w:p/>
    <w:p/>
    <w:p>
      <w:r>
        <w:rPr>
          <w:rFonts w:hint="default"/>
        </w:rPr>
        <w:t>market infrastructure.</w:t>
      </w:r>
    </w:p>
    <w:p/>
    <w:p>
      <w:pPr>
        <w:rPr>
          <w:rFonts w:hint="default"/>
        </w:rPr>
      </w:pPr>
      <w:r>
        <w:rPr>
          <w:rFonts w:hint="default"/>
        </w:rPr>
        <w:t>23.1 NAV Formula</w:t>
      </w:r>
    </w:p>
    <w:p>
      <w:r>
        <w:rPr>
          <w:rFonts w:hint="eastAsia"/>
        </w:rPr>
        <w:t>NAV per Unit = Total Net Asset Value ÷ Units Outstanding</w:t>
      </w:r>
    </w:p>
    <w:p>
      <w:r>
        <w:rPr>
          <w:rFonts w:hint="default"/>
        </w:rPr>
        <w:t>Where a secondary market exists, the market price of a Unit may differ from its NAV.</w:t>
      </w:r>
    </w:p>
    <w:p>
      <w:pPr>
        <w:rPr>
          <w:rFonts w:hint="default"/>
        </w:rPr>
      </w:pPr>
      <w:r>
        <w:rPr>
          <w:rFonts w:hint="default"/>
        </w:rPr>
        <w:t>23.2 Distribution Framework</w:t>
      </w:r>
    </w:p>
    <w:p>
      <w:r>
        <w:rPr>
          <w:rFonts w:hint="default"/>
        </w:rPr>
        <w:t>Distributions shall be determined by the applicable Fund documents, available distributable income, reserve requirements, valuation methodology and regulatory constraints.</w:t>
      </w:r>
    </w:p>
    <w:p>
      <w:pPr>
        <w:rPr>
          <w:rFonts w:hint="default"/>
        </w:rPr>
      </w:pPr>
      <w:r>
        <w:rPr>
          <w:rFonts w:hint="default"/>
        </w:rPr>
        <w:t>23.3 Exit Framework</w:t>
      </w:r>
    </w:p>
    <w:p>
      <w:r>
        <w:rPr>
          <w:rFonts w:hint="default"/>
        </w:rPr>
        <w:t>Redemption and transfer rights are set out in Section XX and this Section. The final exit framework — including lock-up periods, redemption gates, secondary market listing, and buyback mechanisms — shall be adopted in the final Fund documentation and private placement memorandum.</w:t>
      </w:r>
    </w:p>
    <w:p>
      <w:r>
        <w:rPr>
          <w:rFonts w:hint="default"/>
        </w:rPr>
        <w:t>This Blueprint establishes the framework; the final terms are subject to regulatory approval and Fund documentation.</w:t>
      </w:r>
    </w:p>
    <w:p>
      <w:pPr>
        <w:rPr>
          <w:rFonts w:hint="default"/>
        </w:rPr>
      </w:pPr>
      <w:r>
        <w:rPr>
          <w:rFonts w:hint="default"/>
        </w:rPr>
        <w:t>23.4 Liquidity Pathways</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106"/>
        <w:gridCol w:w="5771"/>
        <w:gridCol w:w="34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106"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Pathway</w:t>
            </w:r>
          </w:p>
        </w:tc>
        <w:tc>
          <w:tcPr>
            <w:tcW w:w="5771"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Mechanism</w:t>
            </w:r>
          </w:p>
        </w:tc>
        <w:tc>
          <w:tcPr>
            <w:tcW w:w="340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Notes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06" w:type="dxa"/>
            <w:shd w:val="clear"/>
            <w:tcMar>
              <w:top w:w="150" w:type="dxa"/>
              <w:left w:w="0" w:type="dxa"/>
              <w:bottom w:w="150" w:type="dxa"/>
              <w:right w:w="240" w:type="dxa"/>
            </w:tcMar>
            <w:vAlign w:val="center"/>
          </w:tcPr>
          <w:p>
            <w:pPr>
              <w:rPr>
                <w:rFonts w:hint="default"/>
              </w:rPr>
            </w:pPr>
            <w:r>
              <w:rPr>
                <w:rFonts w:hint="default"/>
                <w:lang w:val="en-US" w:eastAsia="zh-CN"/>
              </w:rPr>
              <w:t>Primary — Subscription</w:t>
            </w:r>
          </w:p>
        </w:tc>
        <w:tc>
          <w:tcPr>
            <w:tcW w:w="5771" w:type="dxa"/>
            <w:shd w:val="clear"/>
            <w:tcMar>
              <w:top w:w="150" w:type="dxa"/>
              <w:left w:w="240" w:type="dxa"/>
              <w:bottom w:w="150" w:type="dxa"/>
              <w:right w:w="240" w:type="dxa"/>
            </w:tcMar>
            <w:vAlign w:val="center"/>
          </w:tcPr>
          <w:p>
            <w:pPr>
              <w:rPr>
                <w:rFonts w:hint="default"/>
              </w:rPr>
            </w:pPr>
            <w:r>
              <w:rPr>
                <w:rFonts w:hint="default"/>
                <w:lang w:val="en-US" w:eastAsia="zh-CN"/>
              </w:rPr>
              <w:t>Investor subscribes for units directly from the Fund at NAV</w:t>
            </w:r>
          </w:p>
        </w:tc>
        <w:tc>
          <w:tcPr>
            <w:tcW w:w="3402" w:type="dxa"/>
            <w:shd w:val="clear"/>
            <w:tcMar>
              <w:top w:w="150" w:type="dxa"/>
              <w:left w:w="240" w:type="dxa"/>
              <w:bottom w:w="150" w:type="dxa"/>
              <w:right w:w="0" w:type="dxa"/>
            </w:tcMar>
            <w:vAlign w:val="center"/>
          </w:tcPr>
          <w:p>
            <w:pPr>
              <w:rPr>
                <w:rFonts w:hint="default"/>
              </w:rPr>
            </w:pPr>
            <w:r>
              <w:rPr>
                <w:rFonts w:hint="default"/>
                <w:lang w:val="en-US" w:eastAsia="zh-CN"/>
              </w:rPr>
              <w:t>Subject to offering terms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06" w:type="dxa"/>
            <w:shd w:val="clear"/>
            <w:tcMar>
              <w:top w:w="150" w:type="dxa"/>
              <w:left w:w="0" w:type="dxa"/>
              <w:bottom w:w="150" w:type="dxa"/>
              <w:right w:w="240" w:type="dxa"/>
            </w:tcMar>
            <w:vAlign w:val="center"/>
          </w:tcPr>
          <w:p>
            <w:pPr>
              <w:rPr>
                <w:rFonts w:hint="default"/>
              </w:rPr>
            </w:pPr>
            <w:r>
              <w:rPr>
                <w:rFonts w:hint="default"/>
                <w:lang w:val="en-US" w:eastAsia="zh-CN"/>
              </w:rPr>
              <w:t>Primary — Redemption</w:t>
            </w:r>
          </w:p>
        </w:tc>
        <w:tc>
          <w:tcPr>
            <w:tcW w:w="5771" w:type="dxa"/>
            <w:shd w:val="clear"/>
            <w:tcMar>
              <w:top w:w="150" w:type="dxa"/>
              <w:left w:w="240" w:type="dxa"/>
              <w:bottom w:w="150" w:type="dxa"/>
              <w:right w:w="240" w:type="dxa"/>
            </w:tcMar>
            <w:vAlign w:val="center"/>
          </w:tcPr>
          <w:p>
            <w:pPr>
              <w:rPr>
                <w:rFonts w:hint="default"/>
              </w:rPr>
            </w:pPr>
            <w:r>
              <w:rPr>
                <w:rFonts w:hint="default"/>
                <w:lang w:val="en-US" w:eastAsia="zh-CN"/>
              </w:rPr>
              <w:t>Investor redeems units back to the Fund at NAV</w:t>
            </w:r>
          </w:p>
        </w:tc>
        <w:tc>
          <w:tcPr>
            <w:tcW w:w="3402" w:type="dxa"/>
            <w:shd w:val="clear"/>
            <w:tcMar>
              <w:top w:w="150" w:type="dxa"/>
              <w:left w:w="240" w:type="dxa"/>
              <w:bottom w:w="150" w:type="dxa"/>
              <w:right w:w="0" w:type="dxa"/>
            </w:tcMar>
            <w:vAlign w:val="center"/>
          </w:tcPr>
          <w:p>
            <w:pPr>
              <w:rPr>
                <w:rFonts w:hint="default"/>
              </w:rPr>
            </w:pPr>
            <w:r>
              <w:rPr>
                <w:rFonts w:hint="default"/>
                <w:lang w:val="en-US" w:eastAsia="zh-CN"/>
              </w:rPr>
              <w:t>Subject to gates, lock-ups, schedules in PPM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06" w:type="dxa"/>
            <w:shd w:val="clear"/>
            <w:tcMar>
              <w:top w:w="150" w:type="dxa"/>
              <w:left w:w="0" w:type="dxa"/>
              <w:bottom w:w="150" w:type="dxa"/>
              <w:right w:w="240" w:type="dxa"/>
            </w:tcMar>
            <w:vAlign w:val="center"/>
          </w:tcPr>
          <w:p>
            <w:pPr>
              <w:rPr>
                <w:rFonts w:hint="default"/>
              </w:rPr>
            </w:pPr>
            <w:r>
              <w:rPr>
                <w:rFonts w:hint="default"/>
                <w:lang w:val="en-US" w:eastAsia="zh-CN"/>
              </w:rPr>
              <w:t>Secondary — Exchange</w:t>
            </w:r>
          </w:p>
        </w:tc>
        <w:tc>
          <w:tcPr>
            <w:tcW w:w="5771" w:type="dxa"/>
            <w:shd w:val="clear"/>
            <w:tcMar>
              <w:top w:w="150" w:type="dxa"/>
              <w:left w:w="240" w:type="dxa"/>
              <w:bottom w:w="150" w:type="dxa"/>
              <w:right w:w="240" w:type="dxa"/>
            </w:tcMar>
            <w:vAlign w:val="center"/>
          </w:tcPr>
          <w:p>
            <w:pPr>
              <w:rPr>
                <w:rFonts w:hint="default"/>
              </w:rPr>
            </w:pPr>
            <w:r>
              <w:rPr>
                <w:rFonts w:hint="default"/>
                <w:lang w:val="en-US" w:eastAsia="zh-CN"/>
              </w:rPr>
              <w:t>Investor sells units to another buyer on NSE or other regulated exchange</w:t>
            </w:r>
          </w:p>
        </w:tc>
        <w:tc>
          <w:tcPr>
            <w:tcW w:w="3402" w:type="dxa"/>
            <w:shd w:val="clear"/>
            <w:tcMar>
              <w:top w:w="150" w:type="dxa"/>
              <w:left w:w="240" w:type="dxa"/>
              <w:bottom w:w="150" w:type="dxa"/>
              <w:right w:w="0" w:type="dxa"/>
            </w:tcMar>
            <w:vAlign w:val="center"/>
          </w:tcPr>
          <w:p>
            <w:pPr>
              <w:rPr>
                <w:rFonts w:hint="default"/>
              </w:rPr>
            </w:pPr>
            <w:r>
              <w:rPr>
                <w:rFonts w:hint="default"/>
                <w:lang w:val="en-US" w:eastAsia="zh-CN"/>
              </w:rPr>
              <w:t>Market price may differ from NAV</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06" w:type="dxa"/>
            <w:shd w:val="clear"/>
            <w:tcMar>
              <w:top w:w="150" w:type="dxa"/>
              <w:left w:w="0" w:type="dxa"/>
              <w:bottom w:w="150" w:type="dxa"/>
              <w:right w:w="240" w:type="dxa"/>
            </w:tcMar>
            <w:vAlign w:val="center"/>
          </w:tcPr>
          <w:p>
            <w:pPr>
              <w:rPr>
                <w:rFonts w:hint="default"/>
              </w:rPr>
            </w:pPr>
            <w:r>
              <w:rPr>
                <w:rFonts w:hint="default"/>
                <w:lang w:val="en-US" w:eastAsia="zh-CN"/>
              </w:rPr>
              <w:t>Secondary — Digital</w:t>
            </w:r>
          </w:p>
        </w:tc>
        <w:tc>
          <w:tcPr>
            <w:tcW w:w="5771" w:type="dxa"/>
            <w:shd w:val="clear"/>
            <w:tcMar>
              <w:top w:w="150" w:type="dxa"/>
              <w:left w:w="240" w:type="dxa"/>
              <w:bottom w:w="150" w:type="dxa"/>
              <w:right w:w="240" w:type="dxa"/>
            </w:tcMar>
            <w:vAlign w:val="center"/>
          </w:tcPr>
          <w:p>
            <w:pPr>
              <w:rPr>
                <w:rFonts w:hint="default"/>
              </w:rPr>
            </w:pPr>
            <w:r>
              <w:rPr>
                <w:rFonts w:hint="default"/>
                <w:lang w:val="en-US" w:eastAsia="zh-CN"/>
              </w:rPr>
              <w:t>Investor sells units through approved digital interfaces (Asta OS, licensed platforms)</w:t>
            </w:r>
          </w:p>
        </w:tc>
        <w:tc>
          <w:tcPr>
            <w:tcW w:w="3402" w:type="dxa"/>
            <w:shd w:val="clear"/>
            <w:tcMar>
              <w:top w:w="150" w:type="dxa"/>
              <w:left w:w="240" w:type="dxa"/>
              <w:bottom w:w="150" w:type="dxa"/>
              <w:right w:w="0" w:type="dxa"/>
            </w:tcMar>
            <w:vAlign w:val="center"/>
          </w:tcPr>
          <w:p>
            <w:pPr>
              <w:rPr>
                <w:rFonts w:hint="default"/>
              </w:rPr>
            </w:pPr>
            <w:r>
              <w:rPr>
                <w:rFonts w:hint="default"/>
                <w:lang w:val="en-US" w:eastAsia="zh-CN"/>
              </w:rPr>
              <w:t>Subject to regulatory approval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06" w:type="dxa"/>
            <w:shd w:val="clear"/>
            <w:tcMar>
              <w:top w:w="150" w:type="dxa"/>
              <w:left w:w="0" w:type="dxa"/>
              <w:bottom w:w="150" w:type="dxa"/>
              <w:right w:w="240" w:type="dxa"/>
            </w:tcMar>
            <w:vAlign w:val="center"/>
          </w:tcPr>
          <w:p>
            <w:pPr>
              <w:rPr>
                <w:rFonts w:hint="default"/>
              </w:rPr>
            </w:pPr>
            <w:r>
              <w:rPr>
                <w:rFonts w:hint="default"/>
                <w:lang w:val="en-US" w:eastAsia="zh-CN"/>
              </w:rPr>
              <w:t>Land Settlement</w:t>
            </w:r>
          </w:p>
        </w:tc>
        <w:tc>
          <w:tcPr>
            <w:tcW w:w="5771" w:type="dxa"/>
            <w:shd w:val="clear"/>
            <w:tcMar>
              <w:top w:w="150" w:type="dxa"/>
              <w:left w:w="240" w:type="dxa"/>
              <w:bottom w:w="150" w:type="dxa"/>
              <w:right w:w="240" w:type="dxa"/>
            </w:tcMar>
            <w:vAlign w:val="center"/>
          </w:tcPr>
          <w:p>
            <w:pPr>
              <w:rPr>
                <w:rFonts w:hint="default"/>
              </w:rPr>
            </w:pPr>
            <w:r>
              <w:rPr>
                <w:rFonts w:hint="default"/>
                <w:lang w:val="en-US" w:eastAsia="zh-CN"/>
              </w:rPr>
              <w:t>Landowner receives units as consideration</w:t>
            </w:r>
          </w:p>
        </w:tc>
        <w:tc>
          <w:tcPr>
            <w:tcW w:w="3402" w:type="dxa"/>
            <w:shd w:val="clear"/>
            <w:tcMar>
              <w:top w:w="150" w:type="dxa"/>
              <w:left w:w="240" w:type="dxa"/>
              <w:bottom w:w="150" w:type="dxa"/>
              <w:right w:w="0" w:type="dxa"/>
            </w:tcMar>
            <w:vAlign w:val="center"/>
          </w:tcPr>
          <w:p>
            <w:pPr>
              <w:rPr>
                <w:rFonts w:hint="default"/>
              </w:rPr>
            </w:pPr>
            <w:r>
              <w:rPr>
                <w:rFonts w:hint="default"/>
                <w:lang w:val="en-US" w:eastAsia="zh-CN"/>
              </w:rPr>
              <w:t>Subject to Fund rules and Unit class</w:t>
            </w:r>
          </w:p>
        </w:tc>
      </w:tr>
    </w:tbl>
    <w:p>
      <w:r>
        <w:pict>
          <v:rect id="_x0000_i1098"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XXIV. ECOSYSTEM CAPITAL FLYWHEEL</w:t>
      </w:r>
    </w:p>
    <w:p>
      <w:r>
        <w:rPr>
          <w:rFonts w:hint="default"/>
        </w:rPr>
        <w:t>The Master Fund is designed as a capital-circulation architecture rather than a single fundraising event.</w:t>
      </w:r>
    </w:p>
    <w:p>
      <w:pPr>
        <w:rPr>
          <w:rFonts w:hint="default"/>
        </w:rPr>
      </w:pPr>
      <w:r>
        <w:rPr>
          <w:rFonts w:hint="default"/>
        </w:rPr>
        <w:t>Capital Cycle</w:t>
      </w:r>
    </w:p>
    <w:p>
      <w:r>
        <w:rPr>
          <w:rFonts w:hint="default"/>
        </w:rPr>
        <w:t>1. Asset Admission</w:t>
      </w:r>
      <w:r>
        <w:rPr>
          <w:rFonts w:hint="default"/>
        </w:rPr>
        <w:br w:type="textWrapping"/>
      </w:r>
      <w:r>
        <w:rPr>
          <w:rFonts w:hint="default"/>
        </w:rPr>
        <w:t>Eligible commercial assets enter the Fund structure.</w:t>
      </w:r>
    </w:p>
    <w:p>
      <w:r>
        <w:rPr>
          <w:rFonts w:hint="default"/>
        </w:rPr>
        <w:t>↓</w:t>
      </w:r>
    </w:p>
    <w:p>
      <w:r>
        <w:rPr>
          <w:rFonts w:hint="default"/>
        </w:rPr>
        <w:t>2. Independent Valuation</w:t>
      </w:r>
      <w:r>
        <w:rPr>
          <w:rFonts w:hint="default"/>
        </w:rPr>
        <w:br w:type="textWrapping"/>
      </w:r>
      <w:r>
        <w:rPr>
          <w:rFonts w:hint="default"/>
        </w:rPr>
        <w:t>Assets are independently valued.</w:t>
      </w:r>
    </w:p>
    <w:p>
      <w:r>
        <w:rPr>
          <w:rFonts w:hint="default"/>
        </w:rPr>
        <w:t>↓</w:t>
      </w:r>
    </w:p>
    <w:p>
      <w:r>
        <w:rPr>
          <w:rFonts w:hint="default"/>
        </w:rPr>
        <w:t>3. Unit Issuance</w:t>
      </w:r>
      <w:r>
        <w:rPr>
          <w:rFonts w:hint="default"/>
        </w:rPr>
        <w:br w:type="textWrapping"/>
      </w:r>
      <w:r>
        <w:rPr>
          <w:rFonts w:hint="default"/>
        </w:rPr>
        <w:t>Permitted non-voting investment units are issued.</w:t>
      </w:r>
    </w:p>
    <w:p>
      <w:r>
        <w:rPr>
          <w:rFonts w:hint="default"/>
        </w:rPr>
        <w:t>↓</w:t>
      </w:r>
    </w:p>
    <w:p>
      <w:r>
        <w:rPr>
          <w:rFonts w:hint="default"/>
        </w:rPr>
        <w:t>4. Economic Participation</w:t>
      </w:r>
      <w:r>
        <w:rPr>
          <w:rFonts w:hint="default"/>
        </w:rPr>
        <w:br w:type="textWrapping"/>
      </w:r>
      <w:r>
        <w:rPr>
          <w:rFonts w:hint="default"/>
        </w:rPr>
        <w:t>Citizens, diaspora participants and other permitted investors obtain regulated economic exposure.</w:t>
      </w:r>
    </w:p>
    <w:p>
      <w:r>
        <w:rPr>
          <w:rFonts w:hint="default"/>
        </w:rPr>
        <w:t>↓</w:t>
      </w:r>
    </w:p>
    <w:p>
      <w:r>
        <w:rPr>
          <w:rFonts w:hint="default"/>
        </w:rPr>
        <w:t>5. Commercial Performance</w:t>
      </w:r>
      <w:r>
        <w:rPr>
          <w:rFonts w:hint="default"/>
        </w:rPr>
        <w:br w:type="textWrapping"/>
      </w:r>
      <w:r>
        <w:rPr>
          <w:rFonts w:hint="default"/>
        </w:rPr>
        <w:t>Underlying assets generate revenue, cash flow and/or capital appreciation.</w:t>
      </w:r>
    </w:p>
    <w:p>
      <w:r>
        <w:rPr>
          <w:rFonts w:hint="default"/>
        </w:rPr>
        <w:t>↓</w:t>
      </w:r>
    </w:p>
    <w:p>
      <w:r>
        <w:rPr>
          <w:rFonts w:hint="default"/>
        </w:rPr>
        <w:t>6. Land Appreciation</w:t>
      </w:r>
      <w:r>
        <w:rPr>
          <w:rFonts w:hint="default"/>
        </w:rPr>
        <w:br w:type="textWrapping"/>
      </w:r>
      <w:r>
        <w:rPr>
          <w:rFonts w:hint="default"/>
        </w:rPr>
        <w:t>Development drives land value appreciation in the Neutral Reserve.</w:t>
      </w:r>
    </w:p>
    <w:p>
      <w:r>
        <w:rPr>
          <w:rFonts w:hint="default"/>
        </w:rPr>
        <w:t>↓</w:t>
      </w:r>
    </w:p>
    <w:p>
      <w:r>
        <w:rPr>
          <w:rFonts w:hint="default"/>
        </w:rPr>
        <w:t>7. NAV Growth</w:t>
      </w:r>
      <w:r>
        <w:rPr>
          <w:rFonts w:hint="default"/>
        </w:rPr>
        <w:br w:type="textWrapping"/>
      </w:r>
      <w:r>
        <w:rPr>
          <w:rFonts w:hint="default"/>
        </w:rPr>
        <w:t>Company success and land appreciation increase NAV.</w:t>
      </w:r>
    </w:p>
    <w:p>
      <w:r>
        <w:rPr>
          <w:rFonts w:hint="default"/>
        </w:rPr>
        <w:t>↓</w:t>
      </w:r>
    </w:p>
    <w:p>
      <w:r>
        <w:rPr>
          <w:rFonts w:hint="default"/>
        </w:rPr>
        <w:t>8. Unit Appreciation</w:t>
      </w:r>
      <w:r>
        <w:rPr>
          <w:rFonts w:hint="default"/>
        </w:rPr>
        <w:br w:type="textWrapping"/>
      </w:r>
      <w:r>
        <w:rPr>
          <w:rFonts w:hint="default"/>
        </w:rPr>
        <w:t>Because no new units are minted for land appreciation, NAV per unit increases.</w:t>
      </w:r>
    </w:p>
    <w:p>
      <w:r>
        <w:rPr>
          <w:rFonts w:hint="default"/>
        </w:rPr>
        <w:t>↓</w:t>
      </w:r>
    </w:p>
    <w:p>
      <w:r>
        <w:rPr>
          <w:rFonts w:hint="default"/>
        </w:rPr>
        <w:t>9. Distribution &amp; Reinvestment</w:t>
      </w:r>
      <w:r>
        <w:rPr>
          <w:rFonts w:hint="default"/>
        </w:rPr>
        <w:br w:type="textWrapping"/>
      </w:r>
      <w:r>
        <w:rPr>
          <w:rFonts w:hint="default"/>
        </w:rPr>
        <w:t>Permitted distributions and reinvestment support continued economic activity.</w:t>
      </w:r>
    </w:p>
    <w:p>
      <w:r>
        <w:rPr>
          <w:rFonts w:hint="default"/>
        </w:rPr>
        <w:t>↓</w:t>
      </w:r>
    </w:p>
    <w:p>
      <w:r>
        <w:rPr>
          <w:rFonts w:hint="default"/>
        </w:rPr>
        <w:t>10. Ecosystem Expansion</w:t>
      </w:r>
      <w:r>
        <w:rPr>
          <w:rFonts w:hint="default"/>
        </w:rPr>
        <w:br w:type="textWrapping"/>
      </w:r>
      <w:r>
        <w:rPr>
          <w:rFonts w:hint="default"/>
        </w:rPr>
        <w:t>Additional enterprises and qualifying assets become eligible.</w:t>
      </w:r>
    </w:p>
    <w:p>
      <w:r>
        <w:rPr>
          <w:rFonts w:hint="default"/>
        </w:rPr>
        <w:t>↓</w:t>
      </w:r>
    </w:p>
    <w:p>
      <w:r>
        <w:rPr>
          <w:rFonts w:hint="default"/>
        </w:rPr>
        <w:t>11. Index Expansion</w:t>
      </w:r>
      <w:r>
        <w:rPr>
          <w:rFonts w:hint="default"/>
        </w:rPr>
        <w:br w:type="textWrapping"/>
      </w:r>
      <w:r>
        <w:rPr>
          <w:rFonts w:hint="default"/>
        </w:rPr>
        <w:t>The Jowih 100 expands progressively toward Jowih 500.</w:t>
      </w:r>
    </w:p>
    <w:p>
      <w:r>
        <w:rPr>
          <w:rFonts w:hint="default"/>
        </w:rPr>
        <w:t>↓</w:t>
      </w:r>
    </w:p>
    <w:p>
      <w:r>
        <w:rPr>
          <w:rFonts w:hint="default"/>
        </w:rPr>
        <w:t>12. Development Capital</w:t>
      </w:r>
      <w:r>
        <w:rPr>
          <w:rFonts w:hint="default"/>
        </w:rPr>
        <w:br w:type="textWrapping"/>
      </w:r>
      <w:r>
        <w:rPr>
          <w:rFonts w:hint="default"/>
        </w:rPr>
        <w:t>Approved Fund mechanisms support qualifying infrastructure and land transactions.</w:t>
      </w:r>
    </w:p>
    <w:p>
      <w:r>
        <w:rPr>
          <w:rFonts w:hint="default"/>
        </w:rPr>
        <w:t>↓</w:t>
      </w:r>
    </w:p>
    <w:p>
      <w:r>
        <w:rPr>
          <w:rFonts w:hint="default"/>
        </w:rPr>
        <w:t>13. Asset-Base Expansion</w:t>
      </w:r>
      <w:r>
        <w:rPr>
          <w:rFonts w:hint="default"/>
        </w:rPr>
        <w:br w:type="textWrapping"/>
      </w:r>
      <w:r>
        <w:rPr>
          <w:rFonts w:hint="default"/>
        </w:rPr>
        <w:t>The commercial ecosystem increases its productive and revenue-generating asset base.</w:t>
      </w:r>
    </w:p>
    <w:p>
      <w:r>
        <w:rPr>
          <w:rFonts w:hint="default"/>
        </w:rPr>
        <w:t>↓</w:t>
      </w:r>
    </w:p>
    <w:p>
      <w:r>
        <w:rPr>
          <w:rFonts w:hint="default"/>
        </w:rPr>
        <w:t>14. Upstream Economic Allocation</w:t>
      </w:r>
      <w:r>
        <w:rPr>
          <w:rFonts w:hint="default"/>
        </w:rPr>
        <w:br w:type="textWrapping"/>
      </w:r>
      <w:r>
        <w:rPr>
          <w:rFonts w:hint="default"/>
        </w:rPr>
        <w:t>Jowih Holdings provides the Foundation with its defined economic allocation.</w:t>
      </w:r>
    </w:p>
    <w:p>
      <w:r>
        <w:rPr>
          <w:rFonts w:hint="default"/>
        </w:rPr>
        <w:t>↓</w:t>
      </w:r>
    </w:p>
    <w:p>
      <w:r>
        <w:rPr>
          <w:rFonts w:hint="default"/>
        </w:rPr>
        <w:t>15. Mission Deployment</w:t>
      </w:r>
      <w:r>
        <w:rPr>
          <w:rFonts w:hint="default"/>
        </w:rPr>
        <w:br w:type="textWrapping"/>
      </w:r>
      <w:r>
        <w:rPr>
          <w:rFonts w:hint="default"/>
        </w:rPr>
        <w:t>The Foundation's designated economic allocation supports the Mission Fund and continental development mandate.</w:t>
      </w:r>
    </w:p>
    <w:p>
      <w:r>
        <w:pict>
          <v:rect id="_x0000_i1099"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XXV. GRID BOND AND MASTER FUND SEQUENCING</w:t>
      </w:r>
    </w:p>
    <w:p>
      <w:r>
        <w:rPr>
          <w:rFonts w:hint="default"/>
        </w:rPr>
        <w:t xml:space="preserve">The </w:t>
      </w:r>
      <w:r>
        <w:rPr>
          <w:rFonts w:hint="default"/>
        </w:rPr>
        <w:t>Jowih Grid Bond</w:t>
      </w:r>
      <w:r>
        <w:rPr>
          <w:rFonts w:hint="default"/>
        </w:rPr>
        <w:t xml:space="preserve"> and the </w:t>
      </w:r>
      <w:r>
        <w:rPr>
          <w:rFonts w:hint="default"/>
        </w:rPr>
        <w:t>Master Ecosystem Fund</w:t>
      </w:r>
      <w:r>
        <w:rPr>
          <w:rFonts w:hint="default"/>
        </w:rPr>
        <w:t xml:space="preserve"> serve distinct functions within the overall capital architecture.</w:t>
      </w:r>
    </w:p>
    <w:p>
      <w:r>
        <w:rPr>
          <w:rFonts w:hint="eastAsia"/>
        </w:rPr>
        <w:t>The Grid Bond operates under its own separate framework. It is referenced here only for sequencing clarity.</w:t>
      </w:r>
    </w:p>
    <w:p>
      <w:pPr>
        <w:rPr>
          <w:rFonts w:hint="default"/>
        </w:rPr>
      </w:pPr>
      <w:r>
        <w:rPr>
          <w:rFonts w:hint="default"/>
        </w:rPr>
        <w:t>25.1 Jowih Grid Bond</w:t>
      </w:r>
    </w:p>
    <w:p>
      <w:r>
        <w:rPr>
          <w:rFonts w:hint="default"/>
        </w:rPr>
        <w:t>The Grid Bond constitutes the initial capital-formation mechanism for beginning deployment of the commercial operating structure and core infrastructure.</w:t>
      </w:r>
    </w:p>
    <w:p>
      <w:r>
        <w:rPr>
          <w:rFonts w:hint="default"/>
        </w:rPr>
        <w:t>It provides the initial build-out capital before the full regulated investment architecture reaches operational maturity.</w:t>
      </w:r>
    </w:p>
    <w:p>
      <w:pPr>
        <w:rPr>
          <w:rFonts w:hint="default"/>
        </w:rPr>
      </w:pPr>
      <w:r>
        <w:rPr>
          <w:rFonts w:hint="default"/>
        </w:rPr>
        <w:t>25.2 Master Ecosystem Fund</w:t>
      </w:r>
    </w:p>
    <w:p>
      <w:r>
        <w:rPr>
          <w:rFonts w:hint="default"/>
        </w:rPr>
        <w:t>The Master Fund constitutes the subsequent regulated economic-participation architecture through which mature eligible commercial assets may be:</w:t>
      </w:r>
    </w:p>
    <w:p/>
    <w:p>
      <w:r>
        <w:rPr>
          <w:rFonts w:hint="default"/>
        </w:rPr>
        <w:t>vaulted;</w:t>
      </w:r>
    </w:p>
    <w:p/>
    <w:p/>
    <w:p>
      <w:r>
        <w:rPr>
          <w:rFonts w:hint="default"/>
        </w:rPr>
        <w:t>valued;</w:t>
      </w:r>
    </w:p>
    <w:p/>
    <w:p/>
    <w:p>
      <w:r>
        <w:rPr>
          <w:rFonts w:hint="default"/>
        </w:rPr>
        <w:t>administered;</w:t>
      </w:r>
    </w:p>
    <w:p/>
    <w:p/>
    <w:p>
      <w:r>
        <w:rPr>
          <w:rFonts w:hint="default"/>
        </w:rPr>
        <w:t>represented through investment units;</w:t>
      </w:r>
    </w:p>
    <w:p/>
    <w:p/>
    <w:p>
      <w:r>
        <w:rPr>
          <w:rFonts w:hint="default"/>
        </w:rPr>
        <w:t>made available for regulated economic participation; and</w:t>
      </w:r>
    </w:p>
    <w:p/>
    <w:p/>
    <w:p>
      <w:r>
        <w:rPr>
          <w:rFonts w:hint="default"/>
        </w:rPr>
        <w:t>integrated into development-capital mechanisms.</w:t>
      </w:r>
    </w:p>
    <w:p/>
    <w:p>
      <w:pPr>
        <w:rPr>
          <w:rFonts w:hint="default"/>
        </w:rPr>
      </w:pPr>
      <w:r>
        <w:rPr>
          <w:rFonts w:hint="default"/>
        </w:rPr>
        <w:t>25.3 Capital Sequence</w:t>
      </w:r>
    </w:p>
    <w:p>
      <w:r>
        <w:rPr>
          <w:rFonts w:hint="eastAsia"/>
        </w:rPr>
        <w:t>Foundation &amp; Corporate Structure</w:t>
      </w:r>
      <w:r>
        <w:rPr>
          <w:rFonts w:hint="eastAsia"/>
        </w:rPr>
        <w:br w:type="textWrapping"/>
      </w:r>
      <w:r>
        <w:rPr>
          <w:rFonts w:hint="eastAsia"/>
        </w:rPr>
        <w:t>↓</w:t>
      </w:r>
      <w:r>
        <w:rPr>
          <w:rFonts w:hint="eastAsia"/>
        </w:rPr>
        <w:br w:type="textWrapping"/>
      </w:r>
      <w:r>
        <w:rPr>
          <w:rFonts w:hint="eastAsia"/>
        </w:rPr>
        <w:t>Jowih Grid Bond</w:t>
      </w:r>
      <w:r>
        <w:rPr>
          <w:rFonts w:hint="eastAsia"/>
        </w:rPr>
        <w:br w:type="textWrapping"/>
      </w:r>
      <w:r>
        <w:rPr>
          <w:rFonts w:hint="eastAsia"/>
        </w:rPr>
        <w:t>↓</w:t>
      </w:r>
      <w:r>
        <w:rPr>
          <w:rFonts w:hint="eastAsia"/>
        </w:rPr>
        <w:br w:type="textWrapping"/>
      </w:r>
      <w:r>
        <w:rPr>
          <w:rFonts w:hint="eastAsia"/>
        </w:rPr>
        <w:t>Initial Commercial Build-Out</w:t>
      </w:r>
      <w:r>
        <w:rPr>
          <w:rFonts w:hint="eastAsia"/>
        </w:rPr>
        <w:br w:type="textWrapping"/>
      </w:r>
      <w:r>
        <w:rPr>
          <w:rFonts w:hint="eastAsia"/>
        </w:rPr>
        <w:t>↓</w:t>
      </w:r>
      <w:r>
        <w:rPr>
          <w:rFonts w:hint="eastAsia"/>
        </w:rPr>
        <w:br w:type="textWrapping"/>
      </w:r>
      <w:r>
        <w:rPr>
          <w:rFonts w:hint="eastAsia"/>
        </w:rPr>
        <w:t>VCC / Regulatory Sandbox or Pilot Structure</w:t>
      </w:r>
      <w:r>
        <w:rPr>
          <w:rFonts w:hint="eastAsia"/>
        </w:rPr>
        <w:br w:type="textWrapping"/>
      </w:r>
      <w:r>
        <w:rPr>
          <w:rFonts w:hint="eastAsia"/>
        </w:rPr>
        <w:t>↓</w:t>
      </w:r>
      <w:r>
        <w:rPr>
          <w:rFonts w:hint="eastAsia"/>
        </w:rPr>
        <w:br w:type="textWrapping"/>
      </w:r>
      <w:r>
        <w:rPr>
          <w:rFonts w:hint="eastAsia"/>
        </w:rPr>
        <w:t>Fund Licensing &amp; Regulatory Authorization</w:t>
      </w:r>
      <w:r>
        <w:rPr>
          <w:rFonts w:hint="eastAsia"/>
        </w:rPr>
        <w:br w:type="textWrapping"/>
      </w:r>
      <w:r>
        <w:rPr>
          <w:rFonts w:hint="eastAsia"/>
        </w:rPr>
        <w:t>↓</w:t>
      </w:r>
      <w:r>
        <w:rPr>
          <w:rFonts w:hint="eastAsia"/>
        </w:rPr>
        <w:br w:type="textWrapping"/>
      </w:r>
      <w:r>
        <w:rPr>
          <w:rFonts w:hint="eastAsia"/>
        </w:rPr>
        <w:t>Asset Vaulting</w:t>
      </w:r>
      <w:r>
        <w:rPr>
          <w:rFonts w:hint="eastAsia"/>
        </w:rPr>
        <w:br w:type="textWrapping"/>
      </w:r>
      <w:r>
        <w:rPr>
          <w:rFonts w:hint="eastAsia"/>
        </w:rPr>
        <w:t>↓</w:t>
      </w:r>
      <w:r>
        <w:rPr>
          <w:rFonts w:hint="eastAsia"/>
        </w:rPr>
        <w:br w:type="textWrapping"/>
      </w:r>
      <w:r>
        <w:rPr>
          <w:rFonts w:hint="eastAsia"/>
        </w:rPr>
        <w:t>Regulated Unit Participation</w:t>
      </w:r>
      <w:r>
        <w:rPr>
          <w:rFonts w:hint="eastAsia"/>
        </w:rPr>
        <w:br w:type="textWrapping"/>
      </w:r>
      <w:r>
        <w:rPr>
          <w:rFonts w:hint="eastAsia"/>
        </w:rPr>
        <w:t>↓</w:t>
      </w:r>
      <w:r>
        <w:rPr>
          <w:rFonts w:hint="eastAsia"/>
        </w:rPr>
        <w:br w:type="textWrapping"/>
      </w:r>
      <w:r>
        <w:rPr>
          <w:rFonts w:hint="eastAsia"/>
        </w:rPr>
        <w:t>Development Capital Integration</w:t>
      </w:r>
      <w:r>
        <w:rPr>
          <w:rFonts w:hint="eastAsia"/>
        </w:rPr>
        <w:br w:type="textWrapping"/>
      </w:r>
      <w:r>
        <w:rPr>
          <w:rFonts w:hint="eastAsia"/>
        </w:rPr>
        <w:t>↓</w:t>
      </w:r>
      <w:r>
        <w:rPr>
          <w:rFonts w:hint="eastAsia"/>
        </w:rPr>
        <w:br w:type="textWrapping"/>
      </w:r>
      <w:r>
        <w:rPr>
          <w:rFonts w:hint="eastAsia"/>
        </w:rPr>
        <w:t>Continental Expansion</w:t>
      </w:r>
    </w:p>
    <w:p>
      <w:r>
        <w:rPr>
          <w:rFonts w:hint="default"/>
        </w:rPr>
        <w:t>The Grid Bond and Master Fund therefore perform complementary functions rather than serving as substitutes.</w:t>
      </w:r>
    </w:p>
    <w:p>
      <w:r>
        <w:pict>
          <v:rect id="_x0000_i1100"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XXVI. IMPLEMENTATION STAGES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458"/>
        <w:gridCol w:w="88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458"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Stage</w:t>
            </w:r>
          </w:p>
        </w:tc>
        <w:tc>
          <w:tcPr>
            <w:tcW w:w="882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Institutional Deliverable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58" w:type="dxa"/>
            <w:shd w:val="clear"/>
            <w:tcMar>
              <w:top w:w="150" w:type="dxa"/>
              <w:left w:w="0" w:type="dxa"/>
              <w:bottom w:w="150" w:type="dxa"/>
              <w:right w:w="240" w:type="dxa"/>
            </w:tcMar>
            <w:vAlign w:val="center"/>
          </w:tcPr>
          <w:p>
            <w:pPr>
              <w:rPr>
                <w:rFonts w:hint="default"/>
              </w:rPr>
            </w:pPr>
            <w:r>
              <w:rPr>
                <w:rFonts w:hint="default"/>
                <w:lang w:val="en-US" w:eastAsia="zh-CN"/>
              </w:rPr>
              <w:t>Stage 1 — Foundation &amp; Structural Setup</w:t>
            </w:r>
          </w:p>
        </w:tc>
        <w:tc>
          <w:tcPr>
            <w:tcW w:w="8822" w:type="dxa"/>
            <w:shd w:val="clear"/>
            <w:tcMar>
              <w:top w:w="150" w:type="dxa"/>
              <w:left w:w="240" w:type="dxa"/>
              <w:bottom w:w="150" w:type="dxa"/>
              <w:right w:w="0" w:type="dxa"/>
            </w:tcMar>
            <w:vAlign w:val="center"/>
          </w:tcPr>
          <w:p>
            <w:pPr>
              <w:rPr>
                <w:rFonts w:hint="default"/>
              </w:rPr>
            </w:pPr>
            <w:r>
              <w:rPr>
                <w:rFonts w:hint="default"/>
                <w:lang w:val="en-US" w:eastAsia="zh-CN"/>
              </w:rPr>
              <w:t>Establish the Foundation, Jowih Holdings, governance trusts and initial commercial operating companies. Commence core ecosystem and GAG implementation through the Grid Bond 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58" w:type="dxa"/>
            <w:shd w:val="clear"/>
            <w:tcMar>
              <w:top w:w="150" w:type="dxa"/>
              <w:left w:w="0" w:type="dxa"/>
              <w:bottom w:w="150" w:type="dxa"/>
              <w:right w:w="240" w:type="dxa"/>
            </w:tcMar>
            <w:vAlign w:val="center"/>
          </w:tcPr>
          <w:p>
            <w:pPr>
              <w:rPr>
                <w:rFonts w:hint="default"/>
              </w:rPr>
            </w:pPr>
            <w:r>
              <w:rPr>
                <w:rFonts w:hint="default"/>
                <w:lang w:val="en-US" w:eastAsia="zh-CN"/>
              </w:rPr>
              <w:t>Stage 2 — VCC Regulatory Pilot/Sandbox</w:t>
            </w:r>
          </w:p>
        </w:tc>
        <w:tc>
          <w:tcPr>
            <w:tcW w:w="8822" w:type="dxa"/>
            <w:shd w:val="clear"/>
            <w:tcMar>
              <w:top w:w="150" w:type="dxa"/>
              <w:left w:w="240" w:type="dxa"/>
              <w:bottom w:w="150" w:type="dxa"/>
              <w:right w:w="0" w:type="dxa"/>
            </w:tcMar>
            <w:vAlign w:val="center"/>
          </w:tcPr>
          <w:p>
            <w:pPr>
              <w:rPr>
                <w:rFonts w:hint="default"/>
              </w:rPr>
            </w:pPr>
            <w:r>
              <w:rPr>
                <w:rFonts w:hint="default"/>
                <w:lang w:val="en-US" w:eastAsia="zh-CN"/>
              </w:rPr>
              <w:t>Establish the proposed Fund structure under the applicable Mauritius regulatory pathway. Validate valuation, custody, compliance, reporting, settlement and unit-accounting mechanisms with permitted participants.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58" w:type="dxa"/>
            <w:shd w:val="clear"/>
            <w:tcMar>
              <w:top w:w="150" w:type="dxa"/>
              <w:left w:w="0" w:type="dxa"/>
              <w:bottom w:w="150" w:type="dxa"/>
              <w:right w:w="240" w:type="dxa"/>
            </w:tcMar>
            <w:vAlign w:val="center"/>
          </w:tcPr>
          <w:p>
            <w:pPr>
              <w:rPr>
                <w:rFonts w:hint="default"/>
              </w:rPr>
            </w:pPr>
            <w:r>
              <w:rPr>
                <w:rFonts w:hint="default"/>
                <w:lang w:val="en-US" w:eastAsia="zh-CN"/>
              </w:rPr>
              <w:t>Stage 3 — Licensing &amp; Permitted Participation</w:t>
            </w:r>
          </w:p>
        </w:tc>
        <w:tc>
          <w:tcPr>
            <w:tcW w:w="8822" w:type="dxa"/>
            <w:shd w:val="clear"/>
            <w:tcMar>
              <w:top w:w="150" w:type="dxa"/>
              <w:left w:w="240" w:type="dxa"/>
              <w:bottom w:w="150" w:type="dxa"/>
              <w:right w:w="0" w:type="dxa"/>
            </w:tcMar>
            <w:vAlign w:val="center"/>
          </w:tcPr>
          <w:p>
            <w:pPr>
              <w:rPr>
                <w:rFonts w:hint="default"/>
              </w:rPr>
            </w:pPr>
            <w:r>
              <w:rPr>
                <w:rFonts w:hint="default"/>
                <w:lang w:val="en-US" w:eastAsia="zh-CN"/>
              </w:rPr>
              <w:t>Subject to regulatory approval, transition into the appropriate licensed Fund/CIS structure and establish permitted investor participation.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58" w:type="dxa"/>
            <w:shd w:val="clear"/>
            <w:tcMar>
              <w:top w:w="150" w:type="dxa"/>
              <w:left w:w="0" w:type="dxa"/>
              <w:bottom w:w="150" w:type="dxa"/>
              <w:right w:w="240" w:type="dxa"/>
            </w:tcMar>
            <w:vAlign w:val="center"/>
          </w:tcPr>
          <w:p>
            <w:pPr>
              <w:rPr>
                <w:rFonts w:hint="default"/>
              </w:rPr>
            </w:pPr>
            <w:r>
              <w:rPr>
                <w:rFonts w:hint="default"/>
                <w:lang w:val="en-US" w:eastAsia="zh-CN"/>
              </w:rPr>
              <w:t>Stage 4 — Asset Expansion</w:t>
            </w:r>
          </w:p>
        </w:tc>
        <w:tc>
          <w:tcPr>
            <w:tcW w:w="8822" w:type="dxa"/>
            <w:shd w:val="clear"/>
            <w:tcMar>
              <w:top w:w="150" w:type="dxa"/>
              <w:left w:w="240" w:type="dxa"/>
              <w:bottom w:w="150" w:type="dxa"/>
              <w:right w:w="0" w:type="dxa"/>
            </w:tcMar>
            <w:vAlign w:val="center"/>
          </w:tcPr>
          <w:p>
            <w:pPr>
              <w:rPr>
                <w:rFonts w:hint="default"/>
              </w:rPr>
            </w:pPr>
            <w:r>
              <w:rPr>
                <w:rFonts w:hint="default"/>
                <w:lang w:val="en-US" w:eastAsia="zh-CN"/>
              </w:rPr>
              <w:t>Admit qualifying Jowih Core companies and Ecosystem Partners, expand the Index from 100 toward 500 and introduce specialized investment cells.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58" w:type="dxa"/>
            <w:shd w:val="clear"/>
            <w:tcMar>
              <w:top w:w="150" w:type="dxa"/>
              <w:left w:w="0" w:type="dxa"/>
              <w:bottom w:w="150" w:type="dxa"/>
              <w:right w:w="240" w:type="dxa"/>
            </w:tcMar>
            <w:vAlign w:val="center"/>
          </w:tcPr>
          <w:p>
            <w:pPr>
              <w:rPr>
                <w:rFonts w:hint="default"/>
              </w:rPr>
            </w:pPr>
            <w:r>
              <w:rPr>
                <w:rFonts w:hint="default"/>
                <w:lang w:val="en-US" w:eastAsia="zh-CN"/>
              </w:rPr>
              <w:t>Stage 5 — Development Capital Integration</w:t>
            </w:r>
          </w:p>
        </w:tc>
        <w:tc>
          <w:tcPr>
            <w:tcW w:w="8822" w:type="dxa"/>
            <w:shd w:val="clear"/>
            <w:tcMar>
              <w:top w:w="150" w:type="dxa"/>
              <w:left w:w="240" w:type="dxa"/>
              <w:bottom w:w="150" w:type="dxa"/>
              <w:right w:w="0" w:type="dxa"/>
            </w:tcMar>
            <w:vAlign w:val="center"/>
          </w:tcPr>
          <w:p>
            <w:pPr>
              <w:rPr>
                <w:rFonts w:hint="default"/>
              </w:rPr>
            </w:pPr>
            <w:r>
              <w:rPr>
                <w:rFonts w:hint="default"/>
                <w:lang w:val="en-US" w:eastAsia="zh-CN"/>
              </w:rPr>
              <w:t>Deploy the Land Acquisition &amp; Settlement Facility and other approved capital mechanisms for qualifying continental projects.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58" w:type="dxa"/>
            <w:shd w:val="clear"/>
            <w:tcMar>
              <w:top w:w="150" w:type="dxa"/>
              <w:left w:w="0" w:type="dxa"/>
              <w:bottom w:w="150" w:type="dxa"/>
              <w:right w:w="240" w:type="dxa"/>
            </w:tcMar>
            <w:vAlign w:val="center"/>
          </w:tcPr>
          <w:p>
            <w:pPr>
              <w:rPr>
                <w:rFonts w:hint="default"/>
              </w:rPr>
            </w:pPr>
            <w:r>
              <w:rPr>
                <w:rFonts w:hint="default"/>
                <w:lang w:val="en-US" w:eastAsia="zh-CN"/>
              </w:rPr>
              <w:t>Stage 6 — High-Scale Expansion</w:t>
            </w:r>
          </w:p>
        </w:tc>
        <w:tc>
          <w:tcPr>
            <w:tcW w:w="8822" w:type="dxa"/>
            <w:shd w:val="clear"/>
            <w:tcMar>
              <w:top w:w="150" w:type="dxa"/>
              <w:left w:w="240" w:type="dxa"/>
              <w:bottom w:w="150" w:type="dxa"/>
              <w:right w:w="0" w:type="dxa"/>
            </w:tcMar>
            <w:vAlign w:val="center"/>
          </w:tcPr>
          <w:p>
            <w:pPr>
              <w:rPr>
                <w:rFonts w:hint="default"/>
              </w:rPr>
            </w:pPr>
            <w:r>
              <w:rPr>
                <w:rFonts w:hint="default"/>
                <w:lang w:val="en-US" w:eastAsia="zh-CN"/>
              </w:rPr>
              <w:t>Expand specialized sub-funds, regulated liquidity channels, institutional participation and permitted digital investment interfaces.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58" w:type="dxa"/>
            <w:shd w:val="clear"/>
            <w:tcMar>
              <w:top w:w="150" w:type="dxa"/>
              <w:left w:w="0" w:type="dxa"/>
              <w:bottom w:w="150" w:type="dxa"/>
              <w:right w:w="240" w:type="dxa"/>
            </w:tcMar>
            <w:vAlign w:val="center"/>
          </w:tcPr>
          <w:p>
            <w:pPr>
              <w:rPr>
                <w:rFonts w:hint="default"/>
              </w:rPr>
            </w:pPr>
            <w:r>
              <w:rPr>
                <w:rFonts w:hint="default"/>
                <w:lang w:val="en-US" w:eastAsia="zh-CN"/>
              </w:rPr>
              <w:t>Stage 7 — Continental Integration</w:t>
            </w:r>
          </w:p>
        </w:tc>
        <w:tc>
          <w:tcPr>
            <w:tcW w:w="8822" w:type="dxa"/>
            <w:shd w:val="clear"/>
            <w:tcMar>
              <w:top w:w="150" w:type="dxa"/>
              <w:left w:w="240" w:type="dxa"/>
              <w:bottom w:w="150" w:type="dxa"/>
              <w:right w:w="0" w:type="dxa"/>
            </w:tcMar>
            <w:vAlign w:val="center"/>
          </w:tcPr>
          <w:p>
            <w:pPr>
              <w:rPr>
                <w:rFonts w:hint="default"/>
              </w:rPr>
            </w:pPr>
            <w:r>
              <w:rPr>
                <w:rFonts w:hint="default"/>
                <w:lang w:val="en-US" w:eastAsia="zh-CN"/>
              </w:rPr>
              <w:t>Secondary market listings on regulated African securities exchanges. VAITOS tokenization layer. Automated micro-fractional investment.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58" w:type="dxa"/>
            <w:shd w:val="clear"/>
            <w:tcMar>
              <w:top w:w="150" w:type="dxa"/>
              <w:left w:w="0" w:type="dxa"/>
              <w:bottom w:w="150" w:type="dxa"/>
              <w:right w:w="240" w:type="dxa"/>
            </w:tcMar>
            <w:vAlign w:val="center"/>
          </w:tcPr>
          <w:p>
            <w:pPr>
              <w:rPr>
                <w:rFonts w:hint="default"/>
              </w:rPr>
            </w:pPr>
            <w:r>
              <w:rPr>
                <w:rFonts w:hint="default"/>
                <w:lang w:val="en-US" w:eastAsia="zh-CN"/>
              </w:rPr>
              <w:t>Stage 8 — First World Africa</w:t>
            </w:r>
          </w:p>
        </w:tc>
        <w:tc>
          <w:tcPr>
            <w:tcW w:w="8822" w:type="dxa"/>
            <w:shd w:val="clear"/>
            <w:tcMar>
              <w:top w:w="150" w:type="dxa"/>
              <w:left w:w="240" w:type="dxa"/>
              <w:bottom w:w="150" w:type="dxa"/>
              <w:right w:w="0" w:type="dxa"/>
            </w:tcMar>
            <w:vAlign w:val="center"/>
          </w:tcPr>
          <w:p>
            <w:pPr>
              <w:rPr>
                <w:rFonts w:hint="default"/>
              </w:rPr>
            </w:pPr>
            <w:r>
              <w:rPr>
                <w:rFonts w:hint="default"/>
                <w:lang w:val="en-US" w:eastAsia="zh-CN"/>
              </w:rPr>
              <w:t>Universal healthcare. Quality education. Clean water. Reliable energy. Food security. Affordable housing. Smart cities. High-speed rail. African-owned satellites. African-designed chips. Sovereign AI. Quantum computing. Neurotechnology. Advanced robotics. Metaverse.</w:t>
            </w:r>
          </w:p>
        </w:tc>
      </w:tr>
    </w:tbl>
    <w:p>
      <w:r>
        <w:pict>
          <v:rect id="_x0000_i1101"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XXVII. ARCHITECTURAL OBJECTIVES MATRIX</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982"/>
        <w:gridCol w:w="82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982"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Core Objective</w:t>
            </w:r>
          </w:p>
        </w:tc>
        <w:tc>
          <w:tcPr>
            <w:tcW w:w="829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Structural Execution Mechanism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Foundation Non-Dilution</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Foundation remains outside the investable plane and is not represented by Fund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Governance Insulation</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Investment Units carry defined economic rights without Foundation or upstream corporate governance control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Pan-African Economic Participation</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Eligible participants obtain regulated economic exposure to qualifying commercial ecosystem assets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Scalable Commercial Capacity</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Jowih 100 expands progressively toward Jowih 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Treasury Flexibility</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Authorized capacity is separated from outstanding units and unissued Treasury capacity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Neutral Asset Integration</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Land and other qualifying neutral assets may be held within a separate Neutral Reserve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Land Appreciation</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Land in the Neutral Reserve appreciates when development happens around it; appreciation flows to NAV per unit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Development Land Access</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Approved projects may combine cash and Fund Units as land-acquisition consideration where legally permissible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Community Economic Participation</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Eligible land recipients may receive long-term economic exposure through applicable Fund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Partner Participation</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Qualifying Ecosystem Partners may access approved land-settlement architecture for qualifying projects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Capital Recirculation</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Commercial activity supports continued asset formation and economic participation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Regulatory Integrity</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Fund operations remain subject to ADFA and applicable Mauritius and host-jurisdiction requirements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Mission Protection</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Foundation governance and mission architecture remain outside the Fund's economic participation plane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Investor Diversification</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Unit value spread across entire Jowih 100 → 500 Index; not concentrated in any single company or sub-fund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82" w:type="dxa"/>
            <w:shd w:val="clear"/>
            <w:tcMar>
              <w:top w:w="150" w:type="dxa"/>
              <w:left w:w="0" w:type="dxa"/>
              <w:bottom w:w="150" w:type="dxa"/>
              <w:right w:w="240" w:type="dxa"/>
            </w:tcMar>
            <w:vAlign w:val="center"/>
          </w:tcPr>
          <w:p>
            <w:pPr>
              <w:rPr>
                <w:rFonts w:hint="default"/>
              </w:rPr>
            </w:pPr>
            <w:r>
              <w:rPr>
                <w:rFonts w:hint="default"/>
                <w:lang w:val="en-US" w:eastAsia="zh-CN"/>
              </w:rPr>
              <w:t>Secondary Market Access</w:t>
            </w:r>
          </w:p>
        </w:tc>
        <w:tc>
          <w:tcPr>
            <w:tcW w:w="8298" w:type="dxa"/>
            <w:shd w:val="clear"/>
            <w:tcMar>
              <w:top w:w="150" w:type="dxa"/>
              <w:left w:w="240" w:type="dxa"/>
              <w:bottom w:w="150" w:type="dxa"/>
              <w:right w:w="0" w:type="dxa"/>
            </w:tcMar>
            <w:vAlign w:val="center"/>
          </w:tcPr>
          <w:p>
            <w:pPr>
              <w:rPr>
                <w:rFonts w:hint="default"/>
              </w:rPr>
            </w:pPr>
            <w:r>
              <w:rPr>
                <w:rFonts w:hint="default"/>
                <w:lang w:val="en-US" w:eastAsia="zh-CN"/>
              </w:rPr>
              <w:t>Units may be listed on NSE and other regulated African securities exchanges</w:t>
            </w:r>
          </w:p>
        </w:tc>
      </w:tr>
    </w:tbl>
    <w:p>
      <w:r>
        <w:pict>
          <v:rect id="_x0000_i1102"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XXVIII. ADMINISTRATIVE, LEGAL AND OPERATIONAL REQUIREMENTS</w:t>
      </w:r>
    </w:p>
    <w:p>
      <w:r>
        <w:rPr>
          <w:rFonts w:hint="default"/>
        </w:rPr>
        <w:t>The Master Fund requires institutional-grade infrastructure across legal, regulatory, financial, valuation, custody, technology and operational functions.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539"/>
        <w:gridCol w:w="87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539"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Requirement</w:t>
            </w:r>
          </w:p>
        </w:tc>
        <w:tc>
          <w:tcPr>
            <w:tcW w:w="8741"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Institutional Standard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Specialized Legal Counsel</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Fund, securities, tax, land, corporate, infrastructure and cross-border legal expertise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Regulatory Oversight</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ADFA framework, applicable licensing, regulatory engagement, reporting and audit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Independent Valuation</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Qualified third-party valuation of equity, land, infrastructure and other eligible assets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Fund Administration</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Single central administrator, accounting, NAV calculation and investor reporting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Custody</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Single central licensed or otherwise legally qualified custody arrangements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Auditor</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Single central independent auditor for the entire VCC framework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Stakeholder Process</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Documented consultation, consent, title verification and compensation procedures where applicable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AML/KYC</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Continuous identity verification, screening and transaction monitoring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Tax Compliance</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Applicable domestic and cross-border tax reporting and compliance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Foreign Exchange</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Jowih Credits framework, subject to applicable exchange-control regulations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Data &amp; Systems Integrity</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Auditable digital records, cybersecurity controls and secure transaction infrastructure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Land Due Diligence</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Title, ownership, encumbrance, environmental, planning, inheritance and jurisdiction-specific verification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Risk Management</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Documented investment, liquidity, valuation, concentration and operational risk controls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Independent Audit</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Periodic independent audit in accordance with applicable regulatory and accounting requirements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39" w:type="dxa"/>
            <w:shd w:val="clear"/>
            <w:tcMar>
              <w:top w:w="150" w:type="dxa"/>
              <w:left w:w="0" w:type="dxa"/>
              <w:bottom w:w="150" w:type="dxa"/>
              <w:right w:w="240" w:type="dxa"/>
            </w:tcMar>
            <w:vAlign w:val="center"/>
          </w:tcPr>
          <w:p>
            <w:pPr>
              <w:rPr>
                <w:rFonts w:hint="default"/>
              </w:rPr>
            </w:pPr>
            <w:r>
              <w:rPr>
                <w:rFonts w:hint="default"/>
                <w:lang w:val="en-US" w:eastAsia="zh-CN"/>
              </w:rPr>
              <w:t>Listing Compliance</w:t>
            </w:r>
          </w:p>
        </w:tc>
        <w:tc>
          <w:tcPr>
            <w:tcW w:w="8741" w:type="dxa"/>
            <w:shd w:val="clear"/>
            <w:tcMar>
              <w:top w:w="150" w:type="dxa"/>
              <w:left w:w="240" w:type="dxa"/>
              <w:bottom w:w="150" w:type="dxa"/>
              <w:right w:w="0" w:type="dxa"/>
            </w:tcMar>
            <w:vAlign w:val="center"/>
          </w:tcPr>
          <w:p>
            <w:pPr>
              <w:rPr>
                <w:rFonts w:hint="default"/>
              </w:rPr>
            </w:pPr>
            <w:r>
              <w:rPr>
                <w:rFonts w:hint="default"/>
                <w:lang w:val="en-US" w:eastAsia="zh-CN"/>
              </w:rPr>
              <w:t>NSE and other exchange listing rules, disclosure requirements and continuing obligations</w:t>
            </w:r>
          </w:p>
        </w:tc>
      </w:tr>
    </w:tbl>
    <w:p>
      <w:r>
        <w:pict>
          <v:rect id="_x0000_i1103"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XXIX. INSTITUTIONAL CONTROL MATRIX</w:t>
      </w:r>
    </w:p>
    <w:p>
      <w:r>
        <w:rPr>
          <w:rFonts w:hint="default"/>
        </w:rPr>
        <w:t>The following matrix defines the principal boundary between economic participation and governance.</w:t>
      </w:r>
    </w:p>
    <w:tbl>
      <w:tblPr>
        <w:tblW w:w="134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115"/>
        <w:gridCol w:w="3064"/>
        <w:gridCol w:w="3107"/>
        <w:gridCol w:w="2506"/>
        <w:gridCol w:w="26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115"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Matter</w:t>
            </w:r>
          </w:p>
        </w:tc>
        <w:tc>
          <w:tcPr>
            <w:tcW w:w="3064"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Foundation</w:t>
            </w:r>
          </w:p>
        </w:tc>
        <w:tc>
          <w:tcPr>
            <w:tcW w:w="3107"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Jowih Holdings</w:t>
            </w:r>
          </w:p>
        </w:tc>
        <w:tc>
          <w:tcPr>
            <w:tcW w:w="2506"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Jowih Group / Operating Companies</w:t>
            </w:r>
          </w:p>
        </w:tc>
        <w:tc>
          <w:tcPr>
            <w:tcW w:w="2629"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Master Fund / Unit Holders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15" w:type="dxa"/>
            <w:shd w:val="clear"/>
            <w:tcMar>
              <w:top w:w="150" w:type="dxa"/>
              <w:left w:w="0" w:type="dxa"/>
              <w:bottom w:w="150" w:type="dxa"/>
              <w:right w:w="240" w:type="dxa"/>
            </w:tcMar>
            <w:vAlign w:val="center"/>
          </w:tcPr>
          <w:p>
            <w:pPr>
              <w:rPr>
                <w:rFonts w:hint="default"/>
              </w:rPr>
            </w:pPr>
            <w:r>
              <w:rPr>
                <w:rFonts w:hint="default"/>
                <w:lang w:val="en-US" w:eastAsia="zh-CN"/>
              </w:rPr>
              <w:t>Foundation Mission</w:t>
            </w:r>
          </w:p>
        </w:tc>
        <w:tc>
          <w:tcPr>
            <w:tcW w:w="3064" w:type="dxa"/>
            <w:shd w:val="clear"/>
            <w:tcMar>
              <w:top w:w="150" w:type="dxa"/>
              <w:left w:w="240" w:type="dxa"/>
              <w:bottom w:w="150" w:type="dxa"/>
              <w:right w:w="240" w:type="dxa"/>
            </w:tcMar>
            <w:vAlign w:val="center"/>
          </w:tcPr>
          <w:p>
            <w:pPr>
              <w:rPr>
                <w:rFonts w:hint="default"/>
              </w:rPr>
            </w:pPr>
            <w:r>
              <w:rPr>
                <w:rFonts w:hint="default"/>
                <w:lang w:val="en-US" w:eastAsia="zh-CN"/>
              </w:rPr>
              <w:t>Protected</w:t>
            </w:r>
          </w:p>
        </w:tc>
        <w:tc>
          <w:tcPr>
            <w:tcW w:w="3107" w:type="dxa"/>
            <w:shd w:val="clear"/>
            <w:tcMar>
              <w:top w:w="150" w:type="dxa"/>
              <w:left w:w="240" w:type="dxa"/>
              <w:bottom w:w="150" w:type="dxa"/>
              <w:right w:w="240" w:type="dxa"/>
            </w:tcMar>
            <w:vAlign w:val="center"/>
          </w:tcPr>
          <w:p>
            <w:pPr>
              <w:rPr>
                <w:rFonts w:hint="default"/>
              </w:rPr>
            </w:pPr>
            <w:r>
              <w:rPr>
                <w:rFonts w:hint="default"/>
                <w:lang w:val="en-US" w:eastAsia="zh-CN"/>
              </w:rPr>
              <w:t>No direct control</w:t>
            </w:r>
          </w:p>
        </w:tc>
        <w:tc>
          <w:tcPr>
            <w:tcW w:w="2506" w:type="dxa"/>
            <w:shd w:val="clear"/>
            <w:tcMar>
              <w:top w:w="150" w:type="dxa"/>
              <w:left w:w="240" w:type="dxa"/>
              <w:bottom w:w="150" w:type="dxa"/>
              <w:right w:w="240" w:type="dxa"/>
            </w:tcMar>
            <w:vAlign w:val="center"/>
          </w:tcPr>
          <w:p>
            <w:pPr>
              <w:rPr>
                <w:rFonts w:hint="default"/>
              </w:rPr>
            </w:pPr>
            <w:r>
              <w:rPr>
                <w:rFonts w:hint="default"/>
                <w:lang w:val="en-US" w:eastAsia="zh-CN"/>
              </w:rPr>
              <w:t>No direct control</w:t>
            </w:r>
          </w:p>
        </w:tc>
        <w:tc>
          <w:tcPr>
            <w:tcW w:w="2629" w:type="dxa"/>
            <w:shd w:val="clear"/>
            <w:tcMar>
              <w:top w:w="150" w:type="dxa"/>
              <w:left w:w="240" w:type="dxa"/>
              <w:bottom w:w="150" w:type="dxa"/>
              <w:right w:w="0" w:type="dxa"/>
            </w:tcMar>
            <w:vAlign w:val="center"/>
          </w:tcPr>
          <w:p>
            <w:pPr>
              <w:rPr>
                <w:rFonts w:hint="default"/>
              </w:rPr>
            </w:pPr>
            <w:r>
              <w:rPr>
                <w:rFonts w:hint="default"/>
                <w:lang w:val="en-US" w:eastAsia="zh-CN"/>
              </w:rPr>
              <w:t>No direct control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15" w:type="dxa"/>
            <w:shd w:val="clear"/>
            <w:tcMar>
              <w:top w:w="150" w:type="dxa"/>
              <w:left w:w="0" w:type="dxa"/>
              <w:bottom w:w="150" w:type="dxa"/>
              <w:right w:w="240" w:type="dxa"/>
            </w:tcMar>
            <w:vAlign w:val="center"/>
          </w:tcPr>
          <w:p>
            <w:pPr>
              <w:rPr>
                <w:rFonts w:hint="default"/>
              </w:rPr>
            </w:pPr>
            <w:r>
              <w:rPr>
                <w:rFonts w:hint="default"/>
                <w:lang w:val="en-US" w:eastAsia="zh-CN"/>
              </w:rPr>
              <w:t>Foundation Governance</w:t>
            </w:r>
          </w:p>
        </w:tc>
        <w:tc>
          <w:tcPr>
            <w:tcW w:w="3064" w:type="dxa"/>
            <w:shd w:val="clear"/>
            <w:tcMar>
              <w:top w:w="150" w:type="dxa"/>
              <w:left w:w="240" w:type="dxa"/>
              <w:bottom w:w="150" w:type="dxa"/>
              <w:right w:w="240" w:type="dxa"/>
            </w:tcMar>
            <w:vAlign w:val="center"/>
          </w:tcPr>
          <w:p>
            <w:pPr>
              <w:rPr>
                <w:rFonts w:hint="default"/>
              </w:rPr>
            </w:pPr>
            <w:r>
              <w:rPr>
                <w:rFonts w:hint="default"/>
                <w:lang w:val="en-US" w:eastAsia="zh-CN"/>
              </w:rPr>
              <w:t>Protected</w:t>
            </w:r>
          </w:p>
        </w:tc>
        <w:tc>
          <w:tcPr>
            <w:tcW w:w="3107" w:type="dxa"/>
            <w:shd w:val="clear"/>
            <w:tcMar>
              <w:top w:w="150" w:type="dxa"/>
              <w:left w:w="240" w:type="dxa"/>
              <w:bottom w:w="150" w:type="dxa"/>
              <w:right w:w="240" w:type="dxa"/>
            </w:tcMar>
            <w:vAlign w:val="center"/>
          </w:tcPr>
          <w:p>
            <w:pPr>
              <w:rPr>
                <w:rFonts w:hint="default"/>
              </w:rPr>
            </w:pPr>
            <w:r>
              <w:rPr>
                <w:rFonts w:hint="default"/>
                <w:lang w:val="en-US" w:eastAsia="zh-CN"/>
              </w:rPr>
              <w:t>No Fund-based access</w:t>
            </w:r>
          </w:p>
        </w:tc>
        <w:tc>
          <w:tcPr>
            <w:tcW w:w="2506" w:type="dxa"/>
            <w:shd w:val="clear"/>
            <w:tcMar>
              <w:top w:w="150" w:type="dxa"/>
              <w:left w:w="240" w:type="dxa"/>
              <w:bottom w:w="150" w:type="dxa"/>
              <w:right w:w="240" w:type="dxa"/>
            </w:tcMar>
            <w:vAlign w:val="center"/>
          </w:tcPr>
          <w:p>
            <w:pPr>
              <w:rPr>
                <w:rFonts w:hint="default"/>
              </w:rPr>
            </w:pPr>
            <w:r>
              <w:rPr>
                <w:rFonts w:hint="default"/>
                <w:lang w:val="en-US" w:eastAsia="zh-CN"/>
              </w:rPr>
              <w:t>No Fund-based access</w:t>
            </w:r>
          </w:p>
        </w:tc>
        <w:tc>
          <w:tcPr>
            <w:tcW w:w="2629" w:type="dxa"/>
            <w:shd w:val="clear"/>
            <w:tcMar>
              <w:top w:w="150" w:type="dxa"/>
              <w:left w:w="240" w:type="dxa"/>
              <w:bottom w:w="150" w:type="dxa"/>
              <w:right w:w="0" w:type="dxa"/>
            </w:tcMar>
            <w:vAlign w:val="center"/>
          </w:tcPr>
          <w:p>
            <w:pPr>
              <w:rPr>
                <w:rFonts w:hint="default"/>
              </w:rPr>
            </w:pPr>
            <w:r>
              <w:rPr>
                <w:rFonts w:hint="default"/>
                <w:lang w:val="en-US" w:eastAsia="zh-CN"/>
              </w:rPr>
              <w:t>No Fund-based access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15" w:type="dxa"/>
            <w:shd w:val="clear"/>
            <w:tcMar>
              <w:top w:w="150" w:type="dxa"/>
              <w:left w:w="0" w:type="dxa"/>
              <w:bottom w:w="150" w:type="dxa"/>
              <w:right w:w="240" w:type="dxa"/>
            </w:tcMar>
            <w:vAlign w:val="center"/>
          </w:tcPr>
          <w:p>
            <w:pPr>
              <w:rPr>
                <w:rFonts w:hint="default"/>
              </w:rPr>
            </w:pPr>
            <w:r>
              <w:rPr>
                <w:rFonts w:hint="default"/>
                <w:lang w:val="en-US" w:eastAsia="zh-CN"/>
              </w:rPr>
              <w:t>Commercial Strategy</w:t>
            </w:r>
          </w:p>
        </w:tc>
        <w:tc>
          <w:tcPr>
            <w:tcW w:w="3064" w:type="dxa"/>
            <w:shd w:val="clear"/>
            <w:tcMar>
              <w:top w:w="150" w:type="dxa"/>
              <w:left w:w="240" w:type="dxa"/>
              <w:bottom w:w="150" w:type="dxa"/>
              <w:right w:w="240" w:type="dxa"/>
            </w:tcMar>
            <w:vAlign w:val="center"/>
          </w:tcPr>
          <w:p>
            <w:pPr>
              <w:rPr>
                <w:rFonts w:hint="default"/>
              </w:rPr>
            </w:pPr>
            <w:r>
              <w:rPr>
                <w:rFonts w:hint="default"/>
                <w:lang w:val="en-US" w:eastAsia="zh-CN"/>
              </w:rPr>
              <w:t>Mission/ownership framework</w:t>
            </w:r>
          </w:p>
        </w:tc>
        <w:tc>
          <w:tcPr>
            <w:tcW w:w="3107" w:type="dxa"/>
            <w:shd w:val="clear"/>
            <w:tcMar>
              <w:top w:w="150" w:type="dxa"/>
              <w:left w:w="240" w:type="dxa"/>
              <w:bottom w:w="150" w:type="dxa"/>
              <w:right w:w="240" w:type="dxa"/>
            </w:tcMar>
            <w:vAlign w:val="center"/>
          </w:tcPr>
          <w:p>
            <w:pPr>
              <w:rPr>
                <w:rFonts w:hint="default"/>
              </w:rPr>
            </w:pPr>
            <w:r>
              <w:rPr>
                <w:rFonts w:hint="default"/>
                <w:lang w:val="en-US" w:eastAsia="zh-CN"/>
              </w:rPr>
              <w:t>Strategic control</w:t>
            </w:r>
          </w:p>
        </w:tc>
        <w:tc>
          <w:tcPr>
            <w:tcW w:w="2506" w:type="dxa"/>
            <w:shd w:val="clear"/>
            <w:tcMar>
              <w:top w:w="150" w:type="dxa"/>
              <w:left w:w="240" w:type="dxa"/>
              <w:bottom w:w="150" w:type="dxa"/>
              <w:right w:w="240" w:type="dxa"/>
            </w:tcMar>
            <w:vAlign w:val="center"/>
          </w:tcPr>
          <w:p>
            <w:pPr>
              <w:rPr>
                <w:rFonts w:hint="default"/>
              </w:rPr>
            </w:pPr>
            <w:r>
              <w:rPr>
                <w:rFonts w:hint="default"/>
                <w:lang w:val="en-US" w:eastAsia="zh-CN"/>
              </w:rPr>
              <w:t>Execution</w:t>
            </w:r>
          </w:p>
        </w:tc>
        <w:tc>
          <w:tcPr>
            <w:tcW w:w="2629" w:type="dxa"/>
            <w:shd w:val="clear"/>
            <w:tcMar>
              <w:top w:w="150" w:type="dxa"/>
              <w:left w:w="240" w:type="dxa"/>
              <w:bottom w:w="150" w:type="dxa"/>
              <w:right w:w="0" w:type="dxa"/>
            </w:tcMar>
            <w:vAlign w:val="center"/>
          </w:tcPr>
          <w:p>
            <w:pPr>
              <w:rPr>
                <w:rFonts w:hint="default"/>
              </w:rPr>
            </w:pPr>
            <w:r>
              <w:rPr>
                <w:rFonts w:hint="default"/>
                <w:lang w:val="en-US" w:eastAsia="zh-CN"/>
              </w:rPr>
              <w:t>No direct control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15" w:type="dxa"/>
            <w:shd w:val="clear"/>
            <w:tcMar>
              <w:top w:w="150" w:type="dxa"/>
              <w:left w:w="0" w:type="dxa"/>
              <w:bottom w:w="150" w:type="dxa"/>
              <w:right w:w="240" w:type="dxa"/>
            </w:tcMar>
            <w:vAlign w:val="center"/>
          </w:tcPr>
          <w:p>
            <w:pPr>
              <w:rPr>
                <w:rFonts w:hint="default"/>
              </w:rPr>
            </w:pPr>
            <w:r>
              <w:rPr>
                <w:rFonts w:hint="default"/>
                <w:lang w:val="en-US" w:eastAsia="zh-CN"/>
              </w:rPr>
              <w:t>Operating Decisions</w:t>
            </w:r>
          </w:p>
        </w:tc>
        <w:tc>
          <w:tcPr>
            <w:tcW w:w="3064" w:type="dxa"/>
            <w:shd w:val="clear"/>
            <w:tcMar>
              <w:top w:w="150" w:type="dxa"/>
              <w:left w:w="240" w:type="dxa"/>
              <w:bottom w:w="150" w:type="dxa"/>
              <w:right w:w="240" w:type="dxa"/>
            </w:tcMar>
            <w:vAlign w:val="center"/>
          </w:tcPr>
          <w:p>
            <w:pPr>
              <w:rPr>
                <w:rFonts w:hint="default"/>
              </w:rPr>
            </w:pPr>
            <w:r>
              <w:rPr>
                <w:rFonts w:hint="default"/>
                <w:lang w:val="en-US" w:eastAsia="zh-CN"/>
              </w:rPr>
              <w:t>Oversight architecture</w:t>
            </w:r>
          </w:p>
        </w:tc>
        <w:tc>
          <w:tcPr>
            <w:tcW w:w="3107" w:type="dxa"/>
            <w:shd w:val="clear"/>
            <w:tcMar>
              <w:top w:w="150" w:type="dxa"/>
              <w:left w:w="240" w:type="dxa"/>
              <w:bottom w:w="150" w:type="dxa"/>
              <w:right w:w="240" w:type="dxa"/>
            </w:tcMar>
            <w:vAlign w:val="center"/>
          </w:tcPr>
          <w:p>
            <w:pPr>
              <w:rPr>
                <w:rFonts w:hint="default"/>
              </w:rPr>
            </w:pPr>
            <w:r>
              <w:rPr>
                <w:rFonts w:hint="default"/>
                <w:lang w:val="en-US" w:eastAsia="zh-CN"/>
              </w:rPr>
              <w:t>Strategic oversight</w:t>
            </w:r>
          </w:p>
        </w:tc>
        <w:tc>
          <w:tcPr>
            <w:tcW w:w="2506" w:type="dxa"/>
            <w:shd w:val="clear"/>
            <w:tcMar>
              <w:top w:w="150" w:type="dxa"/>
              <w:left w:w="240" w:type="dxa"/>
              <w:bottom w:w="150" w:type="dxa"/>
              <w:right w:w="240" w:type="dxa"/>
            </w:tcMar>
            <w:vAlign w:val="center"/>
          </w:tcPr>
          <w:p>
            <w:pPr>
              <w:rPr>
                <w:rFonts w:hint="default"/>
              </w:rPr>
            </w:pPr>
            <w:r>
              <w:rPr>
                <w:rFonts w:hint="default"/>
                <w:lang w:val="en-US" w:eastAsia="zh-CN"/>
              </w:rPr>
              <w:t>Operational authority</w:t>
            </w:r>
          </w:p>
        </w:tc>
        <w:tc>
          <w:tcPr>
            <w:tcW w:w="2629" w:type="dxa"/>
            <w:shd w:val="clear"/>
            <w:tcMar>
              <w:top w:w="150" w:type="dxa"/>
              <w:left w:w="240" w:type="dxa"/>
              <w:bottom w:w="150" w:type="dxa"/>
              <w:right w:w="0" w:type="dxa"/>
            </w:tcMar>
            <w:vAlign w:val="center"/>
          </w:tcPr>
          <w:p>
            <w:pPr>
              <w:rPr>
                <w:rFonts w:hint="default"/>
              </w:rPr>
            </w:pPr>
            <w:r>
              <w:rPr>
                <w:rFonts w:hint="default"/>
                <w:lang w:val="en-US" w:eastAsia="zh-CN"/>
              </w:rPr>
              <w:t>No direct authority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15" w:type="dxa"/>
            <w:shd w:val="clear"/>
            <w:tcMar>
              <w:top w:w="150" w:type="dxa"/>
              <w:left w:w="0" w:type="dxa"/>
              <w:bottom w:w="150" w:type="dxa"/>
              <w:right w:w="240" w:type="dxa"/>
            </w:tcMar>
            <w:vAlign w:val="center"/>
          </w:tcPr>
          <w:p>
            <w:pPr>
              <w:rPr>
                <w:rFonts w:hint="default"/>
              </w:rPr>
            </w:pPr>
            <w:r>
              <w:rPr>
                <w:rFonts w:hint="default"/>
                <w:lang w:val="en-US" w:eastAsia="zh-CN"/>
              </w:rPr>
              <w:t>Underlying Company Governance</w:t>
            </w:r>
          </w:p>
        </w:tc>
        <w:tc>
          <w:tcPr>
            <w:tcW w:w="3064" w:type="dxa"/>
            <w:shd w:val="clear"/>
            <w:tcMar>
              <w:top w:w="150" w:type="dxa"/>
              <w:left w:w="240" w:type="dxa"/>
              <w:bottom w:w="150" w:type="dxa"/>
              <w:right w:w="240" w:type="dxa"/>
            </w:tcMar>
            <w:vAlign w:val="center"/>
          </w:tcPr>
          <w:p>
            <w:pPr>
              <w:rPr>
                <w:rFonts w:hint="default"/>
              </w:rPr>
            </w:pPr>
            <w:r>
              <w:rPr>
                <w:rFonts w:hint="default"/>
                <w:lang w:val="en-US" w:eastAsia="zh-CN"/>
              </w:rPr>
              <w:t>According to applicable structure</w:t>
            </w:r>
          </w:p>
        </w:tc>
        <w:tc>
          <w:tcPr>
            <w:tcW w:w="3107" w:type="dxa"/>
            <w:shd w:val="clear"/>
            <w:tcMar>
              <w:top w:w="150" w:type="dxa"/>
              <w:left w:w="240" w:type="dxa"/>
              <w:bottom w:w="150" w:type="dxa"/>
              <w:right w:w="240" w:type="dxa"/>
            </w:tcMar>
            <w:vAlign w:val="center"/>
          </w:tcPr>
          <w:p>
            <w:pPr>
              <w:rPr>
                <w:rFonts w:hint="default"/>
              </w:rPr>
            </w:pPr>
            <w:r>
              <w:rPr>
                <w:rFonts w:hint="default"/>
                <w:lang w:val="en-US" w:eastAsia="zh-CN"/>
              </w:rPr>
              <w:t>Ownership/governance rights</w:t>
            </w:r>
          </w:p>
        </w:tc>
        <w:tc>
          <w:tcPr>
            <w:tcW w:w="2506" w:type="dxa"/>
            <w:shd w:val="clear"/>
            <w:tcMar>
              <w:top w:w="150" w:type="dxa"/>
              <w:left w:w="240" w:type="dxa"/>
              <w:bottom w:w="150" w:type="dxa"/>
              <w:right w:w="240" w:type="dxa"/>
            </w:tcMar>
            <w:vAlign w:val="center"/>
          </w:tcPr>
          <w:p>
            <w:pPr>
              <w:rPr>
                <w:rFonts w:hint="default"/>
              </w:rPr>
            </w:pPr>
            <w:r>
              <w:rPr>
                <w:rFonts w:hint="default"/>
                <w:lang w:val="en-US" w:eastAsia="zh-CN"/>
              </w:rPr>
              <w:t>Management</w:t>
            </w:r>
          </w:p>
        </w:tc>
        <w:tc>
          <w:tcPr>
            <w:tcW w:w="2629" w:type="dxa"/>
            <w:shd w:val="clear"/>
            <w:tcMar>
              <w:top w:w="150" w:type="dxa"/>
              <w:left w:w="240" w:type="dxa"/>
              <w:bottom w:w="150" w:type="dxa"/>
              <w:right w:w="0" w:type="dxa"/>
            </w:tcMar>
            <w:vAlign w:val="center"/>
          </w:tcPr>
          <w:p>
            <w:pPr>
              <w:rPr>
                <w:rFonts w:hint="default"/>
              </w:rPr>
            </w:pPr>
            <w:r>
              <w:rPr>
                <w:rFonts w:hint="default"/>
                <w:lang w:val="en-US" w:eastAsia="zh-CN"/>
              </w:rPr>
              <w:t>No direct rights through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15" w:type="dxa"/>
            <w:shd w:val="clear"/>
            <w:tcMar>
              <w:top w:w="150" w:type="dxa"/>
              <w:left w:w="0" w:type="dxa"/>
              <w:bottom w:w="150" w:type="dxa"/>
              <w:right w:w="240" w:type="dxa"/>
            </w:tcMar>
            <w:vAlign w:val="center"/>
          </w:tcPr>
          <w:p>
            <w:pPr>
              <w:rPr>
                <w:rFonts w:hint="default"/>
              </w:rPr>
            </w:pPr>
            <w:r>
              <w:rPr>
                <w:rFonts w:hint="default"/>
                <w:lang w:val="en-US" w:eastAsia="zh-CN"/>
              </w:rPr>
              <w:t>Vaulted Share Voting</w:t>
            </w:r>
          </w:p>
        </w:tc>
        <w:tc>
          <w:tcPr>
            <w:tcW w:w="3064" w:type="dxa"/>
            <w:shd w:val="clear"/>
            <w:tcMar>
              <w:top w:w="150" w:type="dxa"/>
              <w:left w:w="240" w:type="dxa"/>
              <w:bottom w:w="150" w:type="dxa"/>
              <w:right w:w="240" w:type="dxa"/>
            </w:tcMar>
            <w:vAlign w:val="center"/>
          </w:tcPr>
          <w:p>
            <w:pPr>
              <w:rPr>
                <w:rFonts w:hint="default"/>
              </w:rPr>
            </w:pPr>
            <w:r>
              <w:rPr>
                <w:rFonts w:hint="default"/>
                <w:lang w:val="en-US" w:eastAsia="zh-CN"/>
              </w:rPr>
              <w:t>N/A</w:t>
            </w:r>
          </w:p>
        </w:tc>
        <w:tc>
          <w:tcPr>
            <w:tcW w:w="3107" w:type="dxa"/>
            <w:shd w:val="clear"/>
            <w:tcMar>
              <w:top w:w="150" w:type="dxa"/>
              <w:left w:w="240" w:type="dxa"/>
              <w:bottom w:w="150" w:type="dxa"/>
              <w:right w:w="240" w:type="dxa"/>
            </w:tcMar>
            <w:vAlign w:val="center"/>
          </w:tcPr>
          <w:p>
            <w:pPr>
              <w:rPr>
                <w:rFonts w:hint="default"/>
              </w:rPr>
            </w:pPr>
            <w:r>
              <w:rPr>
                <w:rFonts w:hint="default"/>
                <w:lang w:val="en-US" w:eastAsia="zh-CN"/>
              </w:rPr>
              <w:t>N/A</w:t>
            </w:r>
          </w:p>
        </w:tc>
        <w:tc>
          <w:tcPr>
            <w:tcW w:w="2506" w:type="dxa"/>
            <w:shd w:val="clear"/>
            <w:tcMar>
              <w:top w:w="150" w:type="dxa"/>
              <w:left w:w="240" w:type="dxa"/>
              <w:bottom w:w="150" w:type="dxa"/>
              <w:right w:w="240" w:type="dxa"/>
            </w:tcMar>
            <w:vAlign w:val="center"/>
          </w:tcPr>
          <w:p>
            <w:pPr>
              <w:rPr>
                <w:rFonts w:hint="default"/>
              </w:rPr>
            </w:pPr>
            <w:r>
              <w:rPr>
                <w:rFonts w:hint="default"/>
                <w:lang w:val="en-US" w:eastAsia="zh-CN"/>
              </w:rPr>
              <w:t>Asset-locked; no Fund voting</w:t>
            </w:r>
          </w:p>
        </w:tc>
        <w:tc>
          <w:tcPr>
            <w:tcW w:w="2629" w:type="dxa"/>
            <w:shd w:val="clear"/>
            <w:tcMar>
              <w:top w:w="150" w:type="dxa"/>
              <w:left w:w="240" w:type="dxa"/>
              <w:bottom w:w="150" w:type="dxa"/>
              <w:right w:w="0" w:type="dxa"/>
            </w:tcMar>
            <w:vAlign w:val="center"/>
          </w:tcPr>
          <w:p>
            <w:pPr>
              <w:rPr>
                <w:rFonts w:hint="default"/>
              </w:rPr>
            </w:pPr>
            <w:r>
              <w:rPr>
                <w:rFonts w:hint="default"/>
                <w:lang w:val="en-US" w:eastAsia="zh-CN"/>
              </w:rPr>
              <w:t>No voting rights through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15" w:type="dxa"/>
            <w:shd w:val="clear"/>
            <w:tcMar>
              <w:top w:w="150" w:type="dxa"/>
              <w:left w:w="0" w:type="dxa"/>
              <w:bottom w:w="150" w:type="dxa"/>
              <w:right w:w="240" w:type="dxa"/>
            </w:tcMar>
            <w:vAlign w:val="center"/>
          </w:tcPr>
          <w:p>
            <w:pPr>
              <w:rPr>
                <w:rFonts w:hint="default"/>
              </w:rPr>
            </w:pPr>
            <w:r>
              <w:rPr>
                <w:rFonts w:hint="default"/>
                <w:lang w:val="en-US" w:eastAsia="zh-CN"/>
              </w:rPr>
              <w:t>Fund Portfolio Economics</w:t>
            </w:r>
          </w:p>
        </w:tc>
        <w:tc>
          <w:tcPr>
            <w:tcW w:w="3064" w:type="dxa"/>
            <w:shd w:val="clear"/>
            <w:tcMar>
              <w:top w:w="150" w:type="dxa"/>
              <w:left w:w="240" w:type="dxa"/>
              <w:bottom w:w="150" w:type="dxa"/>
              <w:right w:w="240" w:type="dxa"/>
            </w:tcMar>
            <w:vAlign w:val="center"/>
          </w:tcPr>
          <w:p>
            <w:pPr>
              <w:rPr>
                <w:rFonts w:hint="default"/>
              </w:rPr>
            </w:pPr>
            <w:r>
              <w:rPr>
                <w:rFonts w:hint="default"/>
                <w:lang w:val="en-US" w:eastAsia="zh-CN"/>
              </w:rPr>
              <w:t>Defined upstream interest</w:t>
            </w:r>
          </w:p>
        </w:tc>
        <w:tc>
          <w:tcPr>
            <w:tcW w:w="3107" w:type="dxa"/>
            <w:shd w:val="clear"/>
            <w:tcMar>
              <w:top w:w="150" w:type="dxa"/>
              <w:left w:w="240" w:type="dxa"/>
              <w:bottom w:w="150" w:type="dxa"/>
              <w:right w:w="240" w:type="dxa"/>
            </w:tcMar>
            <w:vAlign w:val="center"/>
          </w:tcPr>
          <w:p>
            <w:pPr>
              <w:rPr>
                <w:rFonts w:hint="default"/>
              </w:rPr>
            </w:pPr>
            <w:r>
              <w:rPr>
                <w:rFonts w:hint="default"/>
                <w:lang w:val="en-US" w:eastAsia="zh-CN"/>
              </w:rPr>
              <w:t>Commercial interface</w:t>
            </w:r>
          </w:p>
        </w:tc>
        <w:tc>
          <w:tcPr>
            <w:tcW w:w="2506" w:type="dxa"/>
            <w:shd w:val="clear"/>
            <w:tcMar>
              <w:top w:w="150" w:type="dxa"/>
              <w:left w:w="240" w:type="dxa"/>
              <w:bottom w:w="150" w:type="dxa"/>
              <w:right w:w="240" w:type="dxa"/>
            </w:tcMar>
            <w:vAlign w:val="center"/>
          </w:tcPr>
          <w:p>
            <w:pPr>
              <w:rPr>
                <w:rFonts w:hint="default"/>
              </w:rPr>
            </w:pPr>
            <w:r>
              <w:rPr>
                <w:rFonts w:hint="default"/>
                <w:lang w:val="en-US" w:eastAsia="zh-CN"/>
              </w:rPr>
              <w:t>Asset participation where eligible</w:t>
            </w:r>
          </w:p>
        </w:tc>
        <w:tc>
          <w:tcPr>
            <w:tcW w:w="2629" w:type="dxa"/>
            <w:shd w:val="clear"/>
            <w:tcMar>
              <w:top w:w="150" w:type="dxa"/>
              <w:left w:w="240" w:type="dxa"/>
              <w:bottom w:w="150" w:type="dxa"/>
              <w:right w:w="0" w:type="dxa"/>
            </w:tcMar>
            <w:vAlign w:val="center"/>
          </w:tcPr>
          <w:p>
            <w:pPr>
              <w:rPr>
                <w:rFonts w:hint="default"/>
              </w:rPr>
            </w:pPr>
            <w:r>
              <w:rPr>
                <w:rFonts w:hint="default"/>
                <w:lang w:val="en-US" w:eastAsia="zh-CN"/>
              </w:rPr>
              <w:t>Economic participation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15" w:type="dxa"/>
            <w:shd w:val="clear"/>
            <w:tcMar>
              <w:top w:w="150" w:type="dxa"/>
              <w:left w:w="0" w:type="dxa"/>
              <w:bottom w:w="150" w:type="dxa"/>
              <w:right w:w="240" w:type="dxa"/>
            </w:tcMar>
            <w:vAlign w:val="center"/>
          </w:tcPr>
          <w:p>
            <w:pPr>
              <w:rPr>
                <w:rFonts w:hint="default"/>
              </w:rPr>
            </w:pPr>
            <w:r>
              <w:rPr>
                <w:rFonts w:hint="default"/>
                <w:lang w:val="en-US" w:eastAsia="zh-CN"/>
              </w:rPr>
              <w:t>Fund NAV</w:t>
            </w:r>
          </w:p>
        </w:tc>
        <w:tc>
          <w:tcPr>
            <w:tcW w:w="3064" w:type="dxa"/>
            <w:shd w:val="clear"/>
            <w:tcMar>
              <w:top w:w="150" w:type="dxa"/>
              <w:left w:w="240" w:type="dxa"/>
              <w:bottom w:w="150" w:type="dxa"/>
              <w:right w:w="240" w:type="dxa"/>
            </w:tcMar>
            <w:vAlign w:val="center"/>
          </w:tcPr>
          <w:p>
            <w:pPr>
              <w:rPr>
                <w:rFonts w:hint="default"/>
              </w:rPr>
            </w:pPr>
            <w:r>
              <w:rPr>
                <w:rFonts w:hint="default"/>
                <w:lang w:val="en-US" w:eastAsia="zh-CN"/>
              </w:rPr>
              <w:t>No direct control</w:t>
            </w:r>
          </w:p>
        </w:tc>
        <w:tc>
          <w:tcPr>
            <w:tcW w:w="3107" w:type="dxa"/>
            <w:shd w:val="clear"/>
            <w:tcMar>
              <w:top w:w="150" w:type="dxa"/>
              <w:left w:w="240" w:type="dxa"/>
              <w:bottom w:w="150" w:type="dxa"/>
              <w:right w:w="240" w:type="dxa"/>
            </w:tcMar>
            <w:vAlign w:val="center"/>
          </w:tcPr>
          <w:p>
            <w:pPr>
              <w:rPr>
                <w:rFonts w:hint="default"/>
              </w:rPr>
            </w:pPr>
            <w:r>
              <w:rPr>
                <w:rFonts w:hint="default"/>
                <w:lang w:val="en-US" w:eastAsia="zh-CN"/>
              </w:rPr>
              <w:t>No direct unit-holder control</w:t>
            </w:r>
          </w:p>
        </w:tc>
        <w:tc>
          <w:tcPr>
            <w:tcW w:w="2506" w:type="dxa"/>
            <w:shd w:val="clear"/>
            <w:tcMar>
              <w:top w:w="150" w:type="dxa"/>
              <w:left w:w="240" w:type="dxa"/>
              <w:bottom w:w="150" w:type="dxa"/>
              <w:right w:w="240" w:type="dxa"/>
            </w:tcMar>
            <w:vAlign w:val="center"/>
          </w:tcPr>
          <w:p>
            <w:pPr>
              <w:rPr>
                <w:rFonts w:hint="default"/>
              </w:rPr>
            </w:pPr>
            <w:r>
              <w:rPr>
                <w:rFonts w:hint="default"/>
                <w:lang w:val="en-US" w:eastAsia="zh-CN"/>
              </w:rPr>
              <w:t>No direct unit-holder control</w:t>
            </w:r>
          </w:p>
        </w:tc>
        <w:tc>
          <w:tcPr>
            <w:tcW w:w="2629" w:type="dxa"/>
            <w:shd w:val="clear"/>
            <w:tcMar>
              <w:top w:w="150" w:type="dxa"/>
              <w:left w:w="240" w:type="dxa"/>
              <w:bottom w:w="150" w:type="dxa"/>
              <w:right w:w="0" w:type="dxa"/>
            </w:tcMar>
            <w:vAlign w:val="center"/>
          </w:tcPr>
          <w:p>
            <w:pPr>
              <w:rPr>
                <w:rFonts w:hint="default"/>
              </w:rPr>
            </w:pPr>
            <w:r>
              <w:rPr>
                <w:rFonts w:hint="default"/>
                <w:lang w:val="en-US" w:eastAsia="zh-CN"/>
              </w:rPr>
              <w:t>Economic exposure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15" w:type="dxa"/>
            <w:shd w:val="clear"/>
            <w:tcMar>
              <w:top w:w="150" w:type="dxa"/>
              <w:left w:w="0" w:type="dxa"/>
              <w:bottom w:w="150" w:type="dxa"/>
              <w:right w:w="240" w:type="dxa"/>
            </w:tcMar>
            <w:vAlign w:val="center"/>
          </w:tcPr>
          <w:p>
            <w:pPr>
              <w:rPr>
                <w:rFonts w:hint="default"/>
              </w:rPr>
            </w:pPr>
            <w:r>
              <w:rPr>
                <w:rFonts w:hint="default"/>
                <w:lang w:val="en-US" w:eastAsia="zh-CN"/>
              </w:rPr>
              <w:t>Foundation Golden Vote</w:t>
            </w:r>
          </w:p>
        </w:tc>
        <w:tc>
          <w:tcPr>
            <w:tcW w:w="3064" w:type="dxa"/>
            <w:shd w:val="clear"/>
            <w:tcMar>
              <w:top w:w="150" w:type="dxa"/>
              <w:left w:w="240" w:type="dxa"/>
              <w:bottom w:w="150" w:type="dxa"/>
              <w:right w:w="240" w:type="dxa"/>
            </w:tcMar>
            <w:vAlign w:val="center"/>
          </w:tcPr>
          <w:p>
            <w:pPr>
              <w:rPr>
                <w:rFonts w:hint="default"/>
              </w:rPr>
            </w:pPr>
            <w:r>
              <w:rPr>
                <w:rFonts w:hint="default"/>
                <w:lang w:val="en-US" w:eastAsia="zh-CN"/>
              </w:rPr>
              <w:t>Protected</w:t>
            </w:r>
          </w:p>
        </w:tc>
        <w:tc>
          <w:tcPr>
            <w:tcW w:w="3107" w:type="dxa"/>
            <w:shd w:val="clear"/>
            <w:tcMar>
              <w:top w:w="150" w:type="dxa"/>
              <w:left w:w="240" w:type="dxa"/>
              <w:bottom w:w="150" w:type="dxa"/>
              <w:right w:w="240" w:type="dxa"/>
            </w:tcMar>
            <w:vAlign w:val="center"/>
          </w:tcPr>
          <w:p>
            <w:pPr>
              <w:rPr>
                <w:rFonts w:hint="default"/>
              </w:rPr>
            </w:pPr>
            <w:r>
              <w:rPr>
                <w:rFonts w:hint="default"/>
                <w:lang w:val="en-US" w:eastAsia="zh-CN"/>
              </w:rPr>
              <w:t>Subject to governing structure</w:t>
            </w:r>
          </w:p>
        </w:tc>
        <w:tc>
          <w:tcPr>
            <w:tcW w:w="2506" w:type="dxa"/>
            <w:shd w:val="clear"/>
            <w:tcMar>
              <w:top w:w="150" w:type="dxa"/>
              <w:left w:w="240" w:type="dxa"/>
              <w:bottom w:w="150" w:type="dxa"/>
              <w:right w:w="240" w:type="dxa"/>
            </w:tcMar>
            <w:vAlign w:val="center"/>
          </w:tcPr>
          <w:p>
            <w:pPr>
              <w:rPr>
                <w:rFonts w:hint="default"/>
              </w:rPr>
            </w:pPr>
            <w:r>
              <w:rPr>
                <w:rFonts w:hint="default"/>
                <w:lang w:val="en-US" w:eastAsia="zh-CN"/>
              </w:rPr>
              <w:t>Subject to governing structure</w:t>
            </w:r>
          </w:p>
        </w:tc>
        <w:tc>
          <w:tcPr>
            <w:tcW w:w="2629" w:type="dxa"/>
            <w:shd w:val="clear"/>
            <w:tcMar>
              <w:top w:w="150" w:type="dxa"/>
              <w:left w:w="240" w:type="dxa"/>
              <w:bottom w:w="150" w:type="dxa"/>
              <w:right w:w="0" w:type="dxa"/>
            </w:tcMar>
            <w:vAlign w:val="center"/>
          </w:tcPr>
          <w:p>
            <w:pPr>
              <w:rPr>
                <w:rFonts w:hint="default"/>
              </w:rPr>
            </w:pPr>
            <w:r>
              <w:rPr>
                <w:rFonts w:hint="default"/>
                <w:lang w:val="en-US" w:eastAsia="zh-CN"/>
              </w:rPr>
              <w:t>No Fund-based access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15" w:type="dxa"/>
            <w:shd w:val="clear"/>
            <w:tcMar>
              <w:top w:w="150" w:type="dxa"/>
              <w:left w:w="0" w:type="dxa"/>
              <w:bottom w:w="150" w:type="dxa"/>
              <w:right w:w="240" w:type="dxa"/>
            </w:tcMar>
            <w:vAlign w:val="center"/>
          </w:tcPr>
          <w:p>
            <w:pPr>
              <w:rPr>
                <w:rFonts w:hint="default"/>
              </w:rPr>
            </w:pPr>
            <w:r>
              <w:rPr>
                <w:rFonts w:hint="default"/>
                <w:lang w:val="en-US" w:eastAsia="zh-CN"/>
              </w:rPr>
              <w:t>Land Settlement</w:t>
            </w:r>
          </w:p>
        </w:tc>
        <w:tc>
          <w:tcPr>
            <w:tcW w:w="3064" w:type="dxa"/>
            <w:shd w:val="clear"/>
            <w:tcMar>
              <w:top w:w="150" w:type="dxa"/>
              <w:left w:w="240" w:type="dxa"/>
              <w:bottom w:w="150" w:type="dxa"/>
              <w:right w:w="240" w:type="dxa"/>
            </w:tcMar>
            <w:vAlign w:val="center"/>
          </w:tcPr>
          <w:p>
            <w:pPr>
              <w:rPr>
                <w:rFonts w:hint="default"/>
              </w:rPr>
            </w:pPr>
            <w:r>
              <w:rPr>
                <w:rFonts w:hint="default"/>
                <w:lang w:val="en-US" w:eastAsia="zh-CN"/>
              </w:rPr>
              <w:t>May participate where applicable</w:t>
            </w:r>
          </w:p>
        </w:tc>
        <w:tc>
          <w:tcPr>
            <w:tcW w:w="3107" w:type="dxa"/>
            <w:shd w:val="clear"/>
            <w:tcMar>
              <w:top w:w="150" w:type="dxa"/>
              <w:left w:w="240" w:type="dxa"/>
              <w:bottom w:w="150" w:type="dxa"/>
              <w:right w:w="240" w:type="dxa"/>
            </w:tcMar>
            <w:vAlign w:val="center"/>
          </w:tcPr>
          <w:p>
            <w:pPr>
              <w:rPr>
                <w:rFonts w:hint="default"/>
              </w:rPr>
            </w:pPr>
            <w:r>
              <w:rPr>
                <w:rFonts w:hint="default"/>
                <w:lang w:val="en-US" w:eastAsia="zh-CN"/>
              </w:rPr>
              <w:t>May participate where applicable</w:t>
            </w:r>
          </w:p>
        </w:tc>
        <w:tc>
          <w:tcPr>
            <w:tcW w:w="2506" w:type="dxa"/>
            <w:shd w:val="clear"/>
            <w:tcMar>
              <w:top w:w="150" w:type="dxa"/>
              <w:left w:w="240" w:type="dxa"/>
              <w:bottom w:w="150" w:type="dxa"/>
              <w:right w:w="240" w:type="dxa"/>
            </w:tcMar>
            <w:vAlign w:val="center"/>
          </w:tcPr>
          <w:p>
            <w:pPr>
              <w:rPr>
                <w:rFonts w:hint="default"/>
              </w:rPr>
            </w:pPr>
            <w:r>
              <w:rPr>
                <w:rFonts w:hint="default"/>
                <w:lang w:val="en-US" w:eastAsia="zh-CN"/>
              </w:rPr>
              <w:t>May participate where applicable</w:t>
            </w:r>
          </w:p>
        </w:tc>
        <w:tc>
          <w:tcPr>
            <w:tcW w:w="2629" w:type="dxa"/>
            <w:shd w:val="clear"/>
            <w:tcMar>
              <w:top w:w="150" w:type="dxa"/>
              <w:left w:w="240" w:type="dxa"/>
              <w:bottom w:w="150" w:type="dxa"/>
              <w:right w:w="0" w:type="dxa"/>
            </w:tcMar>
            <w:vAlign w:val="center"/>
          </w:tcPr>
          <w:p>
            <w:pPr>
              <w:rPr>
                <w:rFonts w:hint="default"/>
              </w:rPr>
            </w:pPr>
            <w:r>
              <w:rPr>
                <w:rFonts w:hint="default"/>
                <w:lang w:val="en-US" w:eastAsia="zh-CN"/>
              </w:rPr>
              <w:t>May receive/hold Units where permitted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15" w:type="dxa"/>
            <w:shd w:val="clear"/>
            <w:tcMar>
              <w:top w:w="150" w:type="dxa"/>
              <w:left w:w="0" w:type="dxa"/>
              <w:bottom w:w="150" w:type="dxa"/>
              <w:right w:w="240" w:type="dxa"/>
            </w:tcMar>
            <w:vAlign w:val="center"/>
          </w:tcPr>
          <w:p>
            <w:pPr>
              <w:rPr>
                <w:rFonts w:hint="default"/>
              </w:rPr>
            </w:pPr>
            <w:r>
              <w:rPr>
                <w:rFonts w:hint="default"/>
                <w:lang w:val="en-US" w:eastAsia="zh-CN"/>
              </w:rPr>
              <w:t>Fund Liquidity</w:t>
            </w:r>
          </w:p>
        </w:tc>
        <w:tc>
          <w:tcPr>
            <w:tcW w:w="3064" w:type="dxa"/>
            <w:shd w:val="clear"/>
            <w:tcMar>
              <w:top w:w="150" w:type="dxa"/>
              <w:left w:w="240" w:type="dxa"/>
              <w:bottom w:w="150" w:type="dxa"/>
              <w:right w:w="240" w:type="dxa"/>
            </w:tcMar>
            <w:vAlign w:val="center"/>
          </w:tcPr>
          <w:p>
            <w:pPr>
              <w:rPr>
                <w:rFonts w:hint="default"/>
              </w:rPr>
            </w:pPr>
            <w:r>
              <w:rPr>
                <w:rFonts w:hint="default"/>
                <w:lang w:val="en-US" w:eastAsia="zh-CN"/>
              </w:rPr>
              <w:t>No direct control</w:t>
            </w:r>
          </w:p>
        </w:tc>
        <w:tc>
          <w:tcPr>
            <w:tcW w:w="3107" w:type="dxa"/>
            <w:shd w:val="clear"/>
            <w:tcMar>
              <w:top w:w="150" w:type="dxa"/>
              <w:left w:w="240" w:type="dxa"/>
              <w:bottom w:w="150" w:type="dxa"/>
              <w:right w:w="240" w:type="dxa"/>
            </w:tcMar>
            <w:vAlign w:val="center"/>
          </w:tcPr>
          <w:p>
            <w:pPr>
              <w:rPr>
                <w:rFonts w:hint="default"/>
              </w:rPr>
            </w:pPr>
            <w:r>
              <w:rPr>
                <w:rFonts w:hint="default"/>
                <w:lang w:val="en-US" w:eastAsia="zh-CN"/>
              </w:rPr>
              <w:t>No direct control</w:t>
            </w:r>
          </w:p>
        </w:tc>
        <w:tc>
          <w:tcPr>
            <w:tcW w:w="2506" w:type="dxa"/>
            <w:shd w:val="clear"/>
            <w:tcMar>
              <w:top w:w="150" w:type="dxa"/>
              <w:left w:w="240" w:type="dxa"/>
              <w:bottom w:w="150" w:type="dxa"/>
              <w:right w:w="240" w:type="dxa"/>
            </w:tcMar>
            <w:vAlign w:val="center"/>
          </w:tcPr>
          <w:p>
            <w:pPr>
              <w:rPr>
                <w:rFonts w:hint="default"/>
              </w:rPr>
            </w:pPr>
            <w:r>
              <w:rPr>
                <w:rFonts w:hint="default"/>
                <w:lang w:val="en-US" w:eastAsia="zh-CN"/>
              </w:rPr>
              <w:t>No direct control</w:t>
            </w:r>
          </w:p>
        </w:tc>
        <w:tc>
          <w:tcPr>
            <w:tcW w:w="2629" w:type="dxa"/>
            <w:shd w:val="clear"/>
            <w:tcMar>
              <w:top w:w="150" w:type="dxa"/>
              <w:left w:w="240" w:type="dxa"/>
              <w:bottom w:w="150" w:type="dxa"/>
              <w:right w:w="0" w:type="dxa"/>
            </w:tcMar>
            <w:vAlign w:val="center"/>
          </w:tcPr>
          <w:p>
            <w:pPr>
              <w:rPr>
                <w:rFonts w:hint="default"/>
              </w:rPr>
            </w:pPr>
            <w:r>
              <w:rPr>
                <w:rFonts w:hint="default"/>
                <w:lang w:val="en-US" w:eastAsia="zh-CN"/>
              </w:rPr>
              <w:t>Subject to Fund terms and applicable law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15" w:type="dxa"/>
            <w:shd w:val="clear"/>
            <w:tcMar>
              <w:top w:w="150" w:type="dxa"/>
              <w:left w:w="0" w:type="dxa"/>
              <w:bottom w:w="150" w:type="dxa"/>
              <w:right w:w="240" w:type="dxa"/>
            </w:tcMar>
            <w:vAlign w:val="center"/>
          </w:tcPr>
          <w:p>
            <w:pPr>
              <w:rPr>
                <w:rFonts w:hint="default"/>
              </w:rPr>
            </w:pPr>
            <w:r>
              <w:rPr>
                <w:rFonts w:hint="default"/>
                <w:lang w:val="en-US" w:eastAsia="zh-CN"/>
              </w:rPr>
              <w:t>Fund Governance</w:t>
            </w:r>
          </w:p>
        </w:tc>
        <w:tc>
          <w:tcPr>
            <w:tcW w:w="3064" w:type="dxa"/>
            <w:shd w:val="clear"/>
            <w:tcMar>
              <w:top w:w="150" w:type="dxa"/>
              <w:left w:w="240" w:type="dxa"/>
              <w:bottom w:w="150" w:type="dxa"/>
              <w:right w:w="240" w:type="dxa"/>
            </w:tcMar>
            <w:vAlign w:val="center"/>
          </w:tcPr>
          <w:p>
            <w:pPr>
              <w:rPr>
                <w:rFonts w:hint="default"/>
              </w:rPr>
            </w:pPr>
            <w:r>
              <w:rPr>
                <w:rFonts w:hint="default"/>
                <w:lang w:val="en-US" w:eastAsia="zh-CN"/>
              </w:rPr>
              <w:t>Appoints VCC Board via Steward President</w:t>
            </w:r>
          </w:p>
        </w:tc>
        <w:tc>
          <w:tcPr>
            <w:tcW w:w="3107" w:type="dxa"/>
            <w:shd w:val="clear"/>
            <w:tcMar>
              <w:top w:w="150" w:type="dxa"/>
              <w:left w:w="240" w:type="dxa"/>
              <w:bottom w:w="150" w:type="dxa"/>
              <w:right w:w="240" w:type="dxa"/>
            </w:tcMar>
            <w:vAlign w:val="center"/>
          </w:tcPr>
          <w:p>
            <w:pPr>
              <w:rPr>
                <w:rFonts w:hint="default"/>
              </w:rPr>
            </w:pPr>
            <w:r>
              <w:rPr>
                <w:rFonts w:hint="default"/>
                <w:lang w:val="en-US" w:eastAsia="zh-CN"/>
              </w:rPr>
              <w:t>No control</w:t>
            </w:r>
          </w:p>
        </w:tc>
        <w:tc>
          <w:tcPr>
            <w:tcW w:w="2506" w:type="dxa"/>
            <w:shd w:val="clear"/>
            <w:tcMar>
              <w:top w:w="150" w:type="dxa"/>
              <w:left w:w="240" w:type="dxa"/>
              <w:bottom w:w="150" w:type="dxa"/>
              <w:right w:w="240" w:type="dxa"/>
            </w:tcMar>
            <w:vAlign w:val="center"/>
          </w:tcPr>
          <w:p>
            <w:pPr>
              <w:rPr>
                <w:rFonts w:hint="default"/>
              </w:rPr>
            </w:pPr>
            <w:r>
              <w:rPr>
                <w:rFonts w:hint="default"/>
                <w:lang w:val="en-US" w:eastAsia="zh-CN"/>
              </w:rPr>
              <w:t>No control</w:t>
            </w:r>
          </w:p>
        </w:tc>
        <w:tc>
          <w:tcPr>
            <w:tcW w:w="2629" w:type="dxa"/>
            <w:shd w:val="clear"/>
            <w:tcMar>
              <w:top w:w="150" w:type="dxa"/>
              <w:left w:w="240" w:type="dxa"/>
              <w:bottom w:w="150" w:type="dxa"/>
              <w:right w:w="0" w:type="dxa"/>
            </w:tcMar>
            <w:vAlign w:val="center"/>
          </w:tcPr>
          <w:p>
            <w:pPr>
              <w:rPr>
                <w:rFonts w:hint="default"/>
              </w:rPr>
            </w:pPr>
            <w:r>
              <w:rPr>
                <w:rFonts w:hint="default"/>
                <w:lang w:val="en-US" w:eastAsia="zh-CN"/>
              </w:rPr>
              <w:t>No control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115" w:type="dxa"/>
            <w:shd w:val="clear"/>
            <w:tcMar>
              <w:top w:w="150" w:type="dxa"/>
              <w:left w:w="0" w:type="dxa"/>
              <w:bottom w:w="150" w:type="dxa"/>
              <w:right w:w="240" w:type="dxa"/>
            </w:tcMar>
            <w:vAlign w:val="center"/>
          </w:tcPr>
          <w:p>
            <w:pPr>
              <w:rPr>
                <w:rFonts w:hint="default"/>
              </w:rPr>
            </w:pPr>
            <w:r>
              <w:rPr>
                <w:rFonts w:hint="default"/>
                <w:lang w:val="en-US" w:eastAsia="zh-CN"/>
              </w:rPr>
              <w:t>Unit Pricing</w:t>
            </w:r>
          </w:p>
        </w:tc>
        <w:tc>
          <w:tcPr>
            <w:tcW w:w="3064" w:type="dxa"/>
            <w:shd w:val="clear"/>
            <w:tcMar>
              <w:top w:w="150" w:type="dxa"/>
              <w:left w:w="240" w:type="dxa"/>
              <w:bottom w:w="150" w:type="dxa"/>
              <w:right w:w="240" w:type="dxa"/>
            </w:tcMar>
            <w:vAlign w:val="center"/>
          </w:tcPr>
          <w:p>
            <w:pPr>
              <w:rPr>
                <w:rFonts w:hint="default"/>
              </w:rPr>
            </w:pPr>
            <w:r>
              <w:rPr>
                <w:rFonts w:hint="default"/>
                <w:lang w:val="en-US" w:eastAsia="zh-CN"/>
              </w:rPr>
              <w:t>No direct control</w:t>
            </w:r>
          </w:p>
        </w:tc>
        <w:tc>
          <w:tcPr>
            <w:tcW w:w="3107" w:type="dxa"/>
            <w:shd w:val="clear"/>
            <w:tcMar>
              <w:top w:w="150" w:type="dxa"/>
              <w:left w:w="240" w:type="dxa"/>
              <w:bottom w:w="150" w:type="dxa"/>
              <w:right w:w="240" w:type="dxa"/>
            </w:tcMar>
            <w:vAlign w:val="center"/>
          </w:tcPr>
          <w:p>
            <w:pPr>
              <w:rPr>
                <w:rFonts w:hint="default"/>
              </w:rPr>
            </w:pPr>
            <w:r>
              <w:rPr>
                <w:rFonts w:hint="default"/>
                <w:lang w:val="en-US" w:eastAsia="zh-CN"/>
              </w:rPr>
              <w:t>No direct control</w:t>
            </w:r>
          </w:p>
        </w:tc>
        <w:tc>
          <w:tcPr>
            <w:tcW w:w="2506" w:type="dxa"/>
            <w:shd w:val="clear"/>
            <w:tcMar>
              <w:top w:w="150" w:type="dxa"/>
              <w:left w:w="240" w:type="dxa"/>
              <w:bottom w:w="150" w:type="dxa"/>
              <w:right w:w="240" w:type="dxa"/>
            </w:tcMar>
            <w:vAlign w:val="center"/>
          </w:tcPr>
          <w:p>
            <w:pPr>
              <w:rPr>
                <w:rFonts w:hint="default"/>
              </w:rPr>
            </w:pPr>
            <w:r>
              <w:rPr>
                <w:rFonts w:hint="default"/>
                <w:lang w:val="en-US" w:eastAsia="zh-CN"/>
              </w:rPr>
              <w:t>No direct control</w:t>
            </w:r>
          </w:p>
        </w:tc>
        <w:tc>
          <w:tcPr>
            <w:tcW w:w="2629" w:type="dxa"/>
            <w:shd w:val="clear"/>
            <w:tcMar>
              <w:top w:w="150" w:type="dxa"/>
              <w:left w:w="240" w:type="dxa"/>
              <w:bottom w:w="150" w:type="dxa"/>
              <w:right w:w="0" w:type="dxa"/>
            </w:tcMar>
            <w:vAlign w:val="center"/>
          </w:tcPr>
          <w:p>
            <w:pPr>
              <w:rPr>
                <w:rFonts w:hint="default"/>
              </w:rPr>
            </w:pPr>
            <w:r>
              <w:rPr>
                <w:rFonts w:hint="default"/>
                <w:lang w:val="en-US" w:eastAsia="zh-CN"/>
              </w:rPr>
              <w:t>Economic exposure only</w:t>
            </w:r>
          </w:p>
        </w:tc>
      </w:tr>
    </w:tbl>
    <w:p>
      <w:r>
        <w:pict>
          <v:rect id="_x0000_i1104"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XXX. KEY STRUCTURAL DEFINITIONS</w:t>
      </w:r>
    </w:p>
    <w:p>
      <w:r>
        <w:rPr>
          <w:rFonts w:hint="default"/>
        </w:rPr>
        <w:t>For purposes of this Blueprint:</w:t>
      </w:r>
    </w:p>
    <w:p>
      <w:pPr>
        <w:rPr>
          <w:rFonts w:hint="default"/>
        </w:rPr>
      </w:pPr>
      <w:r>
        <w:rPr>
          <w:rFonts w:hint="default"/>
        </w:rPr>
        <w:t>"Master Fund"</w:t>
      </w:r>
    </w:p>
    <w:p>
      <w:r>
        <w:rPr>
          <w:rFonts w:hint="default"/>
        </w:rPr>
        <w:t>Means the proposed Jowih Master Ecosystem Fund and its applicable compartments, cells, Unit classes and associated investment architecture.</w:t>
      </w:r>
    </w:p>
    <w:p>
      <w:pPr>
        <w:rPr>
          <w:rFonts w:hint="default"/>
        </w:rPr>
      </w:pPr>
      <w:r>
        <w:rPr>
          <w:rFonts w:hint="default"/>
        </w:rPr>
        <w:t>"Jowih Core"</w:t>
      </w:r>
    </w:p>
    <w:p>
      <w:r>
        <w:rPr>
          <w:rFonts w:hint="default"/>
        </w:rPr>
        <w:t>Means qualifying Jowih Group companies and qualifying Jowih-origin commercial enterprises admitted under the applicable eligibility framework.</w:t>
      </w:r>
    </w:p>
    <w:p>
      <w:pPr>
        <w:rPr>
          <w:rFonts w:hint="default"/>
        </w:rPr>
      </w:pPr>
      <w:r>
        <w:rPr>
          <w:rFonts w:hint="default"/>
        </w:rPr>
        <w:t>"Ecosystem Partner"</w:t>
      </w:r>
    </w:p>
    <w:p>
      <w:r>
        <w:rPr>
          <w:rFonts w:hint="default"/>
        </w:rPr>
        <w:t>Means a qualifying third-party enterprise admitted through the Partner Registry or another approved ecosystem admission mechanism.</w:t>
      </w:r>
    </w:p>
    <w:p>
      <w:pPr>
        <w:rPr>
          <w:rFonts w:hint="default"/>
        </w:rPr>
      </w:pPr>
      <w:r>
        <w:rPr>
          <w:rFonts w:hint="default"/>
        </w:rPr>
        <w:t>"Jowih 100"</w:t>
      </w:r>
    </w:p>
    <w:p>
      <w:r>
        <w:rPr>
          <w:rFonts w:hint="default"/>
        </w:rPr>
        <w:t>Means the initial qualifying enterprise universe of up to 100 eligible commercial enterprises.</w:t>
      </w:r>
    </w:p>
    <w:p>
      <w:pPr>
        <w:rPr>
          <w:rFonts w:hint="default"/>
        </w:rPr>
      </w:pPr>
      <w:r>
        <w:rPr>
          <w:rFonts w:hint="default"/>
        </w:rPr>
        <w:t>"Jowih 500"</w:t>
      </w:r>
    </w:p>
    <w:p>
      <w:r>
        <w:rPr>
          <w:rFonts w:hint="default"/>
        </w:rPr>
        <w:t>Means the expansion capacity toward a maximum target universe of 500 qualifying enterprises under the proposed Index architecture, subject to future legal and structural amendment where required.</w:t>
      </w:r>
    </w:p>
    <w:p>
      <w:pPr>
        <w:rPr>
          <w:rFonts w:hint="default"/>
        </w:rPr>
      </w:pPr>
      <w:r>
        <w:rPr>
          <w:rFonts w:hint="default"/>
        </w:rPr>
        <w:t>"Neutral Reserve"</w:t>
      </w:r>
    </w:p>
    <w:p>
      <w:r>
        <w:rPr>
          <w:rFonts w:hint="default"/>
        </w:rPr>
        <w:t xml:space="preserve">Means the separately administered category for qualifying assets outside the 30% Jowih Core / 70% Ecosystem Partner commercial allocation. It is a </w:t>
      </w:r>
      <w:r>
        <w:rPr>
          <w:rFonts w:hint="default"/>
        </w:rPr>
        <w:t>percentage backing</w:t>
      </w:r>
      <w:r>
        <w:rPr>
          <w:rFonts w:hint="default"/>
        </w:rPr>
        <w:t>, not an outstanding unit pool. It adds to NAV. It backs every unit. It causes appreciation, not dilution.</w:t>
      </w:r>
    </w:p>
    <w:p>
      <w:pPr>
        <w:rPr>
          <w:rFonts w:hint="default"/>
        </w:rPr>
      </w:pPr>
      <w:r>
        <w:rPr>
          <w:rFonts w:hint="default"/>
        </w:rPr>
        <w:t>"Master Ecosystem Unit"</w:t>
      </w:r>
    </w:p>
    <w:p>
      <w:r>
        <w:rPr>
          <w:rFonts w:hint="default"/>
        </w:rPr>
        <w:t>Means a permitted non-voting investment unit representing defined economic participation in the applicable Fund or Unit class.</w:t>
      </w:r>
    </w:p>
    <w:p>
      <w:pPr>
        <w:rPr>
          <w:rFonts w:hint="default"/>
        </w:rPr>
      </w:pPr>
      <w:r>
        <w:rPr>
          <w:rFonts w:hint="default"/>
        </w:rPr>
        <w:t>"Treasury Capacity"</w:t>
      </w:r>
    </w:p>
    <w:p>
      <w:r>
        <w:rPr>
          <w:rFonts w:hint="default"/>
        </w:rPr>
        <w:t>Means authorized but unissued Fund-unit capacity available for future permitted issuance.</w:t>
      </w:r>
    </w:p>
    <w:p>
      <w:pPr>
        <w:rPr>
          <w:rFonts w:hint="default"/>
        </w:rPr>
      </w:pPr>
      <w:r>
        <w:rPr>
          <w:rFonts w:hint="default"/>
        </w:rPr>
        <w:t>"Authorized Capacity"</w:t>
      </w:r>
    </w:p>
    <w:p>
      <w:r>
        <w:rPr>
          <w:rFonts w:hint="default"/>
        </w:rPr>
        <w:t>Means the total unit capacity legally and structurally authorized under the applicable Fund documentation.</w:t>
      </w:r>
    </w:p>
    <w:p>
      <w:pPr>
        <w:rPr>
          <w:rFonts w:hint="default"/>
        </w:rPr>
      </w:pPr>
      <w:r>
        <w:rPr>
          <w:rFonts w:hint="default"/>
        </w:rPr>
        <w:t>"Outstanding Units"</w:t>
      </w:r>
    </w:p>
    <w:p>
      <w:r>
        <w:rPr>
          <w:rFonts w:hint="default"/>
        </w:rPr>
        <w:t>Means Units actually issued and held by investors or other entitled recipients.</w:t>
      </w:r>
    </w:p>
    <w:p>
      <w:pPr>
        <w:rPr>
          <w:rFonts w:hint="default"/>
        </w:rPr>
      </w:pPr>
      <w:r>
        <w:rPr>
          <w:rFonts w:hint="default"/>
        </w:rPr>
        <w:t>"Appreciation"</w:t>
      </w:r>
    </w:p>
    <w:p>
      <w:r>
        <w:rPr>
          <w:rFonts w:hint="default"/>
        </w:rPr>
        <w:t>Means the increase in NAV per unit that occurs when NAV grows but units outstanding remains the same. Appreciation is the mechanism through which unit holders benefit from company success and land appreciation.</w:t>
      </w:r>
    </w:p>
    <w:p>
      <w:pPr>
        <w:rPr>
          <w:rFonts w:hint="default"/>
        </w:rPr>
      </w:pPr>
      <w:r>
        <w:rPr>
          <w:rFonts w:hint="default"/>
        </w:rPr>
        <w:t>"Forward Pricing"</w:t>
      </w:r>
    </w:p>
    <w:p>
      <w:r>
        <w:rPr>
          <w:rFonts w:hint="default"/>
        </w:rPr>
        <w:t>Means the mechanism through which new units are created at the current NAV per unit when new capital is raised or neutral assets are admitted. New Units Created = New Cash Invested or Value of Neutral Asset ÷ Current NAV per Unit. No dilution in value. Just new capital or new asset backing.</w:t>
      </w:r>
    </w:p>
    <w:p>
      <w:pPr>
        <w:rPr>
          <w:rFonts w:hint="default"/>
        </w:rPr>
      </w:pPr>
      <w:r>
        <w:rPr>
          <w:rFonts w:hint="default"/>
        </w:rPr>
        <w:t>"Land Appreciation"</w:t>
      </w:r>
    </w:p>
    <w:p>
      <w:r>
        <w:rPr>
          <w:rFonts w:hint="default"/>
        </w:rPr>
        <w:t>Means the increase in land value that occurs when development happens around the land. Land in the Neutral Reserve appreciates when the Foundation drives development across the continent. The appreciation flows to NAV per unit.</w:t>
      </w:r>
    </w:p>
    <w:p>
      <w:pPr>
        <w:rPr>
          <w:rFonts w:hint="default"/>
        </w:rPr>
      </w:pPr>
      <w:r>
        <w:rPr>
          <w:rFonts w:hint="default"/>
        </w:rPr>
        <w:t>"Asset Lock"</w:t>
      </w:r>
    </w:p>
    <w:p>
      <w:r>
        <w:rPr>
          <w:rFonts w:hint="default"/>
        </w:rPr>
        <w:t>Means the structural condition in which vaulted shares are held within the applicable VCC sub-fund compartment without carrying governance representation through the Fund. The Fund does not vote the shares. The partner may repurchase them subject to lock-up and Fund terms.</w:t>
      </w:r>
    </w:p>
    <w:p>
      <w:pPr>
        <w:rPr>
          <w:rFonts w:hint="default"/>
        </w:rPr>
      </w:pPr>
      <w:r>
        <w:rPr>
          <w:rFonts w:hint="default"/>
        </w:rPr>
        <w:t>"ADFA"</w:t>
      </w:r>
    </w:p>
    <w:p>
      <w:r>
        <w:rPr>
          <w:rFonts w:hint="default"/>
        </w:rPr>
        <w:t>Means the Accelerated Development Framework Agreement — the regulatory framework established by the Jowih Foundation and participating governments governing cross-border operations, land settlement, and regulatory recognition in host jurisdictions.</w:t>
      </w:r>
    </w:p>
    <w:p>
      <w:pPr>
        <w:rPr>
          <w:rFonts w:hint="default"/>
        </w:rPr>
      </w:pPr>
      <w:r>
        <w:rPr>
          <w:rFonts w:hint="default"/>
        </w:rPr>
        <w:t>"Land Acquisition &amp; Settlement Facility"</w:t>
      </w:r>
    </w:p>
    <w:p>
      <w:r>
        <w:rPr>
          <w:rFonts w:hint="default"/>
        </w:rPr>
        <w:t>Means the proposed mechanism through which qualifying projects may, where legally permissible, use Master Fund Units alongside cash as consideration for qualifying land transactions.</w:t>
      </w:r>
    </w:p>
    <w:p>
      <w:pPr>
        <w:rPr>
          <w:rFonts w:hint="default"/>
        </w:rPr>
      </w:pPr>
      <w:r>
        <w:rPr>
          <w:rFonts w:hint="default"/>
        </w:rPr>
        <w:t>"NAV per Unit"</w:t>
      </w:r>
    </w:p>
    <w:p>
      <w:r>
        <w:rPr>
          <w:rFonts w:hint="default"/>
        </w:rPr>
        <w:t>Means Total Net Asset Value divided by Units Outstanding. Determines the economic value of each unit at any given time. Increases when NAV grows and units outstanding remains the same.</w:t>
      </w:r>
    </w:p>
    <w:p>
      <w:pPr>
        <w:rPr>
          <w:rFonts w:hint="default"/>
        </w:rPr>
      </w:pPr>
      <w:r>
        <w:rPr>
          <w:rFonts w:hint="default"/>
        </w:rPr>
        <w:t>"Unit Price"</w:t>
      </w:r>
    </w:p>
    <w:p>
      <w:r>
        <w:rPr>
          <w:rFonts w:hint="default"/>
        </w:rPr>
        <w:t>Means the price at which units are issued or redeemed. At issuance, it is determined by the Fund based on NAV and accessibility objectives. On secondary market, it is determined by market supply and demand.</w:t>
      </w:r>
    </w:p>
    <w:p>
      <w:r>
        <w:pict>
          <v:rect id="_x0000_i1105"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XXXI. RISK AND STRUCTURAL SAFEGUARDS</w:t>
      </w:r>
    </w:p>
    <w:p>
      <w:r>
        <w:rPr>
          <w:rFonts w:hint="default"/>
        </w:rPr>
        <w:t>The architecture is designed around the following safeguards: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587"/>
        <w:gridCol w:w="86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587"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Risk Area</w:t>
            </w:r>
          </w:p>
        </w:tc>
        <w:tc>
          <w:tcPr>
            <w:tcW w:w="8693"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Structural Response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Foundation Control Dilution</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Foundation remains outside the investable plane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Investor Governance Capture</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Fund Units are non-voting with respect to protected governance matters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Excessive Neutral-Asset Issuance</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Neutral Reserve subject to a defined cap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Unauthorized Asset Admission</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Formal eligibility, valuation and due-diligence requirements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Valuation Distortion</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Independent valuation requirements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Treasury Confusion</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Separate authorization, outstanding and Treasury accounting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Land-Transaction Abuse</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Title, valuation, consent, environmental, regulatory and legal due diligence; minimum cash component; independent legal counsel; cooling-off period; community consultation; grievance mechanism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Liquidity Misrepresentation</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Liquidity remains subject to actual Fund structure and applicable market rules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Regulatory Risk</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ADFA framework and applicable jurisdictional requirements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Operational Risk</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Central administration, custody, audit and reporting infrastructure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Concentration Risk</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Index diversification and compartment-level portfolio 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Portfolio Diversification</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Unit value spread across entire Jowih 100 → 500 Index; not concentrated in any single company or sub-fund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Data/System Risk</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Auditable digital records, cybersecurity and controlled transaction infrastructure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FX Risk</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Jowih Credits framework, subject to applicable exchange-control regulations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587" w:type="dxa"/>
            <w:shd w:val="clear"/>
            <w:tcMar>
              <w:top w:w="150" w:type="dxa"/>
              <w:left w:w="0" w:type="dxa"/>
              <w:bottom w:w="150" w:type="dxa"/>
              <w:right w:w="240" w:type="dxa"/>
            </w:tcMar>
            <w:vAlign w:val="center"/>
          </w:tcPr>
          <w:p>
            <w:pPr>
              <w:rPr>
                <w:rFonts w:hint="default"/>
              </w:rPr>
            </w:pPr>
            <w:r>
              <w:rPr>
                <w:rFonts w:hint="default"/>
                <w:lang w:val="en-US" w:eastAsia="zh-CN"/>
              </w:rPr>
              <w:t>Listing Risk</w:t>
            </w:r>
          </w:p>
        </w:tc>
        <w:tc>
          <w:tcPr>
            <w:tcW w:w="8693" w:type="dxa"/>
            <w:shd w:val="clear"/>
            <w:tcMar>
              <w:top w:w="150" w:type="dxa"/>
              <w:left w:w="240" w:type="dxa"/>
              <w:bottom w:w="150" w:type="dxa"/>
              <w:right w:w="0" w:type="dxa"/>
            </w:tcMar>
            <w:vAlign w:val="center"/>
          </w:tcPr>
          <w:p>
            <w:pPr>
              <w:rPr>
                <w:rFonts w:hint="default"/>
              </w:rPr>
            </w:pPr>
            <w:r>
              <w:rPr>
                <w:rFonts w:hint="default"/>
                <w:lang w:val="en-US" w:eastAsia="zh-CN"/>
              </w:rPr>
              <w:t>NSE and other exchange listing rules, disclosure requirements and continuing obligations</w:t>
            </w:r>
          </w:p>
        </w:tc>
      </w:tr>
    </w:tbl>
    <w:p>
      <w:r>
        <w:pict>
          <v:rect id="_x0000_i1106"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XXXII. DEFINITIVE ARCHITECTURAL SUMMARY</w:t>
      </w:r>
    </w:p>
    <w:p>
      <w:r>
        <w:rPr>
          <w:rFonts w:hint="default"/>
        </w:rPr>
        <w:t xml:space="preserve">The </w:t>
      </w:r>
      <w:r>
        <w:rPr>
          <w:rFonts w:hint="default"/>
        </w:rPr>
        <w:t>Jowih Master Ecosystem Fund</w:t>
      </w:r>
      <w:r>
        <w:rPr>
          <w:rFonts w:hint="default"/>
        </w:rPr>
        <w:t xml:space="preserve"> is the regulated economic-participation and asset-capital architecture of the Jowih commercial ecosystem.</w:t>
      </w:r>
    </w:p>
    <w:p>
      <w:r>
        <w:rPr>
          <w:rFonts w:hint="default"/>
        </w:rPr>
        <w:t xml:space="preserve">Its opening enterprise universe is the </w:t>
      </w:r>
      <w:r>
        <w:rPr>
          <w:rFonts w:hint="default"/>
        </w:rPr>
        <w:t>Jowih 100</w:t>
      </w:r>
      <w:r>
        <w:rPr>
          <w:rFonts w:hint="default"/>
        </w:rPr>
        <w:t xml:space="preserve">, with planned expansion toward </w:t>
      </w:r>
      <w:r>
        <w:rPr>
          <w:rFonts w:hint="default"/>
        </w:rPr>
        <w:t>500 qualifying enterprises</w:t>
      </w:r>
      <w:r>
        <w:rPr>
          <w:rFonts w:hint="default"/>
        </w:rPr>
        <w:t xml:space="preserve"> as the ecosystem's commercial capacity and underlying asset base develop.</w:t>
      </w:r>
    </w:p>
    <w:p>
      <w:r>
        <w:rPr>
          <w:rFonts w:hint="default"/>
        </w:rPr>
        <w:t>The principal commercial allocation is:</w:t>
      </w:r>
    </w:p>
    <w:p>
      <w:r>
        <w:rPr>
          <w:rFonts w:hint="eastAsia"/>
        </w:rPr>
        <w:t>30% Jowih Core / 70% Ecosystem Partners</w:t>
      </w:r>
    </w:p>
    <w:p>
      <w:r>
        <w:rPr>
          <w:rFonts w:hint="default"/>
        </w:rPr>
        <w:t xml:space="preserve">This commercial allocation remains structurally distinct from the </w:t>
      </w:r>
      <w:r>
        <w:rPr>
          <w:rFonts w:hint="default"/>
        </w:rPr>
        <w:t>Neutral Reserve</w:t>
      </w:r>
      <w:r>
        <w:rPr>
          <w:rFonts w:hint="default"/>
        </w:rPr>
        <w:t>, which provides a separate framework for qualifying neutral assets such as land.</w:t>
      </w:r>
    </w:p>
    <w:p>
      <w:r>
        <w:rPr>
          <w:rFonts w:hint="default"/>
        </w:rPr>
        <w:t>The Fund maintains three separate capacity measures:</w:t>
      </w:r>
    </w:p>
    <w:p/>
    <w:p>
      <w:r>
        <w:rPr>
          <w:rFonts w:hint="default"/>
        </w:rPr>
        <w:t>Authorized Capacity</w:t>
      </w:r>
    </w:p>
    <w:p/>
    <w:p/>
    <w:p>
      <w:r>
        <w:rPr>
          <w:rFonts w:hint="default"/>
        </w:rPr>
        <w:t>Outstanding/Issued Units</w:t>
      </w:r>
    </w:p>
    <w:p/>
    <w:p/>
    <w:p>
      <w:r>
        <w:rPr>
          <w:rFonts w:hint="default"/>
        </w:rPr>
        <w:t>Treasury/Unissued Capacity</w:t>
      </w:r>
    </w:p>
    <w:p/>
    <w:p>
      <w:r>
        <w:rPr>
          <w:rFonts w:hint="default"/>
        </w:rPr>
        <w:t>Accordingly:</w:t>
      </w:r>
    </w:p>
    <w:p>
      <w:r>
        <w:rPr>
          <w:rFonts w:hint="eastAsia"/>
        </w:rPr>
        <w:t>Authorized Capacity ≠ Capital Raised ≠ Outstanding Units</w:t>
      </w:r>
    </w:p>
    <w:p>
      <w:r>
        <w:rPr>
          <w:rFonts w:hint="default"/>
        </w:rPr>
        <w:t xml:space="preserve">All numerical figures in this Blueprint are </w:t>
      </w:r>
      <w:r>
        <w:rPr>
          <w:rFonts w:hint="default"/>
        </w:rPr>
        <w:t>illustrative examples only</w:t>
      </w:r>
      <w:r>
        <w:rPr>
          <w:rFonts w:hint="default"/>
        </w:rPr>
        <w:t>. They do not constitute a valuation, a capital raise target, a guarantee, or a permanent Fund ceiling.</w:t>
      </w:r>
    </w:p>
    <w:p>
      <w:r>
        <w:rPr>
          <w:rFonts w:hint="default"/>
        </w:rPr>
        <w:t xml:space="preserve">The illustrative opening authorization used in this Blueprint is </w:t>
      </w:r>
      <w:r>
        <w:rPr>
          <w:rFonts w:hint="default"/>
        </w:rPr>
        <w:t>US$80 billion** (Jowih 100), expanding toward **US$300 billion</w:t>
      </w:r>
      <w:r>
        <w:rPr>
          <w:rFonts w:hint="default"/>
        </w:rPr>
        <w:t xml:space="preserve"> (Jowih 500) as the ecosystem matures.</w:t>
      </w:r>
    </w:p>
    <w:p>
      <w:r>
        <w:rPr>
          <w:rFonts w:hint="default"/>
        </w:rPr>
        <w:t xml:space="preserve">The illustrative unit price used in this Blueprint is </w:t>
      </w:r>
      <w:r>
        <w:rPr>
          <w:rFonts w:hint="default"/>
        </w:rPr>
        <w:t>US$0.05 (five cents)</w:t>
      </w:r>
      <w:r>
        <w:rPr>
          <w:rFonts w:hint="default"/>
        </w:rPr>
        <w:t>, chosen for accessibility to African citizens and the diaspora.</w:t>
      </w:r>
    </w:p>
    <w:p>
      <w:r>
        <w:rPr>
          <w:rFonts w:hint="default"/>
        </w:rPr>
        <w:t xml:space="preserve">At the illustrative initial sale of </w:t>
      </w:r>
      <w:r>
        <w:rPr>
          <w:rFonts w:hint="default"/>
        </w:rPr>
        <w:t>80% of units</w:t>
      </w:r>
      <w:r>
        <w:rPr>
          <w:rFonts w:hint="default"/>
        </w:rPr>
        <w:t xml:space="preserve">, the cash raised is </w:t>
      </w:r>
      <w:r>
        <w:rPr>
          <w:rFonts w:hint="default"/>
        </w:rPr>
        <w:t>US$64 billion</w:t>
      </w:r>
      <w:r>
        <w:rPr>
          <w:rFonts w:hint="default"/>
        </w:rPr>
        <w:t>:</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295"/>
        <w:gridCol w:w="4953"/>
        <w:gridCol w:w="20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4295"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Bucket</w:t>
            </w:r>
          </w:p>
        </w:tc>
        <w:tc>
          <w:tcPr>
            <w:tcW w:w="4953"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Outstanding</w:t>
            </w:r>
          </w:p>
        </w:tc>
        <w:tc>
          <w:tcPr>
            <w:tcW w:w="2031"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295" w:type="dxa"/>
            <w:shd w:val="clear"/>
            <w:tcMar>
              <w:top w:w="150" w:type="dxa"/>
              <w:left w:w="0" w:type="dxa"/>
              <w:bottom w:w="150" w:type="dxa"/>
              <w:right w:w="240" w:type="dxa"/>
            </w:tcMar>
            <w:vAlign w:val="center"/>
          </w:tcPr>
          <w:p>
            <w:pPr>
              <w:rPr>
                <w:rFonts w:hint="default"/>
              </w:rPr>
            </w:pPr>
            <w:r>
              <w:rPr>
                <w:rFonts w:hint="default"/>
                <w:lang w:val="en-US" w:eastAsia="zh-CN"/>
              </w:rPr>
              <w:t>Jowih Core</w:t>
            </w:r>
          </w:p>
        </w:tc>
        <w:tc>
          <w:tcPr>
            <w:tcW w:w="4953" w:type="dxa"/>
            <w:shd w:val="clear"/>
            <w:tcMar>
              <w:top w:w="150" w:type="dxa"/>
              <w:left w:w="240" w:type="dxa"/>
              <w:bottom w:w="150" w:type="dxa"/>
              <w:right w:w="240" w:type="dxa"/>
            </w:tcMar>
            <w:vAlign w:val="center"/>
          </w:tcPr>
          <w:p>
            <w:pPr>
              <w:rPr>
                <w:rFonts w:hint="default"/>
              </w:rPr>
            </w:pPr>
            <w:r>
              <w:rPr>
                <w:rFonts w:hint="default"/>
                <w:lang w:val="en-US" w:eastAsia="zh-CN"/>
              </w:rPr>
              <w:t>US$19.2B</w:t>
            </w:r>
          </w:p>
        </w:tc>
        <w:tc>
          <w:tcPr>
            <w:tcW w:w="2031" w:type="dxa"/>
            <w:shd w:val="clear"/>
            <w:tcMar>
              <w:top w:w="150" w:type="dxa"/>
              <w:left w:w="240" w:type="dxa"/>
              <w:bottom w:w="150" w:type="dxa"/>
              <w:right w:w="0" w:type="dxa"/>
            </w:tcMar>
            <w:vAlign w:val="center"/>
          </w:tcPr>
          <w:p>
            <w:pPr>
              <w:rPr>
                <w:rFonts w:hint="default"/>
              </w:rPr>
            </w:pPr>
            <w:r>
              <w:rPr>
                <w:rFonts w:hint="default"/>
                <w:lang w:val="en-US" w:eastAsia="zh-CN"/>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295" w:type="dxa"/>
            <w:shd w:val="clear"/>
            <w:tcMar>
              <w:top w:w="150" w:type="dxa"/>
              <w:left w:w="0" w:type="dxa"/>
              <w:bottom w:w="150" w:type="dxa"/>
              <w:right w:w="240" w:type="dxa"/>
            </w:tcMar>
            <w:vAlign w:val="center"/>
          </w:tcPr>
          <w:p>
            <w:pPr>
              <w:rPr>
                <w:rFonts w:hint="default"/>
              </w:rPr>
            </w:pPr>
            <w:r>
              <w:rPr>
                <w:rFonts w:hint="default"/>
                <w:lang w:val="en-US" w:eastAsia="zh-CN"/>
              </w:rPr>
              <w:t>Ecosystem Partners</w:t>
            </w:r>
          </w:p>
        </w:tc>
        <w:tc>
          <w:tcPr>
            <w:tcW w:w="4953" w:type="dxa"/>
            <w:shd w:val="clear"/>
            <w:tcMar>
              <w:top w:w="150" w:type="dxa"/>
              <w:left w:w="240" w:type="dxa"/>
              <w:bottom w:w="150" w:type="dxa"/>
              <w:right w:w="240" w:type="dxa"/>
            </w:tcMar>
            <w:vAlign w:val="center"/>
          </w:tcPr>
          <w:p>
            <w:pPr>
              <w:rPr>
                <w:rFonts w:hint="default"/>
              </w:rPr>
            </w:pPr>
            <w:r>
              <w:rPr>
                <w:rFonts w:hint="default"/>
                <w:lang w:val="en-US" w:eastAsia="zh-CN"/>
              </w:rPr>
              <w:t>US$44.8B</w:t>
            </w:r>
          </w:p>
        </w:tc>
        <w:tc>
          <w:tcPr>
            <w:tcW w:w="2031" w:type="dxa"/>
            <w:shd w:val="clear"/>
            <w:tcMar>
              <w:top w:w="150" w:type="dxa"/>
              <w:left w:w="240" w:type="dxa"/>
              <w:bottom w:w="150" w:type="dxa"/>
              <w:right w:w="0" w:type="dxa"/>
            </w:tcMar>
            <w:vAlign w:val="center"/>
          </w:tcPr>
          <w:p>
            <w:pPr>
              <w:rPr>
                <w:rFonts w:hint="default"/>
              </w:rPr>
            </w:pPr>
            <w:r>
              <w:rPr>
                <w:rFonts w:hint="default"/>
                <w:lang w:val="en-US" w:eastAsia="zh-CN"/>
              </w:rPr>
              <w:t>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295" w:type="dxa"/>
            <w:shd w:val="clear"/>
            <w:tcMar>
              <w:top w:w="150" w:type="dxa"/>
              <w:left w:w="0" w:type="dxa"/>
              <w:bottom w:w="150" w:type="dxa"/>
              <w:right w:w="240" w:type="dxa"/>
            </w:tcMar>
            <w:vAlign w:val="center"/>
          </w:tcPr>
          <w:p>
            <w:pPr>
              <w:rPr>
                <w:rFonts w:hint="default"/>
              </w:rPr>
            </w:pPr>
            <w:r>
              <w:rPr>
                <w:rFonts w:hint="default"/>
                <w:lang w:val="en-US" w:eastAsia="zh-CN"/>
              </w:rPr>
              <w:t>Total</w:t>
            </w:r>
          </w:p>
        </w:tc>
        <w:tc>
          <w:tcPr>
            <w:tcW w:w="4953" w:type="dxa"/>
            <w:shd w:val="clear"/>
            <w:tcMar>
              <w:top w:w="150" w:type="dxa"/>
              <w:left w:w="240" w:type="dxa"/>
              <w:bottom w:w="150" w:type="dxa"/>
              <w:right w:w="240" w:type="dxa"/>
            </w:tcMar>
            <w:vAlign w:val="center"/>
          </w:tcPr>
          <w:p>
            <w:pPr>
              <w:rPr>
                <w:rFonts w:hint="default"/>
              </w:rPr>
            </w:pPr>
            <w:r>
              <w:rPr>
                <w:rFonts w:hint="default"/>
                <w:lang w:val="en-US" w:eastAsia="zh-CN"/>
              </w:rPr>
              <w:t>US$64B</w:t>
            </w:r>
          </w:p>
        </w:tc>
        <w:tc>
          <w:tcPr>
            <w:tcW w:w="2031" w:type="dxa"/>
            <w:shd w:val="clear"/>
            <w:tcMar>
              <w:top w:w="150" w:type="dxa"/>
              <w:left w:w="240" w:type="dxa"/>
              <w:bottom w:w="150" w:type="dxa"/>
              <w:right w:w="0" w:type="dxa"/>
            </w:tcMar>
            <w:vAlign w:val="center"/>
          </w:tcPr>
          <w:p>
            <w:pPr>
              <w:rPr>
                <w:rFonts w:hint="default"/>
              </w:rPr>
            </w:pPr>
            <w:r>
              <w:rPr>
                <w:rFonts w:hint="default"/>
                <w:lang w:val="en-US"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295" w:type="dxa"/>
            <w:shd w:val="clear"/>
            <w:tcMar>
              <w:top w:w="150" w:type="dxa"/>
              <w:left w:w="0" w:type="dxa"/>
              <w:bottom w:w="150" w:type="dxa"/>
              <w:right w:w="240" w:type="dxa"/>
            </w:tcMar>
            <w:vAlign w:val="center"/>
          </w:tcPr>
          <w:p>
            <w:pPr>
              <w:rPr>
                <w:rFonts w:hint="default"/>
              </w:rPr>
            </w:pPr>
            <w:r>
              <w:rPr>
                <w:rFonts w:hint="default"/>
                <w:lang w:val="en-US" w:eastAsia="zh-CN"/>
              </w:rPr>
              <w:t>Treasury</w:t>
            </w:r>
          </w:p>
        </w:tc>
        <w:tc>
          <w:tcPr>
            <w:tcW w:w="4953" w:type="dxa"/>
            <w:shd w:val="clear"/>
            <w:tcMar>
              <w:top w:w="150" w:type="dxa"/>
              <w:left w:w="240" w:type="dxa"/>
              <w:bottom w:w="150" w:type="dxa"/>
              <w:right w:w="240" w:type="dxa"/>
            </w:tcMar>
            <w:vAlign w:val="center"/>
          </w:tcPr>
          <w:p>
            <w:pPr>
              <w:rPr>
                <w:rFonts w:hint="default"/>
              </w:rPr>
            </w:pPr>
            <w:r>
              <w:rPr>
                <w:rFonts w:hint="default"/>
                <w:lang w:val="en-US" w:eastAsia="zh-CN"/>
              </w:rPr>
              <w:t>US$16B (320B units)</w:t>
            </w:r>
          </w:p>
        </w:tc>
        <w:tc>
          <w:tcPr>
            <w:tcW w:w="2031" w:type="dxa"/>
            <w:shd w:val="clear"/>
            <w:tcMar>
              <w:top w:w="150" w:type="dxa"/>
              <w:left w:w="240" w:type="dxa"/>
              <w:bottom w:w="150" w:type="dxa"/>
              <w:right w:w="0" w:type="dxa"/>
            </w:tcMar>
            <w:vAlign w:val="center"/>
          </w:tcPr>
          <w:p>
            <w:pPr>
              <w:rPr>
                <w:rFonts w:hint="default"/>
              </w:rPr>
            </w:pPr>
            <w:r>
              <w:rPr>
                <w:rFonts w:hint="default"/>
                <w:lang w:val="en-US" w:eastAsia="zh-CN"/>
              </w:rPr>
              <w:t>—</w:t>
            </w:r>
          </w:p>
        </w:tc>
      </w:tr>
    </w:tbl>
    <w:p>
      <w:r>
        <w:rPr>
          <w:rFonts w:hint="default"/>
        </w:rPr>
        <w:t>The 30/70 internal split is preserved.</w:t>
      </w:r>
    </w:p>
    <w:p>
      <w:r>
        <w:rPr>
          <w:rFonts w:hint="default"/>
        </w:rPr>
        <w:t xml:space="preserve">Capital allocation follows the </w:t>
      </w:r>
      <w:r>
        <w:rPr>
          <w:rFonts w:hint="default"/>
        </w:rPr>
        <w:t>independently established dollar value</w:t>
      </w:r>
      <w:r>
        <w:rPr>
          <w:rFonts w:hint="default"/>
        </w:rPr>
        <w:t xml:space="preserve"> of qualifying assets vaulted — not the nominal equity percentage deposited. A 5% stake in a $1B company may receive more allocation than a 49% stake in a $20M company.</w:t>
      </w:r>
    </w:p>
    <w:p>
      <w:r>
        <w:rPr>
          <w:rFonts w:hint="default"/>
        </w:rPr>
        <w:t>The Neutral Reserve provides a controlled mechanism for qualifying neutral assets and is subject to a base cap of 10% of total Fund NAV.</w:t>
      </w:r>
    </w:p>
    <w:p>
      <w:r>
        <w:rPr>
          <w:rFonts w:hint="default"/>
        </w:rPr>
        <w:t>The Neutral Reserve is a percentage backing, not an outstanding unit pool.</w:t>
      </w:r>
    </w:p>
    <w:p>
      <w:r>
        <w:rPr>
          <w:rFonts w:hint="default"/>
        </w:rPr>
        <w:t>When land is added to the Neutral Reserve:</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54"/>
        <w:gridCol w:w="4631"/>
        <w:gridCol w:w="47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1854"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Phase</w:t>
            </w:r>
          </w:p>
        </w:tc>
        <w:tc>
          <w:tcPr>
            <w:tcW w:w="4631"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Mechanism</w:t>
            </w:r>
          </w:p>
        </w:tc>
        <w:tc>
          <w:tcPr>
            <w:tcW w:w="4794"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Effect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854" w:type="dxa"/>
            <w:shd w:val="clear"/>
            <w:tcMar>
              <w:top w:w="150" w:type="dxa"/>
              <w:left w:w="0" w:type="dxa"/>
              <w:bottom w:w="150" w:type="dxa"/>
              <w:right w:w="240" w:type="dxa"/>
            </w:tcMar>
            <w:vAlign w:val="center"/>
          </w:tcPr>
          <w:p>
            <w:pPr>
              <w:rPr>
                <w:rFonts w:hint="default"/>
              </w:rPr>
            </w:pPr>
            <w:r>
              <w:rPr>
                <w:rFonts w:hint="default"/>
                <w:lang w:val="en-US" w:eastAsia="zh-CN"/>
              </w:rPr>
              <w:t>Treasury Phase</w:t>
            </w:r>
          </w:p>
        </w:tc>
        <w:tc>
          <w:tcPr>
            <w:tcW w:w="4631" w:type="dxa"/>
            <w:shd w:val="clear"/>
            <w:tcMar>
              <w:top w:w="150" w:type="dxa"/>
              <w:left w:w="240" w:type="dxa"/>
              <w:bottom w:w="150" w:type="dxa"/>
              <w:right w:w="240" w:type="dxa"/>
            </w:tcMar>
            <w:vAlign w:val="center"/>
          </w:tcPr>
          <w:p>
            <w:pPr>
              <w:rPr>
                <w:rFonts w:hint="default"/>
              </w:rPr>
            </w:pPr>
            <w:r>
              <w:rPr>
                <w:rFonts w:hint="default"/>
                <w:lang w:val="en-US" w:eastAsia="zh-CN"/>
              </w:rPr>
              <w:t>Units drawn from unsold pool</w:t>
            </w:r>
          </w:p>
        </w:tc>
        <w:tc>
          <w:tcPr>
            <w:tcW w:w="4794" w:type="dxa"/>
            <w:shd w:val="clear"/>
            <w:tcMar>
              <w:top w:w="150" w:type="dxa"/>
              <w:left w:w="240" w:type="dxa"/>
              <w:bottom w:w="150" w:type="dxa"/>
              <w:right w:w="0" w:type="dxa"/>
            </w:tcMar>
            <w:vAlign w:val="center"/>
          </w:tcPr>
          <w:p>
            <w:pPr>
              <w:rPr>
                <w:rFonts w:hint="default"/>
              </w:rPr>
            </w:pPr>
            <w:r>
              <w:rPr>
                <w:rFonts w:hint="default"/>
                <w:lang w:val="en-US" w:eastAsia="zh-CN"/>
              </w:rPr>
              <w:t>No new minting. NAV increases. NAV per unit increases.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854" w:type="dxa"/>
            <w:shd w:val="clear"/>
            <w:tcMar>
              <w:top w:w="150" w:type="dxa"/>
              <w:left w:w="0" w:type="dxa"/>
              <w:bottom w:w="150" w:type="dxa"/>
              <w:right w:w="240" w:type="dxa"/>
            </w:tcMar>
            <w:vAlign w:val="center"/>
          </w:tcPr>
          <w:p>
            <w:pPr>
              <w:rPr>
                <w:rFonts w:hint="default"/>
              </w:rPr>
            </w:pPr>
            <w:r>
              <w:rPr>
                <w:rFonts w:hint="default"/>
                <w:lang w:val="en-US" w:eastAsia="zh-CN"/>
              </w:rPr>
              <w:t>Forward Pricing Phase</w:t>
            </w:r>
          </w:p>
        </w:tc>
        <w:tc>
          <w:tcPr>
            <w:tcW w:w="4631" w:type="dxa"/>
            <w:shd w:val="clear"/>
            <w:tcMar>
              <w:top w:w="150" w:type="dxa"/>
              <w:left w:w="240" w:type="dxa"/>
              <w:bottom w:w="150" w:type="dxa"/>
              <w:right w:w="240" w:type="dxa"/>
            </w:tcMar>
            <w:vAlign w:val="center"/>
          </w:tcPr>
          <w:p>
            <w:pPr>
              <w:rPr>
                <w:rFonts w:hint="default"/>
              </w:rPr>
            </w:pPr>
            <w:r>
              <w:rPr>
                <w:rFonts w:hint="default"/>
                <w:lang w:val="en-US" w:eastAsia="zh-CN"/>
              </w:rPr>
              <w:t>New units minted at current NAV per unit for the value of the land</w:t>
            </w:r>
          </w:p>
        </w:tc>
        <w:tc>
          <w:tcPr>
            <w:tcW w:w="4794" w:type="dxa"/>
            <w:shd w:val="clear"/>
            <w:tcMar>
              <w:top w:w="150" w:type="dxa"/>
              <w:left w:w="240" w:type="dxa"/>
              <w:bottom w:w="150" w:type="dxa"/>
              <w:right w:w="0" w:type="dxa"/>
            </w:tcMar>
            <w:vAlign w:val="center"/>
          </w:tcPr>
          <w:p>
            <w:pPr>
              <w:rPr>
                <w:rFonts w:hint="default"/>
              </w:rPr>
            </w:pPr>
            <w:r>
              <w:rPr>
                <w:rFonts w:hint="default"/>
                <w:lang w:val="en-US" w:eastAsia="zh-CN"/>
              </w:rPr>
              <w:t>NAV increases. Units outstanding increases. NAV per unit preserved.</w:t>
            </w:r>
          </w:p>
        </w:tc>
      </w:tr>
    </w:tbl>
    <w:p>
      <w:r>
        <w:rPr>
          <w:rFonts w:hint="default"/>
        </w:rPr>
        <w:t>The Neutral Reserve causes appreciation, not dilution.</w:t>
      </w:r>
    </w:p>
    <w:p>
      <w:r>
        <w:rPr>
          <w:rFonts w:hint="default"/>
        </w:rPr>
        <w:t>Land in the Neutral Reserve appreciates when development happens around it.</w:t>
      </w:r>
      <w:r>
        <w:rPr>
          <w:rFonts w:hint="default"/>
        </w:rPr>
        <w:t xml:space="preserve"> The Foundation is the primary driver of development across the continent. As development happens, land value increases. As land value increases, NAV increases. As NAV increases, NAV per unit increases. Unit holders' units appreciate. The Foundation's 30% share of the NAV grows. The Foundation makes up its 30% through land appreciation until Jowih Core companies grow into their 30%.</w:t>
      </w:r>
    </w:p>
    <w:p>
      <w:r>
        <w:rPr>
          <w:rFonts w:hint="default"/>
        </w:rPr>
        <w:t xml:space="preserve">The </w:t>
      </w:r>
      <w:r>
        <w:rPr>
          <w:rFonts w:hint="default"/>
        </w:rPr>
        <w:t>Land Acquisition &amp; Settlement Facility</w:t>
      </w:r>
      <w:r>
        <w:rPr>
          <w:rFonts w:hint="default"/>
        </w:rPr>
        <w:t xml:space="preserve"> enables qualifying Jowih projects to combine cash consideration with Master Fund Units when acquiring land required for development, where legally permissible, providing eligible landowners and communities with immediate cash plus regulated long-term economic participation — with minimum cash, independent legal counsel, cooling-off periods, community consultation, and grievance mechanisms as standard protections.</w:t>
      </w:r>
    </w:p>
    <w:p>
      <w:r>
        <w:rPr>
          <w:rFonts w:hint="default"/>
        </w:rPr>
        <w:t>Units may be listed on NSE and other regulated African securities exchanges</w:t>
      </w:r>
      <w:r>
        <w:rPr>
          <w:rFonts w:hint="default"/>
        </w:rPr>
        <w:t>, providing secondary market liquidity for unit holders.</w:t>
      </w:r>
    </w:p>
    <w:p>
      <w:r>
        <w:rPr>
          <w:rFonts w:hint="default"/>
        </w:rPr>
        <w:t>Forward pricing</w:t>
      </w:r>
      <w:r>
        <w:rPr>
          <w:rFonts w:hint="default"/>
        </w:rPr>
        <w:t xml:space="preserve"> is used for new capital raises and neutral asset admissions: New Units Created = New Cash Invested or Value of Neutral Asset ÷ Current NAV per Unit. No dilution in value. Just new capital or new asset backing.</w:t>
      </w:r>
    </w:p>
    <w:p>
      <w:r>
        <w:rPr>
          <w:rFonts w:hint="default"/>
        </w:rPr>
        <w:t>Jowih opens its commercial operating layer to highly liquid, regulated economic participation by African citizens and the diaspora, while permanently locking the non-profit foundation layer to ensure absolute mission immunity, non-dilutability, and long-term infrastructural neutrality.</w:t>
      </w:r>
    </w:p>
    <w:p>
      <w:r>
        <w:pict>
          <v:rect id="_x0000_i1107"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XXXIII. ONE-SENTENCE ARCHITECTURE</w:t>
      </w:r>
    </w:p>
    <w:p>
      <w:r>
        <w:rPr>
          <w:rFonts w:hint="eastAsia"/>
        </w:rPr>
        <w:t>The Jowih Master Ecosystem Fund is a proposed regulated, non-voting economic-participation architecture that begins with the Jowih 100 and is designed to expand toward 500 qualifying enterprises, separates authorized capacity from outstanding Units and Treasury capacity, maintains a 30% Jowih Core / 70% Ecosystem Partner commercial allocation, provides a separately capped Neutral Reserve for qualifying assets such as land where the reserve adds to NAV and backs every unit whether admitted from Treasury or via forward pricing, causes appreciation rather than dilution, enables approved Jowih projects to use regulated Fund Units alongside cash as land-acquisition consideration with minimum cash, independent legal counsel, and cooling-off protections where legally permissible, uses forward pricing for new capital raises and neutral asset admissions so that new units are created at the current NAV per unit without diluting existing holders, and is designed to be listed on NSE and other regulated African securities exchanges — all while the Foundation's mission and protected governance architecture remain permanently outside the investable plane.</w:t>
      </w:r>
    </w:p>
    <w:p>
      <w:r>
        <w:pict>
          <v:rect id="_x0000_i1108"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APPENDIX A — MASTER ARCHITECTURE AT A GLANCE</w:t>
      </w:r>
    </w:p>
    <w:tbl>
      <w:tblPr>
        <w:tblW w:w="13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799"/>
        <w:gridCol w:w="4035"/>
        <w:gridCol w:w="4418"/>
        <w:gridCol w:w="41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799"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Layer</w:t>
            </w:r>
          </w:p>
        </w:tc>
        <w:tc>
          <w:tcPr>
            <w:tcW w:w="4035"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Principal Entity/Mechanism</w:t>
            </w:r>
          </w:p>
        </w:tc>
        <w:tc>
          <w:tcPr>
            <w:tcW w:w="441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Primary Function</w:t>
            </w:r>
          </w:p>
        </w:tc>
        <w:tc>
          <w:tcPr>
            <w:tcW w:w="4170"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Investor Governance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799" w:type="dxa"/>
            <w:shd w:val="clear"/>
            <w:tcMar>
              <w:top w:w="150" w:type="dxa"/>
              <w:left w:w="0" w:type="dxa"/>
              <w:bottom w:w="150" w:type="dxa"/>
              <w:right w:w="240" w:type="dxa"/>
            </w:tcMar>
            <w:vAlign w:val="center"/>
          </w:tcPr>
          <w:p>
            <w:pPr>
              <w:rPr>
                <w:rFonts w:hint="default"/>
              </w:rPr>
            </w:pPr>
            <w:r>
              <w:rPr>
                <w:rFonts w:hint="default"/>
                <w:lang w:val="en-US" w:eastAsia="zh-CN"/>
              </w:rPr>
              <w:t>1</w:t>
            </w:r>
          </w:p>
        </w:tc>
        <w:tc>
          <w:tcPr>
            <w:tcW w:w="4035" w:type="dxa"/>
            <w:shd w:val="clear"/>
            <w:tcMar>
              <w:top w:w="150" w:type="dxa"/>
              <w:left w:w="240" w:type="dxa"/>
              <w:bottom w:w="150" w:type="dxa"/>
              <w:right w:w="240" w:type="dxa"/>
            </w:tcMar>
            <w:vAlign w:val="center"/>
          </w:tcPr>
          <w:p>
            <w:pPr>
              <w:rPr>
                <w:rFonts w:hint="default"/>
              </w:rPr>
            </w:pPr>
            <w:r>
              <w:rPr>
                <w:rFonts w:hint="default"/>
                <w:lang w:val="en-US" w:eastAsia="zh-CN"/>
              </w:rPr>
              <w:t>Jowih Foundation</w:t>
            </w:r>
          </w:p>
        </w:tc>
        <w:tc>
          <w:tcPr>
            <w:tcW w:w="4418" w:type="dxa"/>
            <w:shd w:val="clear"/>
            <w:tcMar>
              <w:top w:w="150" w:type="dxa"/>
              <w:left w:w="240" w:type="dxa"/>
              <w:bottom w:w="150" w:type="dxa"/>
              <w:right w:w="240" w:type="dxa"/>
            </w:tcMar>
            <w:vAlign w:val="center"/>
          </w:tcPr>
          <w:p>
            <w:pPr>
              <w:rPr>
                <w:rFonts w:hint="default"/>
              </w:rPr>
            </w:pPr>
            <w:r>
              <w:rPr>
                <w:rFonts w:hint="default"/>
                <w:lang w:val="en-US" w:eastAsia="zh-CN"/>
              </w:rPr>
              <w:t>Mission and continental development</w:t>
            </w:r>
          </w:p>
        </w:tc>
        <w:tc>
          <w:tcPr>
            <w:tcW w:w="4170" w:type="dxa"/>
            <w:shd w:val="clear"/>
            <w:tcMar>
              <w:top w:w="150" w:type="dxa"/>
              <w:left w:w="240" w:type="dxa"/>
              <w:bottom w:w="150" w:type="dxa"/>
              <w:right w:w="0" w:type="dxa"/>
            </w:tcMar>
            <w:vAlign w:val="center"/>
          </w:tcPr>
          <w:p>
            <w:pPr>
              <w:rPr>
                <w:rFonts w:hint="default"/>
              </w:rPr>
            </w:pPr>
            <w:r>
              <w:rPr>
                <w:rFonts w:hint="default"/>
                <w:lang w:val="en-US" w:eastAsia="zh-CN"/>
              </w:rPr>
              <w:t>Protected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799" w:type="dxa"/>
            <w:shd w:val="clear"/>
            <w:tcMar>
              <w:top w:w="150" w:type="dxa"/>
              <w:left w:w="0" w:type="dxa"/>
              <w:bottom w:w="150" w:type="dxa"/>
              <w:right w:w="240" w:type="dxa"/>
            </w:tcMar>
            <w:vAlign w:val="center"/>
          </w:tcPr>
          <w:p>
            <w:pPr>
              <w:rPr>
                <w:rFonts w:hint="default"/>
              </w:rPr>
            </w:pPr>
            <w:r>
              <w:rPr>
                <w:rFonts w:hint="default"/>
                <w:lang w:val="en-US" w:eastAsia="zh-CN"/>
              </w:rPr>
              <w:t>2</w:t>
            </w:r>
          </w:p>
        </w:tc>
        <w:tc>
          <w:tcPr>
            <w:tcW w:w="4035" w:type="dxa"/>
            <w:shd w:val="clear"/>
            <w:tcMar>
              <w:top w:w="150" w:type="dxa"/>
              <w:left w:w="240" w:type="dxa"/>
              <w:bottom w:w="150" w:type="dxa"/>
              <w:right w:w="240" w:type="dxa"/>
            </w:tcMar>
            <w:vAlign w:val="center"/>
          </w:tcPr>
          <w:p>
            <w:pPr>
              <w:rPr>
                <w:rFonts w:hint="default"/>
              </w:rPr>
            </w:pPr>
            <w:r>
              <w:rPr>
                <w:rFonts w:hint="default"/>
                <w:lang w:val="en-US" w:eastAsia="zh-CN"/>
              </w:rPr>
              <w:t>Jowih Holdings</w:t>
            </w:r>
          </w:p>
        </w:tc>
        <w:tc>
          <w:tcPr>
            <w:tcW w:w="4418" w:type="dxa"/>
            <w:shd w:val="clear"/>
            <w:tcMar>
              <w:top w:w="150" w:type="dxa"/>
              <w:left w:w="240" w:type="dxa"/>
              <w:bottom w:w="150" w:type="dxa"/>
              <w:right w:w="240" w:type="dxa"/>
            </w:tcMar>
            <w:vAlign w:val="center"/>
          </w:tcPr>
          <w:p>
            <w:pPr>
              <w:rPr>
                <w:rFonts w:hint="default"/>
              </w:rPr>
            </w:pPr>
            <w:r>
              <w:rPr>
                <w:rFonts w:hint="default"/>
                <w:lang w:val="en-US" w:eastAsia="zh-CN"/>
              </w:rPr>
              <w:t>Ownership and strategic governance</w:t>
            </w:r>
          </w:p>
        </w:tc>
        <w:tc>
          <w:tcPr>
            <w:tcW w:w="4170" w:type="dxa"/>
            <w:shd w:val="clear"/>
            <w:tcMar>
              <w:top w:w="150" w:type="dxa"/>
              <w:left w:w="240" w:type="dxa"/>
              <w:bottom w:w="150" w:type="dxa"/>
              <w:right w:w="0" w:type="dxa"/>
            </w:tcMar>
            <w:vAlign w:val="center"/>
          </w:tcPr>
          <w:p>
            <w:pPr>
              <w:rPr>
                <w:rFonts w:hint="default"/>
              </w:rPr>
            </w:pPr>
            <w:r>
              <w:rPr>
                <w:rFonts w:hint="default"/>
                <w:lang w:val="en-US" w:eastAsia="zh-CN"/>
              </w:rPr>
              <w:t>Not accessed through Fund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799" w:type="dxa"/>
            <w:shd w:val="clear"/>
            <w:tcMar>
              <w:top w:w="150" w:type="dxa"/>
              <w:left w:w="0" w:type="dxa"/>
              <w:bottom w:w="150" w:type="dxa"/>
              <w:right w:w="240" w:type="dxa"/>
            </w:tcMar>
            <w:vAlign w:val="center"/>
          </w:tcPr>
          <w:p>
            <w:pPr>
              <w:rPr>
                <w:rFonts w:hint="default"/>
              </w:rPr>
            </w:pPr>
            <w:r>
              <w:rPr>
                <w:rFonts w:hint="default"/>
                <w:lang w:val="en-US" w:eastAsia="zh-CN"/>
              </w:rPr>
              <w:t>3</w:t>
            </w:r>
          </w:p>
        </w:tc>
        <w:tc>
          <w:tcPr>
            <w:tcW w:w="4035" w:type="dxa"/>
            <w:shd w:val="clear"/>
            <w:tcMar>
              <w:top w:w="150" w:type="dxa"/>
              <w:left w:w="240" w:type="dxa"/>
              <w:bottom w:w="150" w:type="dxa"/>
              <w:right w:w="240" w:type="dxa"/>
            </w:tcMar>
            <w:vAlign w:val="center"/>
          </w:tcPr>
          <w:p>
            <w:pPr>
              <w:rPr>
                <w:rFonts w:hint="default"/>
              </w:rPr>
            </w:pPr>
            <w:r>
              <w:rPr>
                <w:rFonts w:hint="default"/>
                <w:lang w:val="en-US" w:eastAsia="zh-CN"/>
              </w:rPr>
              <w:t>Jowih Group</w:t>
            </w:r>
          </w:p>
        </w:tc>
        <w:tc>
          <w:tcPr>
            <w:tcW w:w="4418" w:type="dxa"/>
            <w:shd w:val="clear"/>
            <w:tcMar>
              <w:top w:w="150" w:type="dxa"/>
              <w:left w:w="240" w:type="dxa"/>
              <w:bottom w:w="150" w:type="dxa"/>
              <w:right w:w="240" w:type="dxa"/>
            </w:tcMar>
            <w:vAlign w:val="center"/>
          </w:tcPr>
          <w:p>
            <w:pPr>
              <w:rPr>
                <w:rFonts w:hint="default"/>
              </w:rPr>
            </w:pPr>
            <w:r>
              <w:rPr>
                <w:rFonts w:hint="default"/>
                <w:lang w:val="en-US" w:eastAsia="zh-CN"/>
              </w:rPr>
              <w:t>Commercial execution and operations</w:t>
            </w:r>
          </w:p>
        </w:tc>
        <w:tc>
          <w:tcPr>
            <w:tcW w:w="4170" w:type="dxa"/>
            <w:shd w:val="clear"/>
            <w:tcMar>
              <w:top w:w="150" w:type="dxa"/>
              <w:left w:w="240" w:type="dxa"/>
              <w:bottom w:w="150" w:type="dxa"/>
              <w:right w:w="0" w:type="dxa"/>
            </w:tcMar>
            <w:vAlign w:val="center"/>
          </w:tcPr>
          <w:p>
            <w:pPr>
              <w:rPr>
                <w:rFonts w:hint="default"/>
              </w:rPr>
            </w:pPr>
            <w:r>
              <w:rPr>
                <w:rFonts w:hint="default"/>
                <w:lang w:val="en-US" w:eastAsia="zh-CN"/>
              </w:rPr>
              <w:t>Not accessed through Fund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799" w:type="dxa"/>
            <w:shd w:val="clear"/>
            <w:tcMar>
              <w:top w:w="150" w:type="dxa"/>
              <w:left w:w="0" w:type="dxa"/>
              <w:bottom w:w="150" w:type="dxa"/>
              <w:right w:w="240" w:type="dxa"/>
            </w:tcMar>
            <w:vAlign w:val="center"/>
          </w:tcPr>
          <w:p>
            <w:pPr>
              <w:rPr>
                <w:rFonts w:hint="default"/>
              </w:rPr>
            </w:pPr>
            <w:r>
              <w:rPr>
                <w:rFonts w:hint="default"/>
                <w:lang w:val="en-US" w:eastAsia="zh-CN"/>
              </w:rPr>
              <w:t>4</w:t>
            </w:r>
          </w:p>
        </w:tc>
        <w:tc>
          <w:tcPr>
            <w:tcW w:w="4035" w:type="dxa"/>
            <w:shd w:val="clear"/>
            <w:tcMar>
              <w:top w:w="150" w:type="dxa"/>
              <w:left w:w="240" w:type="dxa"/>
              <w:bottom w:w="150" w:type="dxa"/>
              <w:right w:w="240" w:type="dxa"/>
            </w:tcMar>
            <w:vAlign w:val="center"/>
          </w:tcPr>
          <w:p>
            <w:pPr>
              <w:rPr>
                <w:rFonts w:hint="default"/>
              </w:rPr>
            </w:pPr>
            <w:r>
              <w:rPr>
                <w:rFonts w:hint="default"/>
                <w:lang w:val="en-US" w:eastAsia="zh-CN"/>
              </w:rPr>
              <w:t>Master Ecosystem Fund</w:t>
            </w:r>
          </w:p>
        </w:tc>
        <w:tc>
          <w:tcPr>
            <w:tcW w:w="4418" w:type="dxa"/>
            <w:shd w:val="clear"/>
            <w:tcMar>
              <w:top w:w="150" w:type="dxa"/>
              <w:left w:w="240" w:type="dxa"/>
              <w:bottom w:w="150" w:type="dxa"/>
              <w:right w:w="240" w:type="dxa"/>
            </w:tcMar>
            <w:vAlign w:val="center"/>
          </w:tcPr>
          <w:p>
            <w:pPr>
              <w:rPr>
                <w:rFonts w:hint="default"/>
              </w:rPr>
            </w:pPr>
            <w:r>
              <w:rPr>
                <w:rFonts w:hint="default"/>
                <w:lang w:val="en-US" w:eastAsia="zh-CN"/>
              </w:rPr>
              <w:t>Regulated economic participation</w:t>
            </w:r>
          </w:p>
        </w:tc>
        <w:tc>
          <w:tcPr>
            <w:tcW w:w="4170" w:type="dxa"/>
            <w:shd w:val="clear"/>
            <w:tcMar>
              <w:top w:w="150" w:type="dxa"/>
              <w:left w:w="240" w:type="dxa"/>
              <w:bottom w:w="150" w:type="dxa"/>
              <w:right w:w="0" w:type="dxa"/>
            </w:tcMar>
            <w:vAlign w:val="center"/>
          </w:tcPr>
          <w:p>
            <w:pPr>
              <w:rPr>
                <w:rFonts w:hint="default"/>
              </w:rPr>
            </w:pPr>
            <w:r>
              <w:rPr>
                <w:rFonts w:hint="default"/>
                <w:lang w:val="en-US" w:eastAsia="zh-CN"/>
              </w:rPr>
              <w:t>Economic rights only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799" w:type="dxa"/>
            <w:shd w:val="clear"/>
            <w:tcMar>
              <w:top w:w="150" w:type="dxa"/>
              <w:left w:w="0" w:type="dxa"/>
              <w:bottom w:w="150" w:type="dxa"/>
              <w:right w:w="240" w:type="dxa"/>
            </w:tcMar>
            <w:vAlign w:val="center"/>
          </w:tcPr>
          <w:p>
            <w:pPr>
              <w:rPr>
                <w:rFonts w:hint="default"/>
              </w:rPr>
            </w:pPr>
            <w:r>
              <w:rPr>
                <w:rFonts w:hint="default"/>
                <w:lang w:val="en-US" w:eastAsia="zh-CN"/>
              </w:rPr>
              <w:t>5</w:t>
            </w:r>
          </w:p>
        </w:tc>
        <w:tc>
          <w:tcPr>
            <w:tcW w:w="4035" w:type="dxa"/>
            <w:shd w:val="clear"/>
            <w:tcMar>
              <w:top w:w="150" w:type="dxa"/>
              <w:left w:w="240" w:type="dxa"/>
              <w:bottom w:w="150" w:type="dxa"/>
              <w:right w:w="240" w:type="dxa"/>
            </w:tcMar>
            <w:vAlign w:val="center"/>
          </w:tcPr>
          <w:p>
            <w:pPr>
              <w:rPr>
                <w:rFonts w:hint="default"/>
              </w:rPr>
            </w:pPr>
            <w:r>
              <w:rPr>
                <w:rFonts w:hint="default"/>
                <w:lang w:val="en-US" w:eastAsia="zh-CN"/>
              </w:rPr>
              <w:t>Jowih 100 → 500</w:t>
            </w:r>
          </w:p>
        </w:tc>
        <w:tc>
          <w:tcPr>
            <w:tcW w:w="4418" w:type="dxa"/>
            <w:shd w:val="clear"/>
            <w:tcMar>
              <w:top w:w="150" w:type="dxa"/>
              <w:left w:w="240" w:type="dxa"/>
              <w:bottom w:w="150" w:type="dxa"/>
              <w:right w:w="240" w:type="dxa"/>
            </w:tcMar>
            <w:vAlign w:val="center"/>
          </w:tcPr>
          <w:p>
            <w:pPr>
              <w:rPr>
                <w:rFonts w:hint="default"/>
              </w:rPr>
            </w:pPr>
            <w:r>
              <w:rPr>
                <w:rFonts w:hint="default"/>
                <w:lang w:val="en-US" w:eastAsia="zh-CN"/>
              </w:rPr>
              <w:t>Enterprise qualification/index architecture</w:t>
            </w:r>
          </w:p>
        </w:tc>
        <w:tc>
          <w:tcPr>
            <w:tcW w:w="4170" w:type="dxa"/>
            <w:shd w:val="clear"/>
            <w:tcMar>
              <w:top w:w="150" w:type="dxa"/>
              <w:left w:w="240" w:type="dxa"/>
              <w:bottom w:w="150" w:type="dxa"/>
              <w:right w:w="0" w:type="dxa"/>
            </w:tcMar>
            <w:vAlign w:val="center"/>
          </w:tcPr>
          <w:p>
            <w:pPr>
              <w:rPr>
                <w:rFonts w:hint="default"/>
              </w:rPr>
            </w:pPr>
            <w:r>
              <w:rPr>
                <w:rFonts w:hint="default"/>
                <w:lang w:val="en-US" w:eastAsia="zh-CN"/>
              </w:rPr>
              <w:t>No direct governance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799" w:type="dxa"/>
            <w:shd w:val="clear"/>
            <w:tcMar>
              <w:top w:w="150" w:type="dxa"/>
              <w:left w:w="0" w:type="dxa"/>
              <w:bottom w:w="150" w:type="dxa"/>
              <w:right w:w="240" w:type="dxa"/>
            </w:tcMar>
            <w:vAlign w:val="center"/>
          </w:tcPr>
          <w:p>
            <w:pPr>
              <w:rPr>
                <w:rFonts w:hint="default"/>
              </w:rPr>
            </w:pPr>
            <w:r>
              <w:rPr>
                <w:rFonts w:hint="default"/>
                <w:lang w:val="en-US" w:eastAsia="zh-CN"/>
              </w:rPr>
              <w:t>6</w:t>
            </w:r>
          </w:p>
        </w:tc>
        <w:tc>
          <w:tcPr>
            <w:tcW w:w="4035" w:type="dxa"/>
            <w:shd w:val="clear"/>
            <w:tcMar>
              <w:top w:w="150" w:type="dxa"/>
              <w:left w:w="240" w:type="dxa"/>
              <w:bottom w:w="150" w:type="dxa"/>
              <w:right w:w="240" w:type="dxa"/>
            </w:tcMar>
            <w:vAlign w:val="center"/>
          </w:tcPr>
          <w:p>
            <w:pPr>
              <w:rPr>
                <w:rFonts w:hint="default"/>
              </w:rPr>
            </w:pPr>
            <w:r>
              <w:rPr>
                <w:rFonts w:hint="default"/>
                <w:lang w:val="en-US" w:eastAsia="zh-CN"/>
              </w:rPr>
              <w:t>Neutral Reserve</w:t>
            </w:r>
          </w:p>
        </w:tc>
        <w:tc>
          <w:tcPr>
            <w:tcW w:w="4418" w:type="dxa"/>
            <w:shd w:val="clear"/>
            <w:tcMar>
              <w:top w:w="150" w:type="dxa"/>
              <w:left w:w="240" w:type="dxa"/>
              <w:bottom w:w="150" w:type="dxa"/>
              <w:right w:w="240" w:type="dxa"/>
            </w:tcMar>
            <w:vAlign w:val="center"/>
          </w:tcPr>
          <w:p>
            <w:pPr>
              <w:rPr>
                <w:rFonts w:hint="default"/>
              </w:rPr>
            </w:pPr>
            <w:r>
              <w:rPr>
                <w:rFonts w:hint="default"/>
                <w:lang w:val="en-US" w:eastAsia="zh-CN"/>
              </w:rPr>
              <w:t>Neutral asset integration</w:t>
            </w:r>
          </w:p>
        </w:tc>
        <w:tc>
          <w:tcPr>
            <w:tcW w:w="4170" w:type="dxa"/>
            <w:shd w:val="clear"/>
            <w:tcMar>
              <w:top w:w="150" w:type="dxa"/>
              <w:left w:w="240" w:type="dxa"/>
              <w:bottom w:w="150" w:type="dxa"/>
              <w:right w:w="0" w:type="dxa"/>
            </w:tcMar>
            <w:vAlign w:val="center"/>
          </w:tcPr>
          <w:p>
            <w:pPr>
              <w:rPr>
                <w:rFonts w:hint="default"/>
              </w:rPr>
            </w:pPr>
            <w:r>
              <w:rPr>
                <w:rFonts w:hint="default"/>
                <w:lang w:val="en-US" w:eastAsia="zh-CN"/>
              </w:rPr>
              <w:t>Economic rights only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799" w:type="dxa"/>
            <w:shd w:val="clear"/>
            <w:tcMar>
              <w:top w:w="150" w:type="dxa"/>
              <w:left w:w="0" w:type="dxa"/>
              <w:bottom w:w="150" w:type="dxa"/>
              <w:right w:w="240" w:type="dxa"/>
            </w:tcMar>
            <w:vAlign w:val="center"/>
          </w:tcPr>
          <w:p>
            <w:pPr>
              <w:rPr>
                <w:rFonts w:hint="default"/>
              </w:rPr>
            </w:pPr>
            <w:r>
              <w:rPr>
                <w:rFonts w:hint="default"/>
                <w:lang w:val="en-US" w:eastAsia="zh-CN"/>
              </w:rPr>
              <w:t>7</w:t>
            </w:r>
          </w:p>
        </w:tc>
        <w:tc>
          <w:tcPr>
            <w:tcW w:w="4035" w:type="dxa"/>
            <w:shd w:val="clear"/>
            <w:tcMar>
              <w:top w:w="150" w:type="dxa"/>
              <w:left w:w="240" w:type="dxa"/>
              <w:bottom w:w="150" w:type="dxa"/>
              <w:right w:w="240" w:type="dxa"/>
            </w:tcMar>
            <w:vAlign w:val="center"/>
          </w:tcPr>
          <w:p>
            <w:pPr>
              <w:rPr>
                <w:rFonts w:hint="default"/>
              </w:rPr>
            </w:pPr>
            <w:r>
              <w:rPr>
                <w:rFonts w:hint="default"/>
                <w:lang w:val="en-US" w:eastAsia="zh-CN"/>
              </w:rPr>
              <w:t>Land Acquisition &amp; Settlement Facility</w:t>
            </w:r>
          </w:p>
        </w:tc>
        <w:tc>
          <w:tcPr>
            <w:tcW w:w="4418" w:type="dxa"/>
            <w:shd w:val="clear"/>
            <w:tcMar>
              <w:top w:w="150" w:type="dxa"/>
              <w:left w:w="240" w:type="dxa"/>
              <w:bottom w:w="150" w:type="dxa"/>
              <w:right w:w="240" w:type="dxa"/>
            </w:tcMar>
            <w:vAlign w:val="center"/>
          </w:tcPr>
          <w:p>
            <w:pPr>
              <w:rPr>
                <w:rFonts w:hint="default"/>
              </w:rPr>
            </w:pPr>
            <w:r>
              <w:rPr>
                <w:rFonts w:hint="default"/>
                <w:lang w:val="en-US" w:eastAsia="zh-CN"/>
              </w:rPr>
              <w:t>Development-linked settlement</w:t>
            </w:r>
          </w:p>
        </w:tc>
        <w:tc>
          <w:tcPr>
            <w:tcW w:w="4170" w:type="dxa"/>
            <w:shd w:val="clear"/>
            <w:tcMar>
              <w:top w:w="150" w:type="dxa"/>
              <w:left w:w="240" w:type="dxa"/>
              <w:bottom w:w="150" w:type="dxa"/>
              <w:right w:w="0" w:type="dxa"/>
            </w:tcMar>
            <w:vAlign w:val="center"/>
          </w:tcPr>
          <w:p>
            <w:pPr>
              <w:rPr>
                <w:rFonts w:hint="default"/>
              </w:rPr>
            </w:pPr>
            <w:r>
              <w:rPr>
                <w:rFonts w:hint="default"/>
                <w:lang w:val="en-US" w:eastAsia="zh-CN"/>
              </w:rPr>
              <w:t>No automatic governance rights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799" w:type="dxa"/>
            <w:shd w:val="clear"/>
            <w:tcMar>
              <w:top w:w="150" w:type="dxa"/>
              <w:left w:w="0" w:type="dxa"/>
              <w:bottom w:w="150" w:type="dxa"/>
              <w:right w:w="240" w:type="dxa"/>
            </w:tcMar>
            <w:vAlign w:val="center"/>
          </w:tcPr>
          <w:p>
            <w:pPr>
              <w:rPr>
                <w:rFonts w:hint="default"/>
              </w:rPr>
            </w:pPr>
            <w:r>
              <w:rPr>
                <w:rFonts w:hint="default"/>
                <w:lang w:val="en-US" w:eastAsia="zh-CN"/>
              </w:rPr>
              <w:t>8</w:t>
            </w:r>
          </w:p>
        </w:tc>
        <w:tc>
          <w:tcPr>
            <w:tcW w:w="4035" w:type="dxa"/>
            <w:shd w:val="clear"/>
            <w:tcMar>
              <w:top w:w="150" w:type="dxa"/>
              <w:left w:w="240" w:type="dxa"/>
              <w:bottom w:w="150" w:type="dxa"/>
              <w:right w:w="240" w:type="dxa"/>
            </w:tcMar>
            <w:vAlign w:val="center"/>
          </w:tcPr>
          <w:p>
            <w:pPr>
              <w:rPr>
                <w:rFonts w:hint="default"/>
              </w:rPr>
            </w:pPr>
            <w:r>
              <w:rPr>
                <w:rFonts w:hint="default"/>
                <w:lang w:val="en-US" w:eastAsia="zh-CN"/>
              </w:rPr>
              <w:t>Grid Bond</w:t>
            </w:r>
          </w:p>
        </w:tc>
        <w:tc>
          <w:tcPr>
            <w:tcW w:w="4418" w:type="dxa"/>
            <w:shd w:val="clear"/>
            <w:tcMar>
              <w:top w:w="150" w:type="dxa"/>
              <w:left w:w="240" w:type="dxa"/>
              <w:bottom w:w="150" w:type="dxa"/>
              <w:right w:w="240" w:type="dxa"/>
            </w:tcMar>
            <w:vAlign w:val="center"/>
          </w:tcPr>
          <w:p>
            <w:pPr>
              <w:rPr>
                <w:rFonts w:hint="default"/>
              </w:rPr>
            </w:pPr>
            <w:r>
              <w:rPr>
                <w:rFonts w:hint="default"/>
                <w:lang w:val="en-US" w:eastAsia="zh-CN"/>
              </w:rPr>
              <w:t>Initial build-out capital</w:t>
            </w:r>
          </w:p>
        </w:tc>
        <w:tc>
          <w:tcPr>
            <w:tcW w:w="4170" w:type="dxa"/>
            <w:shd w:val="clear"/>
            <w:tcMar>
              <w:top w:w="150" w:type="dxa"/>
              <w:left w:w="240" w:type="dxa"/>
              <w:bottom w:w="150" w:type="dxa"/>
              <w:right w:w="0" w:type="dxa"/>
            </w:tcMar>
            <w:vAlign w:val="center"/>
          </w:tcPr>
          <w:p>
            <w:pPr>
              <w:rPr>
                <w:rFonts w:hint="default"/>
              </w:rPr>
            </w:pPr>
            <w:r>
              <w:rPr>
                <w:rFonts w:hint="default"/>
                <w:lang w:val="en-US" w:eastAsia="zh-CN"/>
              </w:rPr>
              <w:t>Governed by separate Bond framework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799" w:type="dxa"/>
            <w:shd w:val="clear"/>
            <w:tcMar>
              <w:top w:w="150" w:type="dxa"/>
              <w:left w:w="0" w:type="dxa"/>
              <w:bottom w:w="150" w:type="dxa"/>
              <w:right w:w="240" w:type="dxa"/>
            </w:tcMar>
            <w:vAlign w:val="center"/>
          </w:tcPr>
          <w:p>
            <w:pPr>
              <w:rPr>
                <w:rFonts w:hint="default"/>
              </w:rPr>
            </w:pPr>
            <w:r>
              <w:rPr>
                <w:rFonts w:hint="default"/>
                <w:lang w:val="en-US" w:eastAsia="zh-CN"/>
              </w:rPr>
              <w:t>9</w:t>
            </w:r>
          </w:p>
        </w:tc>
        <w:tc>
          <w:tcPr>
            <w:tcW w:w="4035" w:type="dxa"/>
            <w:shd w:val="clear"/>
            <w:tcMar>
              <w:top w:w="150" w:type="dxa"/>
              <w:left w:w="240" w:type="dxa"/>
              <w:bottom w:w="150" w:type="dxa"/>
              <w:right w:w="240" w:type="dxa"/>
            </w:tcMar>
            <w:vAlign w:val="center"/>
          </w:tcPr>
          <w:p>
            <w:pPr>
              <w:rPr>
                <w:rFonts w:hint="default"/>
              </w:rPr>
            </w:pPr>
            <w:r>
              <w:rPr>
                <w:rFonts w:hint="default"/>
                <w:lang w:val="en-US" w:eastAsia="zh-CN"/>
              </w:rPr>
              <w:t>NSE &amp; Other Exchanges</w:t>
            </w:r>
          </w:p>
        </w:tc>
        <w:tc>
          <w:tcPr>
            <w:tcW w:w="4418" w:type="dxa"/>
            <w:shd w:val="clear"/>
            <w:tcMar>
              <w:top w:w="150" w:type="dxa"/>
              <w:left w:w="240" w:type="dxa"/>
              <w:bottom w:w="150" w:type="dxa"/>
              <w:right w:w="240" w:type="dxa"/>
            </w:tcMar>
            <w:vAlign w:val="center"/>
          </w:tcPr>
          <w:p>
            <w:pPr>
              <w:rPr>
                <w:rFonts w:hint="default"/>
              </w:rPr>
            </w:pPr>
            <w:r>
              <w:rPr>
                <w:rFonts w:hint="default"/>
                <w:lang w:val="en-US" w:eastAsia="zh-CN"/>
              </w:rPr>
              <w:t>Secondary market listing</w:t>
            </w:r>
          </w:p>
        </w:tc>
        <w:tc>
          <w:tcPr>
            <w:tcW w:w="4170" w:type="dxa"/>
            <w:shd w:val="clear"/>
            <w:tcMar>
              <w:top w:w="150" w:type="dxa"/>
              <w:left w:w="240" w:type="dxa"/>
              <w:bottom w:w="150" w:type="dxa"/>
              <w:right w:w="0" w:type="dxa"/>
            </w:tcMar>
            <w:vAlign w:val="center"/>
          </w:tcPr>
          <w:p>
            <w:pPr>
              <w:rPr>
                <w:rFonts w:hint="default"/>
              </w:rPr>
            </w:pPr>
            <w:r>
              <w:rPr>
                <w:rFonts w:hint="default"/>
                <w:lang w:val="en-US" w:eastAsia="zh-CN"/>
              </w:rPr>
              <w:t>Market-determined price</w:t>
            </w:r>
          </w:p>
        </w:tc>
      </w:tr>
    </w:tbl>
    <w:p>
      <w:r>
        <w:pict>
          <v:rect id="_x0000_i1109"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APPENDIX B — CORE NUMERICAL ARCHITECTURE</w:t>
      </w:r>
    </w:p>
    <w:p>
      <w:r>
        <w:rPr>
          <w:rFonts w:hint="eastAsia"/>
        </w:rPr>
        <w:t>Illustrative Example Only — Not a Valuation, Not a Capital Raise Target, Not a Guarantee</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6248"/>
        <w:gridCol w:w="50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6248"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Parameter</w:t>
            </w:r>
          </w:p>
        </w:tc>
        <w:tc>
          <w:tcPr>
            <w:tcW w:w="503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Base 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Opening Index</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Jowih 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Expansion Capacity</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Toward Jowih 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Jowih Core Allocation</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Ecosystem Partner Allocation</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Neutral Reserve Cap</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10% of Total Fund NAV</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Illustrative Opening Authorization</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US$80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Illustrative Expansion Authorization</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US$300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Illustrative Unit Price</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US$0.05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Illustrative Units Issued</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1,600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Illustrative Initial Sale</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80% (1,280 Billion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Illustrative Cash Raised</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US$64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Illustrative Jowih Core Outstanding</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US$19.2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Illustrative Ecosystem Partner Outstanding</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US$44.8 Billion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Illustrative Treasury (Remaining)</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US$16 Billion (320 Billion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Maximum Partner Equity Vaulting</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Minimum Partner Equity Retained</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Voting Rights Through Fund Units</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Board Seats Through Fund Units</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Operational Control Through Fund Units</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248" w:type="dxa"/>
            <w:shd w:val="clear"/>
            <w:tcMar>
              <w:top w:w="150" w:type="dxa"/>
              <w:left w:w="0" w:type="dxa"/>
              <w:bottom w:w="150" w:type="dxa"/>
              <w:right w:w="240" w:type="dxa"/>
            </w:tcMar>
            <w:vAlign w:val="center"/>
          </w:tcPr>
          <w:p>
            <w:pPr>
              <w:rPr>
                <w:rFonts w:hint="default"/>
              </w:rPr>
            </w:pPr>
            <w:r>
              <w:rPr>
                <w:rFonts w:hint="default"/>
                <w:lang w:val="en-US" w:eastAsia="zh-CN"/>
              </w:rPr>
              <w:t>Fund Voting of Vaulted Shares</w:t>
            </w:r>
          </w:p>
        </w:tc>
        <w:tc>
          <w:tcPr>
            <w:tcW w:w="5032" w:type="dxa"/>
            <w:shd w:val="clear"/>
            <w:tcMar>
              <w:top w:w="150" w:type="dxa"/>
              <w:left w:w="240" w:type="dxa"/>
              <w:bottom w:w="150" w:type="dxa"/>
              <w:right w:w="0" w:type="dxa"/>
            </w:tcMar>
            <w:vAlign w:val="center"/>
          </w:tcPr>
          <w:p>
            <w:pPr>
              <w:rPr>
                <w:rFonts w:hint="default"/>
              </w:rPr>
            </w:pPr>
            <w:r>
              <w:rPr>
                <w:rFonts w:hint="default"/>
                <w:lang w:val="en-US" w:eastAsia="zh-CN"/>
              </w:rPr>
              <w:t>None — asset-locked</w:t>
            </w:r>
          </w:p>
        </w:tc>
      </w:tr>
    </w:tbl>
    <w:p>
      <w:r>
        <w:pict>
          <v:rect id="_x0000_i1110"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APPENDIX C — APPRECIATION AT A GLANCE</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469"/>
        <w:gridCol w:w="881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469"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Concept</w:t>
            </w:r>
          </w:p>
        </w:tc>
        <w:tc>
          <w:tcPr>
            <w:tcW w:w="8811"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What It Means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69" w:type="dxa"/>
            <w:shd w:val="clear"/>
            <w:tcMar>
              <w:top w:w="150" w:type="dxa"/>
              <w:left w:w="0" w:type="dxa"/>
              <w:bottom w:w="150" w:type="dxa"/>
              <w:right w:w="240" w:type="dxa"/>
            </w:tcMar>
            <w:vAlign w:val="center"/>
          </w:tcPr>
          <w:p>
            <w:pPr>
              <w:rPr>
                <w:rFonts w:hint="default"/>
              </w:rPr>
            </w:pPr>
            <w:r>
              <w:rPr>
                <w:rFonts w:hint="default"/>
                <w:lang w:val="en-US" w:eastAsia="zh-CN"/>
              </w:rPr>
              <w:t>Neutral Reserve</w:t>
            </w:r>
          </w:p>
        </w:tc>
        <w:tc>
          <w:tcPr>
            <w:tcW w:w="8811" w:type="dxa"/>
            <w:shd w:val="clear"/>
            <w:tcMar>
              <w:top w:w="150" w:type="dxa"/>
              <w:left w:w="240" w:type="dxa"/>
              <w:bottom w:w="150" w:type="dxa"/>
              <w:right w:w="0" w:type="dxa"/>
            </w:tcMar>
            <w:vAlign w:val="center"/>
          </w:tcPr>
          <w:p>
            <w:pPr>
              <w:rPr>
                <w:rFonts w:hint="default"/>
              </w:rPr>
            </w:pPr>
            <w:r>
              <w:rPr>
                <w:rFonts w:hint="default"/>
                <w:lang w:val="en-US" w:eastAsia="zh-CN"/>
              </w:rPr>
              <w:t>A percentage backing. Adds to NAV. Backs every unit. Causes appreciation, not dilution.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69" w:type="dxa"/>
            <w:shd w:val="clear"/>
            <w:tcMar>
              <w:top w:w="150" w:type="dxa"/>
              <w:left w:w="0" w:type="dxa"/>
              <w:bottom w:w="150" w:type="dxa"/>
              <w:right w:w="240" w:type="dxa"/>
            </w:tcMar>
            <w:vAlign w:val="center"/>
          </w:tcPr>
          <w:p>
            <w:pPr>
              <w:rPr>
                <w:rFonts w:hint="default"/>
              </w:rPr>
            </w:pPr>
            <w:r>
              <w:rPr>
                <w:rFonts w:hint="default"/>
                <w:lang w:val="en-US" w:eastAsia="zh-CN"/>
              </w:rPr>
              <w:t>Treasury-Phase Admission</w:t>
            </w:r>
          </w:p>
        </w:tc>
        <w:tc>
          <w:tcPr>
            <w:tcW w:w="8811" w:type="dxa"/>
            <w:shd w:val="clear"/>
            <w:tcMar>
              <w:top w:w="150" w:type="dxa"/>
              <w:left w:w="240" w:type="dxa"/>
              <w:bottom w:w="150" w:type="dxa"/>
              <w:right w:w="0" w:type="dxa"/>
            </w:tcMar>
            <w:vAlign w:val="center"/>
          </w:tcPr>
          <w:p>
            <w:pPr>
              <w:rPr>
                <w:rFonts w:hint="default"/>
              </w:rPr>
            </w:pPr>
            <w:r>
              <w:rPr>
                <w:rFonts w:hint="default"/>
                <w:lang w:val="en-US" w:eastAsia="zh-CN"/>
              </w:rPr>
              <w:t>Land admitted using unsold Treasury units. No new minting.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69" w:type="dxa"/>
            <w:shd w:val="clear"/>
            <w:tcMar>
              <w:top w:w="150" w:type="dxa"/>
              <w:left w:w="0" w:type="dxa"/>
              <w:bottom w:w="150" w:type="dxa"/>
              <w:right w:w="240" w:type="dxa"/>
            </w:tcMar>
            <w:vAlign w:val="center"/>
          </w:tcPr>
          <w:p>
            <w:pPr>
              <w:rPr>
                <w:rFonts w:hint="default"/>
              </w:rPr>
            </w:pPr>
            <w:r>
              <w:rPr>
                <w:rFonts w:hint="default"/>
                <w:lang w:val="en-US" w:eastAsia="zh-CN"/>
              </w:rPr>
              <w:t>Forward Pricing Admission</w:t>
            </w:r>
          </w:p>
        </w:tc>
        <w:tc>
          <w:tcPr>
            <w:tcW w:w="8811" w:type="dxa"/>
            <w:shd w:val="clear"/>
            <w:tcMar>
              <w:top w:w="150" w:type="dxa"/>
              <w:left w:w="240" w:type="dxa"/>
              <w:bottom w:w="150" w:type="dxa"/>
              <w:right w:w="0" w:type="dxa"/>
            </w:tcMar>
            <w:vAlign w:val="center"/>
          </w:tcPr>
          <w:p>
            <w:pPr>
              <w:rPr>
                <w:rFonts w:hint="default"/>
              </w:rPr>
            </w:pPr>
            <w:r>
              <w:rPr>
                <w:rFonts w:hint="default"/>
                <w:lang w:val="en-US" w:eastAsia="zh-CN"/>
              </w:rPr>
              <w:t>Land admitted by minting new units at current NAV per unit. NAV per unit preserved.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69" w:type="dxa"/>
            <w:shd w:val="clear"/>
            <w:tcMar>
              <w:top w:w="150" w:type="dxa"/>
              <w:left w:w="0" w:type="dxa"/>
              <w:bottom w:w="150" w:type="dxa"/>
              <w:right w:w="240" w:type="dxa"/>
            </w:tcMar>
            <w:vAlign w:val="center"/>
          </w:tcPr>
          <w:p>
            <w:pPr>
              <w:rPr>
                <w:rFonts w:hint="default"/>
              </w:rPr>
            </w:pPr>
            <w:r>
              <w:rPr>
                <w:rFonts w:hint="default"/>
                <w:lang w:val="en-US" w:eastAsia="zh-CN"/>
              </w:rPr>
              <w:t>Land Appreciation</w:t>
            </w:r>
          </w:p>
        </w:tc>
        <w:tc>
          <w:tcPr>
            <w:tcW w:w="8811" w:type="dxa"/>
            <w:shd w:val="clear"/>
            <w:tcMar>
              <w:top w:w="150" w:type="dxa"/>
              <w:left w:w="240" w:type="dxa"/>
              <w:bottom w:w="150" w:type="dxa"/>
              <w:right w:w="0" w:type="dxa"/>
            </w:tcMar>
            <w:vAlign w:val="center"/>
          </w:tcPr>
          <w:p>
            <w:pPr>
              <w:rPr>
                <w:rFonts w:hint="default"/>
              </w:rPr>
            </w:pPr>
            <w:r>
              <w:rPr>
                <w:rFonts w:hint="default"/>
                <w:lang w:val="en-US" w:eastAsia="zh-CN"/>
              </w:rPr>
              <w:t>Land in the Neutral Reserve appreciates when development happens around it.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69" w:type="dxa"/>
            <w:shd w:val="clear"/>
            <w:tcMar>
              <w:top w:w="150" w:type="dxa"/>
              <w:left w:w="0" w:type="dxa"/>
              <w:bottom w:w="150" w:type="dxa"/>
              <w:right w:w="240" w:type="dxa"/>
            </w:tcMar>
            <w:vAlign w:val="center"/>
          </w:tcPr>
          <w:p>
            <w:pPr>
              <w:rPr>
                <w:rFonts w:hint="default"/>
              </w:rPr>
            </w:pPr>
            <w:r>
              <w:rPr>
                <w:rFonts w:hint="default"/>
                <w:lang w:val="en-US" w:eastAsia="zh-CN"/>
              </w:rPr>
              <w:t>NAV per Unit</w:t>
            </w:r>
          </w:p>
        </w:tc>
        <w:tc>
          <w:tcPr>
            <w:tcW w:w="8811" w:type="dxa"/>
            <w:shd w:val="clear"/>
            <w:tcMar>
              <w:top w:w="150" w:type="dxa"/>
              <w:left w:w="240" w:type="dxa"/>
              <w:bottom w:w="150" w:type="dxa"/>
              <w:right w:w="0" w:type="dxa"/>
            </w:tcMar>
            <w:vAlign w:val="center"/>
          </w:tcPr>
          <w:p>
            <w:pPr>
              <w:rPr>
                <w:rFonts w:hint="default"/>
              </w:rPr>
            </w:pPr>
            <w:r>
              <w:rPr>
                <w:rFonts w:hint="default"/>
                <w:lang w:val="en-US" w:eastAsia="zh-CN"/>
              </w:rPr>
              <w:t>Total Net Asset Value ÷ Units Outstanding. Increases when NAV grows and units outstanding remains the same.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69" w:type="dxa"/>
            <w:shd w:val="clear"/>
            <w:tcMar>
              <w:top w:w="150" w:type="dxa"/>
              <w:left w:w="0" w:type="dxa"/>
              <w:bottom w:w="150" w:type="dxa"/>
              <w:right w:w="240" w:type="dxa"/>
            </w:tcMar>
            <w:vAlign w:val="center"/>
          </w:tcPr>
          <w:p>
            <w:pPr>
              <w:rPr>
                <w:rFonts w:hint="default"/>
              </w:rPr>
            </w:pPr>
            <w:r>
              <w:rPr>
                <w:rFonts w:hint="default"/>
                <w:lang w:val="en-US" w:eastAsia="zh-CN"/>
              </w:rPr>
              <w:t>Unit Holder Appreciation</w:t>
            </w:r>
          </w:p>
        </w:tc>
        <w:tc>
          <w:tcPr>
            <w:tcW w:w="8811" w:type="dxa"/>
            <w:shd w:val="clear"/>
            <w:tcMar>
              <w:top w:w="150" w:type="dxa"/>
              <w:left w:w="240" w:type="dxa"/>
              <w:bottom w:w="150" w:type="dxa"/>
              <w:right w:w="0" w:type="dxa"/>
            </w:tcMar>
            <w:vAlign w:val="center"/>
          </w:tcPr>
          <w:p>
            <w:pPr>
              <w:rPr>
                <w:rFonts w:hint="default"/>
              </w:rPr>
            </w:pPr>
            <w:r>
              <w:rPr>
                <w:rFonts w:hint="default"/>
                <w:lang w:val="en-US" w:eastAsia="zh-CN"/>
              </w:rPr>
              <w:t>Unit holders' units appreciate when NAV grows without new units being minted.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69" w:type="dxa"/>
            <w:shd w:val="clear"/>
            <w:tcMar>
              <w:top w:w="150" w:type="dxa"/>
              <w:left w:w="0" w:type="dxa"/>
              <w:bottom w:w="150" w:type="dxa"/>
              <w:right w:w="240" w:type="dxa"/>
            </w:tcMar>
            <w:vAlign w:val="center"/>
          </w:tcPr>
          <w:p>
            <w:pPr>
              <w:rPr>
                <w:rFonts w:hint="default"/>
              </w:rPr>
            </w:pPr>
            <w:r>
              <w:rPr>
                <w:rFonts w:hint="default"/>
                <w:lang w:val="en-US" w:eastAsia="zh-CN"/>
              </w:rPr>
              <w:t>Forward Pricing</w:t>
            </w:r>
          </w:p>
        </w:tc>
        <w:tc>
          <w:tcPr>
            <w:tcW w:w="8811" w:type="dxa"/>
            <w:shd w:val="clear"/>
            <w:tcMar>
              <w:top w:w="150" w:type="dxa"/>
              <w:left w:w="240" w:type="dxa"/>
              <w:bottom w:w="150" w:type="dxa"/>
              <w:right w:w="0" w:type="dxa"/>
            </w:tcMar>
            <w:vAlign w:val="center"/>
          </w:tcPr>
          <w:p>
            <w:pPr>
              <w:rPr>
                <w:rFonts w:hint="default"/>
              </w:rPr>
            </w:pPr>
            <w:r>
              <w:rPr>
                <w:rFonts w:hint="default"/>
                <w:lang w:val="en-US" w:eastAsia="zh-CN"/>
              </w:rPr>
              <w:t>New Units Created = New Cash Invested or Value of Neutral Asset ÷ Current NAV per Unit. No dilution in 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469" w:type="dxa"/>
            <w:shd w:val="clear"/>
            <w:tcMar>
              <w:top w:w="150" w:type="dxa"/>
              <w:left w:w="0" w:type="dxa"/>
              <w:bottom w:w="150" w:type="dxa"/>
              <w:right w:w="240" w:type="dxa"/>
            </w:tcMar>
            <w:vAlign w:val="center"/>
          </w:tcPr>
          <w:p>
            <w:pPr>
              <w:rPr>
                <w:rFonts w:hint="default"/>
              </w:rPr>
            </w:pPr>
            <w:r>
              <w:rPr>
                <w:rFonts w:hint="default"/>
                <w:lang w:val="en-US" w:eastAsia="zh-CN"/>
              </w:rPr>
              <w:t>Foundation's 30%</w:t>
            </w:r>
          </w:p>
        </w:tc>
        <w:tc>
          <w:tcPr>
            <w:tcW w:w="8811" w:type="dxa"/>
            <w:shd w:val="clear"/>
            <w:tcMar>
              <w:top w:w="150" w:type="dxa"/>
              <w:left w:w="240" w:type="dxa"/>
              <w:bottom w:w="150" w:type="dxa"/>
              <w:right w:w="0" w:type="dxa"/>
            </w:tcMar>
            <w:vAlign w:val="center"/>
          </w:tcPr>
          <w:p>
            <w:pPr>
              <w:rPr>
                <w:rFonts w:hint="default"/>
              </w:rPr>
            </w:pPr>
            <w:r>
              <w:rPr>
                <w:rFonts w:hint="default"/>
                <w:lang w:val="en-US" w:eastAsia="zh-CN"/>
              </w:rPr>
              <w:t>The Foundation gets its 30% share of the NAV. Land appreciation fills the gap until Jowih Core companies grow into their 30%.</w:t>
            </w:r>
          </w:p>
        </w:tc>
      </w:tr>
    </w:tbl>
    <w:p>
      <w:pPr>
        <w:rPr>
          <w:rFonts w:hint="default"/>
        </w:rPr>
      </w:pPr>
      <w:r>
        <w:rPr>
          <w:rFonts w:hint="default"/>
        </w:rPr>
        <w:t>Illustrative Unit Generation and Sale</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145"/>
        <w:gridCol w:w="4254"/>
        <w:gridCol w:w="58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1145"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Stage</w:t>
            </w:r>
          </w:p>
        </w:tc>
        <w:tc>
          <w:tcPr>
            <w:tcW w:w="4254"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Item</w:t>
            </w:r>
          </w:p>
        </w:tc>
        <w:tc>
          <w:tcPr>
            <w:tcW w:w="5880"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145" w:type="dxa"/>
            <w:shd w:val="clear"/>
            <w:tcMar>
              <w:top w:w="150" w:type="dxa"/>
              <w:left w:w="0" w:type="dxa"/>
              <w:bottom w:w="150" w:type="dxa"/>
              <w:right w:w="240" w:type="dxa"/>
            </w:tcMar>
            <w:vAlign w:val="center"/>
          </w:tcPr>
          <w:p>
            <w:pPr>
              <w:rPr>
                <w:rFonts w:hint="default"/>
              </w:rPr>
            </w:pPr>
            <w:r>
              <w:rPr>
                <w:rFonts w:hint="default"/>
                <w:lang w:val="en-US" w:eastAsia="zh-CN"/>
              </w:rPr>
              <w:t>Stage 1</w:t>
            </w:r>
          </w:p>
        </w:tc>
        <w:tc>
          <w:tcPr>
            <w:tcW w:w="4254" w:type="dxa"/>
            <w:shd w:val="clear"/>
            <w:tcMar>
              <w:top w:w="150" w:type="dxa"/>
              <w:left w:w="240" w:type="dxa"/>
              <w:bottom w:w="150" w:type="dxa"/>
              <w:right w:w="240" w:type="dxa"/>
            </w:tcMar>
            <w:vAlign w:val="center"/>
          </w:tcPr>
          <w:p>
            <w:pPr>
              <w:rPr>
                <w:rFonts w:hint="default"/>
              </w:rPr>
            </w:pPr>
            <w:r>
              <w:rPr>
                <w:rFonts w:hint="default"/>
                <w:lang w:val="en-US" w:eastAsia="zh-CN"/>
              </w:rPr>
              <w:t>NAV</w:t>
            </w:r>
          </w:p>
        </w:tc>
        <w:tc>
          <w:tcPr>
            <w:tcW w:w="5880" w:type="dxa"/>
            <w:shd w:val="clear"/>
            <w:tcMar>
              <w:top w:w="150" w:type="dxa"/>
              <w:left w:w="240" w:type="dxa"/>
              <w:bottom w:w="150" w:type="dxa"/>
              <w:right w:w="0" w:type="dxa"/>
            </w:tcMar>
            <w:vAlign w:val="center"/>
          </w:tcPr>
          <w:p>
            <w:pPr>
              <w:rPr>
                <w:rFonts w:hint="default"/>
              </w:rPr>
            </w:pPr>
            <w:r>
              <w:rPr>
                <w:rFonts w:hint="default"/>
                <w:lang w:val="en-US" w:eastAsia="zh-CN"/>
              </w:rPr>
              <w:t>US$80B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145" w:type="dxa"/>
            <w:shd w:val="clear"/>
            <w:tcMar>
              <w:top w:w="150" w:type="dxa"/>
              <w:left w:w="0" w:type="dxa"/>
              <w:bottom w:w="150" w:type="dxa"/>
              <w:right w:w="240" w:type="dxa"/>
            </w:tcMar>
            <w:vAlign w:val="center"/>
          </w:tcPr>
          <w:p>
            <w:pPr>
              <w:rPr>
                <w:rFonts w:hint="default"/>
              </w:rPr>
            </w:pPr>
          </w:p>
        </w:tc>
        <w:tc>
          <w:tcPr>
            <w:tcW w:w="4254" w:type="dxa"/>
            <w:shd w:val="clear"/>
            <w:tcMar>
              <w:top w:w="150" w:type="dxa"/>
              <w:left w:w="240" w:type="dxa"/>
              <w:bottom w:w="150" w:type="dxa"/>
              <w:right w:w="240" w:type="dxa"/>
            </w:tcMar>
            <w:vAlign w:val="center"/>
          </w:tcPr>
          <w:p>
            <w:pPr>
              <w:rPr>
                <w:rFonts w:hint="default"/>
              </w:rPr>
            </w:pPr>
            <w:r>
              <w:rPr>
                <w:rFonts w:hint="default"/>
                <w:lang w:val="en-US" w:eastAsia="zh-CN"/>
              </w:rPr>
              <w:t>Unit Price</w:t>
            </w:r>
          </w:p>
        </w:tc>
        <w:tc>
          <w:tcPr>
            <w:tcW w:w="5880" w:type="dxa"/>
            <w:shd w:val="clear"/>
            <w:tcMar>
              <w:top w:w="150" w:type="dxa"/>
              <w:left w:w="240" w:type="dxa"/>
              <w:bottom w:w="150" w:type="dxa"/>
              <w:right w:w="0" w:type="dxa"/>
            </w:tcMar>
            <w:vAlign w:val="center"/>
          </w:tcPr>
          <w:p>
            <w:pPr>
              <w:rPr>
                <w:rFonts w:hint="default"/>
              </w:rPr>
            </w:pPr>
            <w:r>
              <w:rPr>
                <w:rFonts w:hint="default"/>
                <w:lang w:val="en-US" w:eastAsia="zh-CN"/>
              </w:rPr>
              <w:t>US$0.05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145" w:type="dxa"/>
            <w:shd w:val="clear"/>
            <w:tcMar>
              <w:top w:w="150" w:type="dxa"/>
              <w:left w:w="0" w:type="dxa"/>
              <w:bottom w:w="150" w:type="dxa"/>
              <w:right w:w="240" w:type="dxa"/>
            </w:tcMar>
            <w:vAlign w:val="center"/>
          </w:tcPr>
          <w:p>
            <w:pPr>
              <w:rPr>
                <w:rFonts w:hint="default"/>
              </w:rPr>
            </w:pPr>
          </w:p>
        </w:tc>
        <w:tc>
          <w:tcPr>
            <w:tcW w:w="4254" w:type="dxa"/>
            <w:shd w:val="clear"/>
            <w:tcMar>
              <w:top w:w="150" w:type="dxa"/>
              <w:left w:w="240" w:type="dxa"/>
              <w:bottom w:w="150" w:type="dxa"/>
              <w:right w:w="240" w:type="dxa"/>
            </w:tcMar>
            <w:vAlign w:val="center"/>
          </w:tcPr>
          <w:p>
            <w:pPr>
              <w:rPr>
                <w:rFonts w:hint="default"/>
              </w:rPr>
            </w:pPr>
            <w:r>
              <w:rPr>
                <w:rFonts w:hint="default"/>
                <w:lang w:val="en-US" w:eastAsia="zh-CN"/>
              </w:rPr>
              <w:t>Units Issued</w:t>
            </w:r>
          </w:p>
        </w:tc>
        <w:tc>
          <w:tcPr>
            <w:tcW w:w="5880" w:type="dxa"/>
            <w:shd w:val="clear"/>
            <w:tcMar>
              <w:top w:w="150" w:type="dxa"/>
              <w:left w:w="240" w:type="dxa"/>
              <w:bottom w:w="150" w:type="dxa"/>
              <w:right w:w="0" w:type="dxa"/>
            </w:tcMar>
            <w:vAlign w:val="center"/>
          </w:tcPr>
          <w:p>
            <w:pPr>
              <w:rPr>
                <w:rFonts w:hint="default"/>
              </w:rPr>
            </w:pPr>
            <w:r>
              <w:rPr>
                <w:rFonts w:hint="default"/>
                <w:lang w:val="en-US" w:eastAsia="zh-CN"/>
              </w:rPr>
              <w:t>1,600B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145" w:type="dxa"/>
            <w:shd w:val="clear"/>
            <w:tcMar>
              <w:top w:w="150" w:type="dxa"/>
              <w:left w:w="0" w:type="dxa"/>
              <w:bottom w:w="150" w:type="dxa"/>
              <w:right w:w="240" w:type="dxa"/>
            </w:tcMar>
            <w:vAlign w:val="center"/>
          </w:tcPr>
          <w:p>
            <w:pPr>
              <w:rPr>
                <w:rFonts w:hint="default"/>
              </w:rPr>
            </w:pPr>
          </w:p>
        </w:tc>
        <w:tc>
          <w:tcPr>
            <w:tcW w:w="4254" w:type="dxa"/>
            <w:shd w:val="clear"/>
            <w:tcMar>
              <w:top w:w="150" w:type="dxa"/>
              <w:left w:w="240" w:type="dxa"/>
              <w:bottom w:w="150" w:type="dxa"/>
              <w:right w:w="240" w:type="dxa"/>
            </w:tcMar>
            <w:vAlign w:val="center"/>
          </w:tcPr>
          <w:p>
            <w:pPr>
              <w:rPr>
                <w:rFonts w:hint="default"/>
              </w:rPr>
            </w:pPr>
            <w:r>
              <w:rPr>
                <w:rFonts w:hint="default"/>
                <w:lang w:val="en-US" w:eastAsia="zh-CN"/>
              </w:rPr>
              <w:t>Units Sold (80%)</w:t>
            </w:r>
          </w:p>
        </w:tc>
        <w:tc>
          <w:tcPr>
            <w:tcW w:w="5880" w:type="dxa"/>
            <w:shd w:val="clear"/>
            <w:tcMar>
              <w:top w:w="150" w:type="dxa"/>
              <w:left w:w="240" w:type="dxa"/>
              <w:bottom w:w="150" w:type="dxa"/>
              <w:right w:w="0" w:type="dxa"/>
            </w:tcMar>
            <w:vAlign w:val="center"/>
          </w:tcPr>
          <w:p>
            <w:pPr>
              <w:rPr>
                <w:rFonts w:hint="default"/>
              </w:rPr>
            </w:pPr>
            <w:r>
              <w:rPr>
                <w:rFonts w:hint="default"/>
                <w:lang w:val="en-US" w:eastAsia="zh-CN"/>
              </w:rPr>
              <w:t>1,280B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145" w:type="dxa"/>
            <w:shd w:val="clear"/>
            <w:tcMar>
              <w:top w:w="150" w:type="dxa"/>
              <w:left w:w="0" w:type="dxa"/>
              <w:bottom w:w="150" w:type="dxa"/>
              <w:right w:w="240" w:type="dxa"/>
            </w:tcMar>
            <w:vAlign w:val="center"/>
          </w:tcPr>
          <w:p>
            <w:pPr>
              <w:rPr>
                <w:rFonts w:hint="default"/>
              </w:rPr>
            </w:pPr>
          </w:p>
        </w:tc>
        <w:tc>
          <w:tcPr>
            <w:tcW w:w="4254" w:type="dxa"/>
            <w:shd w:val="clear"/>
            <w:tcMar>
              <w:top w:w="150" w:type="dxa"/>
              <w:left w:w="240" w:type="dxa"/>
              <w:bottom w:w="150" w:type="dxa"/>
              <w:right w:w="240" w:type="dxa"/>
            </w:tcMar>
            <w:vAlign w:val="center"/>
          </w:tcPr>
          <w:p>
            <w:pPr>
              <w:rPr>
                <w:rFonts w:hint="default"/>
              </w:rPr>
            </w:pPr>
            <w:r>
              <w:rPr>
                <w:rFonts w:hint="default"/>
                <w:lang w:val="en-US" w:eastAsia="zh-CN"/>
              </w:rPr>
              <w:t>Cash Raised</w:t>
            </w:r>
          </w:p>
        </w:tc>
        <w:tc>
          <w:tcPr>
            <w:tcW w:w="5880" w:type="dxa"/>
            <w:shd w:val="clear"/>
            <w:tcMar>
              <w:top w:w="150" w:type="dxa"/>
              <w:left w:w="240" w:type="dxa"/>
              <w:bottom w:w="150" w:type="dxa"/>
              <w:right w:w="0" w:type="dxa"/>
            </w:tcMar>
            <w:vAlign w:val="center"/>
          </w:tcPr>
          <w:p>
            <w:pPr>
              <w:rPr>
                <w:rFonts w:hint="default"/>
              </w:rPr>
            </w:pPr>
            <w:r>
              <w:rPr>
                <w:rFonts w:hint="default"/>
                <w:lang w:val="en-US" w:eastAsia="zh-CN"/>
              </w:rPr>
              <w:t>US$64B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145" w:type="dxa"/>
            <w:shd w:val="clear"/>
            <w:tcMar>
              <w:top w:w="150" w:type="dxa"/>
              <w:left w:w="0" w:type="dxa"/>
              <w:bottom w:w="150" w:type="dxa"/>
              <w:right w:w="240" w:type="dxa"/>
            </w:tcMar>
            <w:vAlign w:val="center"/>
          </w:tcPr>
          <w:p>
            <w:pPr>
              <w:rPr>
                <w:rFonts w:hint="default"/>
              </w:rPr>
            </w:pPr>
          </w:p>
        </w:tc>
        <w:tc>
          <w:tcPr>
            <w:tcW w:w="4254" w:type="dxa"/>
            <w:shd w:val="clear"/>
            <w:tcMar>
              <w:top w:w="150" w:type="dxa"/>
              <w:left w:w="240" w:type="dxa"/>
              <w:bottom w:w="150" w:type="dxa"/>
              <w:right w:w="240" w:type="dxa"/>
            </w:tcMar>
            <w:vAlign w:val="center"/>
          </w:tcPr>
          <w:p>
            <w:pPr>
              <w:rPr>
                <w:rFonts w:hint="default"/>
              </w:rPr>
            </w:pPr>
            <w:r>
              <w:rPr>
                <w:rFonts w:hint="default"/>
                <w:lang w:val="en-US" w:eastAsia="zh-CN"/>
              </w:rPr>
              <w:t>Treasury (Remaining 20%)</w:t>
            </w:r>
          </w:p>
        </w:tc>
        <w:tc>
          <w:tcPr>
            <w:tcW w:w="5880" w:type="dxa"/>
            <w:shd w:val="clear"/>
            <w:tcMar>
              <w:top w:w="150" w:type="dxa"/>
              <w:left w:w="240" w:type="dxa"/>
              <w:bottom w:w="150" w:type="dxa"/>
              <w:right w:w="0" w:type="dxa"/>
            </w:tcMar>
            <w:vAlign w:val="center"/>
          </w:tcPr>
          <w:p>
            <w:pPr>
              <w:rPr>
                <w:rFonts w:hint="default"/>
              </w:rPr>
            </w:pPr>
            <w:r>
              <w:rPr>
                <w:rFonts w:hint="default"/>
                <w:lang w:val="en-US" w:eastAsia="zh-CN"/>
              </w:rPr>
              <w:t>320B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145" w:type="dxa"/>
            <w:shd w:val="clear"/>
            <w:tcMar>
              <w:top w:w="150" w:type="dxa"/>
              <w:left w:w="0" w:type="dxa"/>
              <w:bottom w:w="150" w:type="dxa"/>
              <w:right w:w="240" w:type="dxa"/>
            </w:tcMar>
            <w:vAlign w:val="center"/>
          </w:tcPr>
          <w:p>
            <w:pPr>
              <w:rPr>
                <w:rFonts w:hint="default"/>
              </w:rPr>
            </w:pPr>
            <w:r>
              <w:rPr>
                <w:rFonts w:hint="default"/>
                <w:lang w:val="en-US" w:eastAsia="zh-CN"/>
              </w:rPr>
              <w:t>Stage 2</w:t>
            </w:r>
          </w:p>
        </w:tc>
        <w:tc>
          <w:tcPr>
            <w:tcW w:w="4254" w:type="dxa"/>
            <w:shd w:val="clear"/>
            <w:tcMar>
              <w:top w:w="150" w:type="dxa"/>
              <w:left w:w="240" w:type="dxa"/>
              <w:bottom w:w="150" w:type="dxa"/>
              <w:right w:w="240" w:type="dxa"/>
            </w:tcMar>
            <w:vAlign w:val="center"/>
          </w:tcPr>
          <w:p>
            <w:pPr>
              <w:rPr>
                <w:rFonts w:hint="default"/>
              </w:rPr>
            </w:pPr>
            <w:r>
              <w:rPr>
                <w:rFonts w:hint="default"/>
                <w:lang w:val="en-US" w:eastAsia="zh-CN"/>
              </w:rPr>
              <w:t>NAV Grows (Year 3)</w:t>
            </w:r>
          </w:p>
        </w:tc>
        <w:tc>
          <w:tcPr>
            <w:tcW w:w="5880" w:type="dxa"/>
            <w:shd w:val="clear"/>
            <w:tcMar>
              <w:top w:w="150" w:type="dxa"/>
              <w:left w:w="240" w:type="dxa"/>
              <w:bottom w:w="150" w:type="dxa"/>
              <w:right w:w="0" w:type="dxa"/>
            </w:tcMar>
            <w:vAlign w:val="center"/>
          </w:tcPr>
          <w:p>
            <w:pPr>
              <w:rPr>
                <w:rFonts w:hint="default"/>
              </w:rPr>
            </w:pPr>
            <w:r>
              <w:rPr>
                <w:rFonts w:hint="default"/>
                <w:lang w:val="en-US" w:eastAsia="zh-CN"/>
              </w:rPr>
              <w:t>US$300B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145" w:type="dxa"/>
            <w:shd w:val="clear"/>
            <w:tcMar>
              <w:top w:w="150" w:type="dxa"/>
              <w:left w:w="0" w:type="dxa"/>
              <w:bottom w:w="150" w:type="dxa"/>
              <w:right w:w="240" w:type="dxa"/>
            </w:tcMar>
            <w:vAlign w:val="center"/>
          </w:tcPr>
          <w:p>
            <w:pPr>
              <w:rPr>
                <w:rFonts w:hint="default"/>
              </w:rPr>
            </w:pPr>
          </w:p>
        </w:tc>
        <w:tc>
          <w:tcPr>
            <w:tcW w:w="4254" w:type="dxa"/>
            <w:shd w:val="clear"/>
            <w:tcMar>
              <w:top w:w="150" w:type="dxa"/>
              <w:left w:w="240" w:type="dxa"/>
              <w:bottom w:w="150" w:type="dxa"/>
              <w:right w:w="240" w:type="dxa"/>
            </w:tcMar>
            <w:vAlign w:val="center"/>
          </w:tcPr>
          <w:p>
            <w:pPr>
              <w:rPr>
                <w:rFonts w:hint="default"/>
              </w:rPr>
            </w:pPr>
            <w:r>
              <w:rPr>
                <w:rFonts w:hint="default"/>
                <w:lang w:val="en-US" w:eastAsia="zh-CN"/>
              </w:rPr>
              <w:t>Unit Price</w:t>
            </w:r>
          </w:p>
        </w:tc>
        <w:tc>
          <w:tcPr>
            <w:tcW w:w="5880" w:type="dxa"/>
            <w:shd w:val="clear"/>
            <w:tcMar>
              <w:top w:w="150" w:type="dxa"/>
              <w:left w:w="240" w:type="dxa"/>
              <w:bottom w:w="150" w:type="dxa"/>
              <w:right w:w="0" w:type="dxa"/>
            </w:tcMar>
            <w:vAlign w:val="center"/>
          </w:tcPr>
          <w:p>
            <w:pPr>
              <w:rPr>
                <w:rFonts w:hint="default"/>
              </w:rPr>
            </w:pPr>
            <w:r>
              <w:rPr>
                <w:rFonts w:hint="default"/>
                <w:lang w:val="en-US" w:eastAsia="zh-CN"/>
              </w:rPr>
              <w:t>US$0.1875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145" w:type="dxa"/>
            <w:shd w:val="clear"/>
            <w:tcMar>
              <w:top w:w="150" w:type="dxa"/>
              <w:left w:w="0" w:type="dxa"/>
              <w:bottom w:w="150" w:type="dxa"/>
              <w:right w:w="240" w:type="dxa"/>
            </w:tcMar>
            <w:vAlign w:val="center"/>
          </w:tcPr>
          <w:p>
            <w:pPr>
              <w:rPr>
                <w:rFonts w:hint="default"/>
              </w:rPr>
            </w:pPr>
          </w:p>
        </w:tc>
        <w:tc>
          <w:tcPr>
            <w:tcW w:w="4254" w:type="dxa"/>
            <w:shd w:val="clear"/>
            <w:tcMar>
              <w:top w:w="150" w:type="dxa"/>
              <w:left w:w="240" w:type="dxa"/>
              <w:bottom w:w="150" w:type="dxa"/>
              <w:right w:w="240" w:type="dxa"/>
            </w:tcMar>
            <w:vAlign w:val="center"/>
          </w:tcPr>
          <w:p>
            <w:pPr>
              <w:rPr>
                <w:rFonts w:hint="default"/>
              </w:rPr>
            </w:pPr>
            <w:r>
              <w:rPr>
                <w:rFonts w:hint="default"/>
                <w:lang w:val="en-US" w:eastAsia="zh-CN"/>
              </w:rPr>
              <w:t>Treasury Units Sold at New Price</w:t>
            </w:r>
          </w:p>
        </w:tc>
        <w:tc>
          <w:tcPr>
            <w:tcW w:w="5880" w:type="dxa"/>
            <w:shd w:val="clear"/>
            <w:tcMar>
              <w:top w:w="150" w:type="dxa"/>
              <w:left w:w="240" w:type="dxa"/>
              <w:bottom w:w="150" w:type="dxa"/>
              <w:right w:w="0" w:type="dxa"/>
            </w:tcMar>
            <w:vAlign w:val="center"/>
          </w:tcPr>
          <w:p>
            <w:pPr>
              <w:rPr>
                <w:rFonts w:hint="default"/>
              </w:rPr>
            </w:pPr>
            <w:r>
              <w:rPr>
                <w:rFonts w:hint="default"/>
                <w:lang w:val="en-US" w:eastAsia="zh-CN"/>
              </w:rPr>
              <w:t>320B × US$0.1875 = US$60B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145" w:type="dxa"/>
            <w:shd w:val="clear"/>
            <w:tcMar>
              <w:top w:w="150" w:type="dxa"/>
              <w:left w:w="0" w:type="dxa"/>
              <w:bottom w:w="150" w:type="dxa"/>
              <w:right w:w="240" w:type="dxa"/>
            </w:tcMar>
            <w:vAlign w:val="center"/>
          </w:tcPr>
          <w:p>
            <w:pPr>
              <w:rPr>
                <w:rFonts w:hint="default"/>
              </w:rPr>
            </w:pPr>
            <w:r>
              <w:rPr>
                <w:rFonts w:hint="default"/>
                <w:lang w:val="en-US" w:eastAsia="zh-CN"/>
              </w:rPr>
              <w:t>Stage 3</w:t>
            </w:r>
          </w:p>
        </w:tc>
        <w:tc>
          <w:tcPr>
            <w:tcW w:w="4254" w:type="dxa"/>
            <w:shd w:val="clear"/>
            <w:tcMar>
              <w:top w:w="150" w:type="dxa"/>
              <w:left w:w="240" w:type="dxa"/>
              <w:bottom w:w="150" w:type="dxa"/>
              <w:right w:w="240" w:type="dxa"/>
            </w:tcMar>
            <w:vAlign w:val="center"/>
          </w:tcPr>
          <w:p>
            <w:pPr>
              <w:rPr>
                <w:rFonts w:hint="default"/>
              </w:rPr>
            </w:pPr>
            <w:r>
              <w:rPr>
                <w:rFonts w:hint="default"/>
                <w:lang w:val="en-US" w:eastAsia="zh-CN"/>
              </w:rPr>
              <w:t>NAV Grows (Year 10)</w:t>
            </w:r>
          </w:p>
        </w:tc>
        <w:tc>
          <w:tcPr>
            <w:tcW w:w="5880" w:type="dxa"/>
            <w:shd w:val="clear"/>
            <w:tcMar>
              <w:top w:w="150" w:type="dxa"/>
              <w:left w:w="240" w:type="dxa"/>
              <w:bottom w:w="150" w:type="dxa"/>
              <w:right w:w="0" w:type="dxa"/>
            </w:tcMar>
            <w:vAlign w:val="center"/>
          </w:tcPr>
          <w:p>
            <w:pPr>
              <w:rPr>
                <w:rFonts w:hint="default"/>
              </w:rPr>
            </w:pPr>
            <w:r>
              <w:rPr>
                <w:rFonts w:hint="default"/>
                <w:lang w:val="en-US" w:eastAsia="zh-CN"/>
              </w:rPr>
              <w:t>US$1T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145" w:type="dxa"/>
            <w:shd w:val="clear"/>
            <w:tcMar>
              <w:top w:w="150" w:type="dxa"/>
              <w:left w:w="0" w:type="dxa"/>
              <w:bottom w:w="150" w:type="dxa"/>
              <w:right w:w="240" w:type="dxa"/>
            </w:tcMar>
            <w:vAlign w:val="center"/>
          </w:tcPr>
          <w:p>
            <w:pPr>
              <w:rPr>
                <w:rFonts w:hint="default"/>
              </w:rPr>
            </w:pPr>
          </w:p>
        </w:tc>
        <w:tc>
          <w:tcPr>
            <w:tcW w:w="4254" w:type="dxa"/>
            <w:shd w:val="clear"/>
            <w:tcMar>
              <w:top w:w="150" w:type="dxa"/>
              <w:left w:w="240" w:type="dxa"/>
              <w:bottom w:w="150" w:type="dxa"/>
              <w:right w:w="240" w:type="dxa"/>
            </w:tcMar>
            <w:vAlign w:val="center"/>
          </w:tcPr>
          <w:p>
            <w:pPr>
              <w:rPr>
                <w:rFonts w:hint="default"/>
              </w:rPr>
            </w:pPr>
            <w:r>
              <w:rPr>
                <w:rFonts w:hint="default"/>
                <w:lang w:val="en-US" w:eastAsia="zh-CN"/>
              </w:rPr>
              <w:t>Unit Price</w:t>
            </w:r>
          </w:p>
        </w:tc>
        <w:tc>
          <w:tcPr>
            <w:tcW w:w="5880" w:type="dxa"/>
            <w:shd w:val="clear"/>
            <w:tcMar>
              <w:top w:w="150" w:type="dxa"/>
              <w:left w:w="240" w:type="dxa"/>
              <w:bottom w:w="150" w:type="dxa"/>
              <w:right w:w="0" w:type="dxa"/>
            </w:tcMar>
            <w:vAlign w:val="center"/>
          </w:tcPr>
          <w:p>
            <w:pPr>
              <w:rPr>
                <w:rFonts w:hint="default"/>
              </w:rPr>
            </w:pPr>
            <w:r>
              <w:rPr>
                <w:rFonts w:hint="default"/>
                <w:lang w:val="en-US" w:eastAsia="zh-CN"/>
              </w:rPr>
              <w:t>~US$0.625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145" w:type="dxa"/>
            <w:shd w:val="clear"/>
            <w:tcMar>
              <w:top w:w="150" w:type="dxa"/>
              <w:left w:w="0" w:type="dxa"/>
              <w:bottom w:w="150" w:type="dxa"/>
              <w:right w:w="240" w:type="dxa"/>
            </w:tcMar>
            <w:vAlign w:val="center"/>
          </w:tcPr>
          <w:p>
            <w:pPr>
              <w:rPr>
                <w:rFonts w:hint="default"/>
              </w:rPr>
            </w:pPr>
          </w:p>
        </w:tc>
        <w:tc>
          <w:tcPr>
            <w:tcW w:w="4254" w:type="dxa"/>
            <w:shd w:val="clear"/>
            <w:tcMar>
              <w:top w:w="150" w:type="dxa"/>
              <w:left w:w="240" w:type="dxa"/>
              <w:bottom w:w="150" w:type="dxa"/>
              <w:right w:w="240" w:type="dxa"/>
            </w:tcMar>
            <w:vAlign w:val="center"/>
          </w:tcPr>
          <w:p>
            <w:pPr>
              <w:rPr>
                <w:rFonts w:hint="default"/>
              </w:rPr>
            </w:pPr>
            <w:r>
              <w:rPr>
                <w:rFonts w:hint="default"/>
                <w:lang w:val="en-US" w:eastAsia="zh-CN"/>
              </w:rPr>
              <w:t>Forward Pricing for New Capital</w:t>
            </w:r>
          </w:p>
        </w:tc>
        <w:tc>
          <w:tcPr>
            <w:tcW w:w="5880" w:type="dxa"/>
            <w:shd w:val="clear"/>
            <w:tcMar>
              <w:top w:w="150" w:type="dxa"/>
              <w:left w:w="240" w:type="dxa"/>
              <w:bottom w:w="150" w:type="dxa"/>
              <w:right w:w="0" w:type="dxa"/>
            </w:tcMar>
            <w:vAlign w:val="center"/>
          </w:tcPr>
          <w:p>
            <w:pPr>
              <w:rPr>
                <w:rFonts w:hint="default"/>
              </w:rPr>
            </w:pPr>
            <w:r>
              <w:rPr>
                <w:rFonts w:hint="default"/>
                <w:lang w:val="en-US" w:eastAsia="zh-CN"/>
              </w:rPr>
              <w:t>New Units = New Cash ÷ Current NAV per Unit</w:t>
            </w:r>
          </w:p>
        </w:tc>
      </w:tr>
    </w:tbl>
    <w:p>
      <w:pPr>
        <w:rPr>
          <w:rFonts w:hint="default"/>
        </w:rPr>
      </w:pPr>
      <w:r>
        <w:rPr>
          <w:rFonts w:hint="default"/>
        </w:rPr>
        <w:t>Illustrative Land Appreciation</w:t>
      </w:r>
    </w:p>
    <w:tbl>
      <w:tblPr>
        <w:tblW w:w="104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692"/>
        <w:gridCol w:w="1401"/>
        <w:gridCol w:w="2287"/>
        <w:gridCol w:w="1836"/>
        <w:gridCol w:w="2793"/>
        <w:gridCol w:w="14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692"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Year</w:t>
            </w:r>
          </w:p>
        </w:tc>
        <w:tc>
          <w:tcPr>
            <w:tcW w:w="1401"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NAV</w:t>
            </w:r>
          </w:p>
        </w:tc>
        <w:tc>
          <w:tcPr>
            <w:tcW w:w="2287"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Units Outstanding</w:t>
            </w:r>
          </w:p>
        </w:tc>
        <w:tc>
          <w:tcPr>
            <w:tcW w:w="1836"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NAV per Unit</w:t>
            </w:r>
          </w:p>
        </w:tc>
        <w:tc>
          <w:tcPr>
            <w:tcW w:w="2793"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Investor's 30,000 Units</w:t>
            </w:r>
          </w:p>
        </w:tc>
        <w:tc>
          <w:tcPr>
            <w:tcW w:w="141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Gain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92" w:type="dxa"/>
            <w:shd w:val="clear"/>
            <w:tcMar>
              <w:top w:w="150" w:type="dxa"/>
              <w:left w:w="0" w:type="dxa"/>
              <w:bottom w:w="150" w:type="dxa"/>
              <w:right w:w="240" w:type="dxa"/>
            </w:tcMar>
            <w:vAlign w:val="center"/>
          </w:tcPr>
          <w:p>
            <w:pPr>
              <w:rPr>
                <w:rFonts w:hint="default"/>
              </w:rPr>
            </w:pPr>
            <w:r>
              <w:rPr>
                <w:rFonts w:hint="default"/>
                <w:lang w:val="en-US" w:eastAsia="zh-CN"/>
              </w:rPr>
              <w:t>1</w:t>
            </w:r>
          </w:p>
        </w:tc>
        <w:tc>
          <w:tcPr>
            <w:tcW w:w="1401" w:type="dxa"/>
            <w:shd w:val="clear"/>
            <w:tcMar>
              <w:top w:w="150" w:type="dxa"/>
              <w:left w:w="240" w:type="dxa"/>
              <w:bottom w:w="150" w:type="dxa"/>
              <w:right w:w="240" w:type="dxa"/>
            </w:tcMar>
            <w:vAlign w:val="center"/>
          </w:tcPr>
          <w:p>
            <w:pPr>
              <w:rPr>
                <w:rFonts w:hint="default"/>
              </w:rPr>
            </w:pPr>
            <w:r>
              <w:rPr>
                <w:rFonts w:hint="default"/>
                <w:lang w:val="en-US" w:eastAsia="zh-CN"/>
              </w:rPr>
              <w:t>US$80B</w:t>
            </w:r>
          </w:p>
        </w:tc>
        <w:tc>
          <w:tcPr>
            <w:tcW w:w="2287" w:type="dxa"/>
            <w:shd w:val="clear"/>
            <w:tcMar>
              <w:top w:w="150" w:type="dxa"/>
              <w:left w:w="240" w:type="dxa"/>
              <w:bottom w:w="150" w:type="dxa"/>
              <w:right w:w="240" w:type="dxa"/>
            </w:tcMar>
            <w:vAlign w:val="center"/>
          </w:tcPr>
          <w:p>
            <w:pPr>
              <w:rPr>
                <w:rFonts w:hint="default"/>
              </w:rPr>
            </w:pPr>
            <w:r>
              <w:rPr>
                <w:rFonts w:hint="default"/>
                <w:lang w:val="en-US" w:eastAsia="zh-CN"/>
              </w:rPr>
              <w:t>1,600B</w:t>
            </w:r>
          </w:p>
        </w:tc>
        <w:tc>
          <w:tcPr>
            <w:tcW w:w="1836" w:type="dxa"/>
            <w:shd w:val="clear"/>
            <w:tcMar>
              <w:top w:w="150" w:type="dxa"/>
              <w:left w:w="240" w:type="dxa"/>
              <w:bottom w:w="150" w:type="dxa"/>
              <w:right w:w="240" w:type="dxa"/>
            </w:tcMar>
            <w:vAlign w:val="center"/>
          </w:tcPr>
          <w:p>
            <w:pPr>
              <w:rPr>
                <w:rFonts w:hint="default"/>
              </w:rPr>
            </w:pPr>
            <w:r>
              <w:rPr>
                <w:rFonts w:hint="default"/>
                <w:lang w:val="en-US" w:eastAsia="zh-CN"/>
              </w:rPr>
              <w:t>US$0.05</w:t>
            </w:r>
          </w:p>
        </w:tc>
        <w:tc>
          <w:tcPr>
            <w:tcW w:w="2793" w:type="dxa"/>
            <w:shd w:val="clear"/>
            <w:tcMar>
              <w:top w:w="150" w:type="dxa"/>
              <w:left w:w="240" w:type="dxa"/>
              <w:bottom w:w="150" w:type="dxa"/>
              <w:right w:w="240" w:type="dxa"/>
            </w:tcMar>
            <w:vAlign w:val="center"/>
          </w:tcPr>
          <w:p>
            <w:pPr>
              <w:rPr>
                <w:rFonts w:hint="default"/>
              </w:rPr>
            </w:pPr>
            <w:r>
              <w:rPr>
                <w:rFonts w:hint="default"/>
                <w:lang w:val="en-US" w:eastAsia="zh-CN"/>
              </w:rPr>
              <w:t>US$1,500</w:t>
            </w:r>
          </w:p>
        </w:tc>
        <w:tc>
          <w:tcPr>
            <w:tcW w:w="1412" w:type="dxa"/>
            <w:shd w:val="clear"/>
            <w:tcMar>
              <w:top w:w="150" w:type="dxa"/>
              <w:left w:w="240" w:type="dxa"/>
              <w:bottom w:w="150" w:type="dxa"/>
              <w:right w:w="0" w:type="dxa"/>
            </w:tcMar>
            <w:vAlign w:val="center"/>
          </w:tcPr>
          <w:p>
            <w:pPr>
              <w:rPr>
                <w:rFonts w:hint="default"/>
              </w:rPr>
            </w:pPr>
            <w:r>
              <w:rPr>
                <w:rFonts w:hint="default"/>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92" w:type="dxa"/>
            <w:shd w:val="clear"/>
            <w:tcMar>
              <w:top w:w="150" w:type="dxa"/>
              <w:left w:w="0" w:type="dxa"/>
              <w:bottom w:w="150" w:type="dxa"/>
              <w:right w:w="240" w:type="dxa"/>
            </w:tcMar>
            <w:vAlign w:val="center"/>
          </w:tcPr>
          <w:p>
            <w:pPr>
              <w:rPr>
                <w:rFonts w:hint="default"/>
              </w:rPr>
            </w:pPr>
            <w:r>
              <w:rPr>
                <w:rFonts w:hint="default"/>
                <w:lang w:val="en-US" w:eastAsia="zh-CN"/>
              </w:rPr>
              <w:t>2</w:t>
            </w:r>
          </w:p>
        </w:tc>
        <w:tc>
          <w:tcPr>
            <w:tcW w:w="1401" w:type="dxa"/>
            <w:shd w:val="clear"/>
            <w:tcMar>
              <w:top w:w="150" w:type="dxa"/>
              <w:left w:w="240" w:type="dxa"/>
              <w:bottom w:w="150" w:type="dxa"/>
              <w:right w:w="240" w:type="dxa"/>
            </w:tcMar>
            <w:vAlign w:val="center"/>
          </w:tcPr>
          <w:p>
            <w:pPr>
              <w:rPr>
                <w:rFonts w:hint="default"/>
              </w:rPr>
            </w:pPr>
            <w:r>
              <w:rPr>
                <w:rFonts w:hint="default"/>
                <w:lang w:val="en-US" w:eastAsia="zh-CN"/>
              </w:rPr>
              <w:t>US$81B</w:t>
            </w:r>
          </w:p>
        </w:tc>
        <w:tc>
          <w:tcPr>
            <w:tcW w:w="2287" w:type="dxa"/>
            <w:shd w:val="clear"/>
            <w:tcMar>
              <w:top w:w="150" w:type="dxa"/>
              <w:left w:w="240" w:type="dxa"/>
              <w:bottom w:w="150" w:type="dxa"/>
              <w:right w:w="240" w:type="dxa"/>
            </w:tcMar>
            <w:vAlign w:val="center"/>
          </w:tcPr>
          <w:p>
            <w:pPr>
              <w:rPr>
                <w:rFonts w:hint="default"/>
              </w:rPr>
            </w:pPr>
            <w:r>
              <w:rPr>
                <w:rFonts w:hint="default"/>
                <w:lang w:val="en-US" w:eastAsia="zh-CN"/>
              </w:rPr>
              <w:t>1,600B</w:t>
            </w:r>
          </w:p>
        </w:tc>
        <w:tc>
          <w:tcPr>
            <w:tcW w:w="1836" w:type="dxa"/>
            <w:shd w:val="clear"/>
            <w:tcMar>
              <w:top w:w="150" w:type="dxa"/>
              <w:left w:w="240" w:type="dxa"/>
              <w:bottom w:w="150" w:type="dxa"/>
              <w:right w:w="240" w:type="dxa"/>
            </w:tcMar>
            <w:vAlign w:val="center"/>
          </w:tcPr>
          <w:p>
            <w:pPr>
              <w:rPr>
                <w:rFonts w:hint="default"/>
              </w:rPr>
            </w:pPr>
            <w:r>
              <w:rPr>
                <w:rFonts w:hint="default"/>
                <w:lang w:val="en-US" w:eastAsia="zh-CN"/>
              </w:rPr>
              <w:t>US$0.050625</w:t>
            </w:r>
          </w:p>
        </w:tc>
        <w:tc>
          <w:tcPr>
            <w:tcW w:w="2793" w:type="dxa"/>
            <w:shd w:val="clear"/>
            <w:tcMar>
              <w:top w:w="150" w:type="dxa"/>
              <w:left w:w="240" w:type="dxa"/>
              <w:bottom w:w="150" w:type="dxa"/>
              <w:right w:w="240" w:type="dxa"/>
            </w:tcMar>
            <w:vAlign w:val="center"/>
          </w:tcPr>
          <w:p>
            <w:pPr>
              <w:rPr>
                <w:rFonts w:hint="default"/>
              </w:rPr>
            </w:pPr>
            <w:r>
              <w:rPr>
                <w:rFonts w:hint="default"/>
                <w:lang w:val="en-US" w:eastAsia="zh-CN"/>
              </w:rPr>
              <w:t>US$1,518.75</w:t>
            </w:r>
          </w:p>
        </w:tc>
        <w:tc>
          <w:tcPr>
            <w:tcW w:w="1412" w:type="dxa"/>
            <w:shd w:val="clear"/>
            <w:tcMar>
              <w:top w:w="150" w:type="dxa"/>
              <w:left w:w="240" w:type="dxa"/>
              <w:bottom w:w="150" w:type="dxa"/>
              <w:right w:w="0" w:type="dxa"/>
            </w:tcMar>
            <w:vAlign w:val="center"/>
          </w:tcPr>
          <w:p>
            <w:pPr>
              <w:rPr>
                <w:rFonts w:hint="default"/>
              </w:rPr>
            </w:pPr>
            <w:r>
              <w:rPr>
                <w:rFonts w:hint="default"/>
                <w:lang w:val="en-US" w:eastAsia="zh-CN"/>
              </w:rPr>
              <w:t>+1.25%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92" w:type="dxa"/>
            <w:shd w:val="clear"/>
            <w:tcMar>
              <w:top w:w="150" w:type="dxa"/>
              <w:left w:w="0" w:type="dxa"/>
              <w:bottom w:w="150" w:type="dxa"/>
              <w:right w:w="240" w:type="dxa"/>
            </w:tcMar>
            <w:vAlign w:val="center"/>
          </w:tcPr>
          <w:p>
            <w:pPr>
              <w:rPr>
                <w:rFonts w:hint="default"/>
              </w:rPr>
            </w:pPr>
            <w:r>
              <w:rPr>
                <w:rFonts w:hint="default"/>
                <w:lang w:val="en-US" w:eastAsia="zh-CN"/>
              </w:rPr>
              <w:t>3</w:t>
            </w:r>
          </w:p>
        </w:tc>
        <w:tc>
          <w:tcPr>
            <w:tcW w:w="1401" w:type="dxa"/>
            <w:shd w:val="clear"/>
            <w:tcMar>
              <w:top w:w="150" w:type="dxa"/>
              <w:left w:w="240" w:type="dxa"/>
              <w:bottom w:w="150" w:type="dxa"/>
              <w:right w:w="240" w:type="dxa"/>
            </w:tcMar>
            <w:vAlign w:val="center"/>
          </w:tcPr>
          <w:p>
            <w:pPr>
              <w:rPr>
                <w:rFonts w:hint="default"/>
              </w:rPr>
            </w:pPr>
            <w:r>
              <w:rPr>
                <w:rFonts w:hint="default"/>
                <w:lang w:val="en-US" w:eastAsia="zh-CN"/>
              </w:rPr>
              <w:t>US$85B</w:t>
            </w:r>
          </w:p>
        </w:tc>
        <w:tc>
          <w:tcPr>
            <w:tcW w:w="2287" w:type="dxa"/>
            <w:shd w:val="clear"/>
            <w:tcMar>
              <w:top w:w="150" w:type="dxa"/>
              <w:left w:w="240" w:type="dxa"/>
              <w:bottom w:w="150" w:type="dxa"/>
              <w:right w:w="240" w:type="dxa"/>
            </w:tcMar>
            <w:vAlign w:val="center"/>
          </w:tcPr>
          <w:p>
            <w:pPr>
              <w:rPr>
                <w:rFonts w:hint="default"/>
              </w:rPr>
            </w:pPr>
            <w:r>
              <w:rPr>
                <w:rFonts w:hint="default"/>
                <w:lang w:val="en-US" w:eastAsia="zh-CN"/>
              </w:rPr>
              <w:t>1,600B</w:t>
            </w:r>
          </w:p>
        </w:tc>
        <w:tc>
          <w:tcPr>
            <w:tcW w:w="1836" w:type="dxa"/>
            <w:shd w:val="clear"/>
            <w:tcMar>
              <w:top w:w="150" w:type="dxa"/>
              <w:left w:w="240" w:type="dxa"/>
              <w:bottom w:w="150" w:type="dxa"/>
              <w:right w:w="240" w:type="dxa"/>
            </w:tcMar>
            <w:vAlign w:val="center"/>
          </w:tcPr>
          <w:p>
            <w:pPr>
              <w:rPr>
                <w:rFonts w:hint="default"/>
              </w:rPr>
            </w:pPr>
            <w:r>
              <w:rPr>
                <w:rFonts w:hint="default"/>
                <w:lang w:val="en-US" w:eastAsia="zh-CN"/>
              </w:rPr>
              <w:t>US$0.053125</w:t>
            </w:r>
          </w:p>
        </w:tc>
        <w:tc>
          <w:tcPr>
            <w:tcW w:w="2793" w:type="dxa"/>
            <w:shd w:val="clear"/>
            <w:tcMar>
              <w:top w:w="150" w:type="dxa"/>
              <w:left w:w="240" w:type="dxa"/>
              <w:bottom w:w="150" w:type="dxa"/>
              <w:right w:w="240" w:type="dxa"/>
            </w:tcMar>
            <w:vAlign w:val="center"/>
          </w:tcPr>
          <w:p>
            <w:pPr>
              <w:rPr>
                <w:rFonts w:hint="default"/>
              </w:rPr>
            </w:pPr>
            <w:r>
              <w:rPr>
                <w:rFonts w:hint="default"/>
                <w:lang w:val="en-US" w:eastAsia="zh-CN"/>
              </w:rPr>
              <w:t>US$1,593.75</w:t>
            </w:r>
          </w:p>
        </w:tc>
        <w:tc>
          <w:tcPr>
            <w:tcW w:w="1412" w:type="dxa"/>
            <w:shd w:val="clear"/>
            <w:tcMar>
              <w:top w:w="150" w:type="dxa"/>
              <w:left w:w="240" w:type="dxa"/>
              <w:bottom w:w="150" w:type="dxa"/>
              <w:right w:w="0" w:type="dxa"/>
            </w:tcMar>
            <w:vAlign w:val="center"/>
          </w:tcPr>
          <w:p>
            <w:pPr>
              <w:rPr>
                <w:rFonts w:hint="default"/>
              </w:rPr>
            </w:pPr>
            <w:r>
              <w:rPr>
                <w:rFonts w:hint="default"/>
                <w:lang w:val="en-US" w:eastAsia="zh-CN"/>
              </w:rPr>
              <w:t>+6.25%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92" w:type="dxa"/>
            <w:shd w:val="clear"/>
            <w:tcMar>
              <w:top w:w="150" w:type="dxa"/>
              <w:left w:w="0" w:type="dxa"/>
              <w:bottom w:w="150" w:type="dxa"/>
              <w:right w:w="240" w:type="dxa"/>
            </w:tcMar>
            <w:vAlign w:val="center"/>
          </w:tcPr>
          <w:p>
            <w:pPr>
              <w:rPr>
                <w:rFonts w:hint="default"/>
              </w:rPr>
            </w:pPr>
            <w:r>
              <w:rPr>
                <w:rFonts w:hint="default"/>
                <w:lang w:val="en-US" w:eastAsia="zh-CN"/>
              </w:rPr>
              <w:t>5</w:t>
            </w:r>
          </w:p>
        </w:tc>
        <w:tc>
          <w:tcPr>
            <w:tcW w:w="1401" w:type="dxa"/>
            <w:shd w:val="clear"/>
            <w:tcMar>
              <w:top w:w="150" w:type="dxa"/>
              <w:left w:w="240" w:type="dxa"/>
              <w:bottom w:w="150" w:type="dxa"/>
              <w:right w:w="240" w:type="dxa"/>
            </w:tcMar>
            <w:vAlign w:val="center"/>
          </w:tcPr>
          <w:p>
            <w:pPr>
              <w:rPr>
                <w:rFonts w:hint="default"/>
              </w:rPr>
            </w:pPr>
            <w:r>
              <w:rPr>
                <w:rFonts w:hint="default"/>
                <w:lang w:val="en-US" w:eastAsia="zh-CN"/>
              </w:rPr>
              <w:t>US$150B</w:t>
            </w:r>
          </w:p>
        </w:tc>
        <w:tc>
          <w:tcPr>
            <w:tcW w:w="2287" w:type="dxa"/>
            <w:shd w:val="clear"/>
            <w:tcMar>
              <w:top w:w="150" w:type="dxa"/>
              <w:left w:w="240" w:type="dxa"/>
              <w:bottom w:w="150" w:type="dxa"/>
              <w:right w:w="240" w:type="dxa"/>
            </w:tcMar>
            <w:vAlign w:val="center"/>
          </w:tcPr>
          <w:p>
            <w:pPr>
              <w:rPr>
                <w:rFonts w:hint="default"/>
              </w:rPr>
            </w:pPr>
            <w:r>
              <w:rPr>
                <w:rFonts w:hint="default"/>
                <w:lang w:val="en-US" w:eastAsia="zh-CN"/>
              </w:rPr>
              <w:t>1,600B</w:t>
            </w:r>
          </w:p>
        </w:tc>
        <w:tc>
          <w:tcPr>
            <w:tcW w:w="1836" w:type="dxa"/>
            <w:shd w:val="clear"/>
            <w:tcMar>
              <w:top w:w="150" w:type="dxa"/>
              <w:left w:w="240" w:type="dxa"/>
              <w:bottom w:w="150" w:type="dxa"/>
              <w:right w:w="240" w:type="dxa"/>
            </w:tcMar>
            <w:vAlign w:val="center"/>
          </w:tcPr>
          <w:p>
            <w:pPr>
              <w:rPr>
                <w:rFonts w:hint="default"/>
              </w:rPr>
            </w:pPr>
            <w:r>
              <w:rPr>
                <w:rFonts w:hint="default"/>
                <w:lang w:val="en-US" w:eastAsia="zh-CN"/>
              </w:rPr>
              <w:t>US$0.09375</w:t>
            </w:r>
          </w:p>
        </w:tc>
        <w:tc>
          <w:tcPr>
            <w:tcW w:w="2793" w:type="dxa"/>
            <w:shd w:val="clear"/>
            <w:tcMar>
              <w:top w:w="150" w:type="dxa"/>
              <w:left w:w="240" w:type="dxa"/>
              <w:bottom w:w="150" w:type="dxa"/>
              <w:right w:w="240" w:type="dxa"/>
            </w:tcMar>
            <w:vAlign w:val="center"/>
          </w:tcPr>
          <w:p>
            <w:pPr>
              <w:rPr>
                <w:rFonts w:hint="default"/>
              </w:rPr>
            </w:pPr>
            <w:r>
              <w:rPr>
                <w:rFonts w:hint="default"/>
                <w:lang w:val="en-US" w:eastAsia="zh-CN"/>
              </w:rPr>
              <w:t>US$2,812.50</w:t>
            </w:r>
          </w:p>
        </w:tc>
        <w:tc>
          <w:tcPr>
            <w:tcW w:w="1412" w:type="dxa"/>
            <w:shd w:val="clear"/>
            <w:tcMar>
              <w:top w:w="150" w:type="dxa"/>
              <w:left w:w="240" w:type="dxa"/>
              <w:bottom w:w="150" w:type="dxa"/>
              <w:right w:w="0" w:type="dxa"/>
            </w:tcMar>
            <w:vAlign w:val="center"/>
          </w:tcPr>
          <w:p>
            <w:pPr>
              <w:rPr>
                <w:rFonts w:hint="default"/>
              </w:rPr>
            </w:pPr>
            <w:r>
              <w:rPr>
                <w:rFonts w:hint="default"/>
                <w:lang w:val="en-US" w:eastAsia="zh-CN"/>
              </w:rPr>
              <w:t>+87.5%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692" w:type="dxa"/>
            <w:shd w:val="clear"/>
            <w:tcMar>
              <w:top w:w="150" w:type="dxa"/>
              <w:left w:w="0" w:type="dxa"/>
              <w:bottom w:w="150" w:type="dxa"/>
              <w:right w:w="240" w:type="dxa"/>
            </w:tcMar>
            <w:vAlign w:val="center"/>
          </w:tcPr>
          <w:p>
            <w:pPr>
              <w:rPr>
                <w:rFonts w:hint="default"/>
              </w:rPr>
            </w:pPr>
            <w:r>
              <w:rPr>
                <w:rFonts w:hint="default"/>
                <w:lang w:val="en-US" w:eastAsia="zh-CN"/>
              </w:rPr>
              <w:t>10</w:t>
            </w:r>
          </w:p>
        </w:tc>
        <w:tc>
          <w:tcPr>
            <w:tcW w:w="1401" w:type="dxa"/>
            <w:shd w:val="clear"/>
            <w:tcMar>
              <w:top w:w="150" w:type="dxa"/>
              <w:left w:w="240" w:type="dxa"/>
              <w:bottom w:w="150" w:type="dxa"/>
              <w:right w:w="240" w:type="dxa"/>
            </w:tcMar>
            <w:vAlign w:val="center"/>
          </w:tcPr>
          <w:p>
            <w:pPr>
              <w:rPr>
                <w:rFonts w:hint="default"/>
              </w:rPr>
            </w:pPr>
            <w:r>
              <w:rPr>
                <w:rFonts w:hint="default"/>
                <w:lang w:val="en-US" w:eastAsia="zh-CN"/>
              </w:rPr>
              <w:t>US$1T</w:t>
            </w:r>
          </w:p>
        </w:tc>
        <w:tc>
          <w:tcPr>
            <w:tcW w:w="2287" w:type="dxa"/>
            <w:shd w:val="clear"/>
            <w:tcMar>
              <w:top w:w="150" w:type="dxa"/>
              <w:left w:w="240" w:type="dxa"/>
              <w:bottom w:w="150" w:type="dxa"/>
              <w:right w:w="240" w:type="dxa"/>
            </w:tcMar>
            <w:vAlign w:val="center"/>
          </w:tcPr>
          <w:p>
            <w:pPr>
              <w:rPr>
                <w:rFonts w:hint="default"/>
              </w:rPr>
            </w:pPr>
            <w:r>
              <w:rPr>
                <w:rFonts w:hint="default"/>
                <w:lang w:val="en-US" w:eastAsia="zh-CN"/>
              </w:rPr>
              <w:t>1,600B</w:t>
            </w:r>
          </w:p>
        </w:tc>
        <w:tc>
          <w:tcPr>
            <w:tcW w:w="1836" w:type="dxa"/>
            <w:shd w:val="clear"/>
            <w:tcMar>
              <w:top w:w="150" w:type="dxa"/>
              <w:left w:w="240" w:type="dxa"/>
              <w:bottom w:w="150" w:type="dxa"/>
              <w:right w:w="240" w:type="dxa"/>
            </w:tcMar>
            <w:vAlign w:val="center"/>
          </w:tcPr>
          <w:p>
            <w:pPr>
              <w:rPr>
                <w:rFonts w:hint="default"/>
              </w:rPr>
            </w:pPr>
            <w:r>
              <w:rPr>
                <w:rFonts w:hint="default"/>
                <w:lang w:val="en-US" w:eastAsia="zh-CN"/>
              </w:rPr>
              <w:t>US$0.625</w:t>
            </w:r>
          </w:p>
        </w:tc>
        <w:tc>
          <w:tcPr>
            <w:tcW w:w="2793" w:type="dxa"/>
            <w:shd w:val="clear"/>
            <w:tcMar>
              <w:top w:w="150" w:type="dxa"/>
              <w:left w:w="240" w:type="dxa"/>
              <w:bottom w:w="150" w:type="dxa"/>
              <w:right w:w="240" w:type="dxa"/>
            </w:tcMar>
            <w:vAlign w:val="center"/>
          </w:tcPr>
          <w:p>
            <w:pPr>
              <w:rPr>
                <w:rFonts w:hint="default"/>
              </w:rPr>
            </w:pPr>
            <w:r>
              <w:rPr>
                <w:rFonts w:hint="default"/>
                <w:lang w:val="en-US" w:eastAsia="zh-CN"/>
              </w:rPr>
              <w:t>US$18,750.00</w:t>
            </w:r>
          </w:p>
        </w:tc>
        <w:tc>
          <w:tcPr>
            <w:tcW w:w="1412" w:type="dxa"/>
            <w:shd w:val="clear"/>
            <w:tcMar>
              <w:top w:w="150" w:type="dxa"/>
              <w:left w:w="240" w:type="dxa"/>
              <w:bottom w:w="150" w:type="dxa"/>
              <w:right w:w="0" w:type="dxa"/>
            </w:tcMar>
            <w:vAlign w:val="center"/>
          </w:tcPr>
          <w:p>
            <w:pPr>
              <w:rPr>
                <w:rFonts w:hint="default"/>
              </w:rPr>
            </w:pPr>
            <w:r>
              <w:rPr>
                <w:rFonts w:hint="default"/>
                <w:lang w:val="en-US" w:eastAsia="zh-CN"/>
              </w:rPr>
              <w:t>+1,150%</w:t>
            </w:r>
          </w:p>
        </w:tc>
      </w:tr>
    </w:tbl>
    <w:p>
      <w:r>
        <w:rPr>
          <w:rFonts w:hint="default"/>
        </w:rPr>
        <w:t>No new units minted for land appreciation. No dilution. Just appreciation.</w:t>
      </w:r>
    </w:p>
    <w:p>
      <w:r>
        <w:pict>
          <v:rect id="_x0000_i1111"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APPENDIX D — LANDOWNER PROTECTION STANDARDS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290"/>
        <w:gridCol w:w="89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290"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Protection</w:t>
            </w:r>
          </w:p>
        </w:tc>
        <w:tc>
          <w:tcPr>
            <w:tcW w:w="8990"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Standard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Minimum Cash Component</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At least 30–50% of the agreed consideration shall be paid in cash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Independent Legal Counsel</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Landowners and/or community representatives shall have access to independent legal counsel, funded by the project entity where appropriate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Cooling-Off Period</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A mandatory cooling-off period shall apply after agreement and before legal completion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Independent Valuation</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Land interests shall be independently valued by a qualified third-party valuer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Community Consultation</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Documented consultation with affected communities where community land is involved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90" w:type="dxa"/>
            <w:shd w:val="clear"/>
            <w:tcMar>
              <w:top w:w="150" w:type="dxa"/>
              <w:left w:w="0" w:type="dxa"/>
              <w:bottom w:w="150" w:type="dxa"/>
              <w:right w:w="240" w:type="dxa"/>
            </w:tcMar>
            <w:vAlign w:val="center"/>
          </w:tcPr>
          <w:p>
            <w:pPr>
              <w:rPr>
                <w:rFonts w:hint="default"/>
              </w:rPr>
            </w:pPr>
            <w:r>
              <w:rPr>
                <w:rFonts w:hint="default"/>
                <w:lang w:val="en-US" w:eastAsia="zh-CN"/>
              </w:rPr>
              <w:t>Grievance Mechanism</w:t>
            </w:r>
          </w:p>
        </w:tc>
        <w:tc>
          <w:tcPr>
            <w:tcW w:w="8990" w:type="dxa"/>
            <w:shd w:val="clear"/>
            <w:tcMar>
              <w:top w:w="150" w:type="dxa"/>
              <w:left w:w="240" w:type="dxa"/>
              <w:bottom w:w="150" w:type="dxa"/>
              <w:right w:w="0" w:type="dxa"/>
            </w:tcMar>
            <w:vAlign w:val="center"/>
          </w:tcPr>
          <w:p>
            <w:pPr>
              <w:rPr>
                <w:rFonts w:hint="default"/>
              </w:rPr>
            </w:pPr>
            <w:r>
              <w:rPr>
                <w:rFonts w:hint="default"/>
                <w:lang w:val="en-US" w:eastAsia="zh-CN"/>
              </w:rPr>
              <w:t>A clear grievance and dispute-resolution mechanism shall be established</w:t>
            </w:r>
          </w:p>
        </w:tc>
      </w:tr>
    </w:tbl>
    <w:p>
      <w:r>
        <w:pict>
          <v:rect id="_x0000_i1112"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APPENDIX E — DEFINITIVE SUMMARY</w:t>
      </w:r>
    </w:p>
    <w:p>
      <w:r>
        <w:rPr>
          <w:rFonts w:hint="default"/>
        </w:rPr>
        <w:t xml:space="preserve">The </w:t>
      </w:r>
      <w:r>
        <w:rPr>
          <w:rFonts w:hint="default"/>
        </w:rPr>
        <w:t>Jowih Master Ecosystem Fund</w:t>
      </w:r>
      <w:r>
        <w:rPr>
          <w:rFonts w:hint="default"/>
        </w:rPr>
        <w:t xml:space="preserve"> is the Jowih 100 → 500 Index — an opening universe of up to 100 qualifying enterprises with </w:t>
      </w:r>
      <w:r>
        <w:rPr>
          <w:rFonts w:hint="default"/>
        </w:rPr>
        <w:t>US$80 billion illustrative authorization**, designed to expand toward 500 enterprises with **US$300 billion illustrative authorization</w:t>
      </w:r>
      <w:r>
        <w:rPr>
          <w:rFonts w:hint="default"/>
        </w:rPr>
        <w:t xml:space="preserve"> as the ecosystem matures.</w:t>
      </w:r>
    </w:p>
    <w:p>
      <w:r>
        <w:rPr>
          <w:rFonts w:hint="default"/>
        </w:rPr>
        <w:t>Partners deposit equity into the vault. The independently established dollar value of that equity determines their weight. Capital is distributed by valuation weight, not by equity percentage.</w:t>
      </w:r>
    </w:p>
    <w:p>
      <w:r>
        <w:rPr>
          <w:rFonts w:hint="default"/>
        </w:rPr>
        <w:t>A 5% stake in a $1B company may receive more capital allocation than a 49% stake in a $20M company, because capital follows the dollar value vaulted.</w:t>
      </w:r>
    </w:p>
    <w:p>
      <w:r>
        <w:rPr>
          <w:rFonts w:hint="default"/>
        </w:rPr>
        <w:t>Jowih Core receives 30% of the commercial allocation. Ecosystem Partners divide 70% pro-rata to the dollar value they vaulted.</w:t>
      </w:r>
    </w:p>
    <w:p>
      <w:r>
        <w:rPr>
          <w:rFonts w:hint="default"/>
        </w:rPr>
        <w:t xml:space="preserve">Investors buy non-voting units at </w:t>
      </w:r>
      <w:r>
        <w:rPr>
          <w:rFonts w:hint="default"/>
        </w:rPr>
        <w:t>US$0.05 per unit</w:t>
      </w:r>
      <w:r>
        <w:rPr>
          <w:rFonts w:hint="default"/>
        </w:rPr>
        <w:t xml:space="preserve"> (illustrative) for pure economic exposure. The mission layer is untouched.</w:t>
      </w:r>
    </w:p>
    <w:p>
      <w:r>
        <w:rPr>
          <w:rFonts w:hint="default"/>
        </w:rPr>
        <w:t>The Neutral Reserve provides a separately capped framework for qualifying neutral assets such as land, subject to a base cap of 10% of total Fund NAV.</w:t>
      </w:r>
    </w:p>
    <w:p>
      <w:r>
        <w:rPr>
          <w:rFonts w:hint="default"/>
        </w:rPr>
        <w:t>The Neutral Reserve is a percentage backing, not an outstanding unit pool.</w:t>
      </w:r>
    </w:p>
    <w:p>
      <w:r>
        <w:rPr>
          <w:rFonts w:hint="default"/>
        </w:rPr>
        <w:t>Land is admitted through two pathways: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340"/>
        <w:gridCol w:w="89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2340"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Phase</w:t>
            </w:r>
          </w:p>
        </w:tc>
        <w:tc>
          <w:tcPr>
            <w:tcW w:w="8940"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Mechanism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340" w:type="dxa"/>
            <w:shd w:val="clear"/>
            <w:tcMar>
              <w:top w:w="150" w:type="dxa"/>
              <w:left w:w="0" w:type="dxa"/>
              <w:bottom w:w="150" w:type="dxa"/>
              <w:right w:w="240" w:type="dxa"/>
            </w:tcMar>
            <w:vAlign w:val="center"/>
          </w:tcPr>
          <w:p>
            <w:pPr>
              <w:rPr>
                <w:rFonts w:hint="default"/>
              </w:rPr>
            </w:pPr>
            <w:r>
              <w:rPr>
                <w:rFonts w:hint="default"/>
                <w:lang w:val="en-US" w:eastAsia="zh-CN"/>
              </w:rPr>
              <w:t>Treasury Phase</w:t>
            </w:r>
          </w:p>
        </w:tc>
        <w:tc>
          <w:tcPr>
            <w:tcW w:w="8940" w:type="dxa"/>
            <w:shd w:val="clear"/>
            <w:tcMar>
              <w:top w:w="150" w:type="dxa"/>
              <w:left w:w="240" w:type="dxa"/>
              <w:bottom w:w="150" w:type="dxa"/>
              <w:right w:w="0" w:type="dxa"/>
            </w:tcMar>
            <w:vAlign w:val="center"/>
          </w:tcPr>
          <w:p>
            <w:pPr>
              <w:rPr>
                <w:rFonts w:hint="default"/>
              </w:rPr>
            </w:pPr>
            <w:r>
              <w:rPr>
                <w:rFonts w:hint="default"/>
                <w:lang w:val="en-US" w:eastAsia="zh-CN"/>
              </w:rPr>
              <w:t>Units drawn from unsold pool. No new minting.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340" w:type="dxa"/>
            <w:shd w:val="clear"/>
            <w:tcMar>
              <w:top w:w="150" w:type="dxa"/>
              <w:left w:w="0" w:type="dxa"/>
              <w:bottom w:w="150" w:type="dxa"/>
              <w:right w:w="240" w:type="dxa"/>
            </w:tcMar>
            <w:vAlign w:val="center"/>
          </w:tcPr>
          <w:p>
            <w:pPr>
              <w:rPr>
                <w:rFonts w:hint="default"/>
              </w:rPr>
            </w:pPr>
            <w:r>
              <w:rPr>
                <w:rFonts w:hint="default"/>
                <w:lang w:val="en-US" w:eastAsia="zh-CN"/>
              </w:rPr>
              <w:t>Forward Pricing Phase</w:t>
            </w:r>
          </w:p>
        </w:tc>
        <w:tc>
          <w:tcPr>
            <w:tcW w:w="8940" w:type="dxa"/>
            <w:shd w:val="clear"/>
            <w:tcMar>
              <w:top w:w="150" w:type="dxa"/>
              <w:left w:w="240" w:type="dxa"/>
              <w:bottom w:w="150" w:type="dxa"/>
              <w:right w:w="0" w:type="dxa"/>
            </w:tcMar>
            <w:vAlign w:val="center"/>
          </w:tcPr>
          <w:p>
            <w:pPr>
              <w:rPr>
                <w:rFonts w:hint="default"/>
              </w:rPr>
            </w:pPr>
            <w:r>
              <w:rPr>
                <w:rFonts w:hint="default"/>
                <w:lang w:val="en-US" w:eastAsia="zh-CN"/>
              </w:rPr>
              <w:t>New units minted at current NAV per unit for the value of the land. NAV per unit preserved.</w:t>
            </w:r>
          </w:p>
        </w:tc>
      </w:tr>
    </w:tbl>
    <w:p>
      <w:r>
        <w:rPr>
          <w:rFonts w:hint="default"/>
        </w:rPr>
        <w:t>The Neutral Reserve causes appreciation, not dilution.</w:t>
      </w:r>
    </w:p>
    <w:p>
      <w:r>
        <w:rPr>
          <w:rFonts w:hint="default"/>
        </w:rPr>
        <w:t>Land in the Neutral Reserve appreciates when development happens around it.</w:t>
      </w:r>
      <w:r>
        <w:rPr>
          <w:rFonts w:hint="default"/>
        </w:rPr>
        <w:t xml:space="preserve"> The Foundation is the primary driver of development across the continent. As development happens, land value increases. As land value increases, NAV increases. As NAV increases, NAV per unit increases. Unit holders' units appreciate. The Foundation's 30% share of the NAV grows. The Foundation makes up its 30% through land appreciation until Jowih Core companies grow into their 30%.</w:t>
      </w:r>
    </w:p>
    <w:p>
      <w:r>
        <w:rPr>
          <w:rFonts w:hint="default"/>
        </w:rPr>
        <w:t>Forward pricing</w:t>
      </w:r>
      <w:r>
        <w:rPr>
          <w:rFonts w:hint="default"/>
        </w:rPr>
        <w:t xml:space="preserve"> is used for new capital raises and neutral asset admissions: New Units Created = New Cash Invested or Value of Neutral Asset ÷ Current NAV per Unit. No dilution in value. Just new capital or new asset backing. The Fund only mints what it needs.</w:t>
      </w:r>
    </w:p>
    <w:p>
      <w:r>
        <w:rPr>
          <w:rFonts w:hint="default"/>
        </w:rPr>
        <w:t xml:space="preserve">The </w:t>
      </w:r>
      <w:r>
        <w:rPr>
          <w:rFonts w:hint="default"/>
        </w:rPr>
        <w:t>Land Acquisition &amp; Settlement Facility</w:t>
      </w:r>
      <w:r>
        <w:rPr>
          <w:rFonts w:hint="default"/>
        </w:rPr>
        <w:t xml:space="preserve"> enables qualifying projects to combine cash consideration with Master Fund Units when acquiring land required for development, where legally permissible, providing eligible landowners and communities with immediate cash plus regulated long-term economic participation — with minimum cash, independent legal counsel, cooling-off periods, community consultation, and grievance mechanisms as standard protections.</w:t>
      </w:r>
    </w:p>
    <w:p>
      <w:r>
        <w:rPr>
          <w:rFonts w:hint="default"/>
        </w:rPr>
        <w:t>Units may be listed on NSE and other regulated African securities exchanges</w:t>
      </w:r>
      <w:r>
        <w:rPr>
          <w:rFonts w:hint="default"/>
        </w:rPr>
        <w:t>, providing secondary market liquidity for unit holders.</w:t>
      </w:r>
    </w:p>
    <w:p>
      <w:r>
        <w:rPr>
          <w:rFonts w:hint="default"/>
        </w:rPr>
        <w:t>Jowih opens its commercial operating layer to highly liquid, regulated economic participation by African citizens and the diaspora, while permanently locking the non-profit foundation layer to ensure absolute mission immunity, non-dilutability, and long-term infrastructural neutrality.</w:t>
      </w:r>
    </w:p>
    <w:p>
      <w:r>
        <w:pict>
          <v:rect id="_x0000_i1113" o:spt="1" style="height:1.5pt;width:432pt;" fillcolor="#A0A0A0" filled="t" stroked="f" coordsize="21600,21600" o:hr="t" o:hrstd="t" o:hralign="center">
            <v:path/>
            <v:fill on="t" focussize="0,0"/>
            <v:stroke on="f"/>
            <v:imagedata o:title=""/>
            <o:lock v:ext="edit"/>
            <w10:wrap type="none"/>
            <w10:anchorlock/>
          </v:rect>
        </w:pict>
      </w:r>
    </w:p>
    <w:p/>
    <w:p/>
    <w:sectPr>
      <w:pgSz w:w="16783" w:h="23757"/>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 w:name="Bitstream Charter">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Symbol">
    <w:altName w:val="URW Bookman"/>
    <w:panose1 w:val="00000000000000000000"/>
    <w:charset w:val="00"/>
    <w:family w:val="auto"/>
    <w:pitch w:val="default"/>
    <w:sig w:usb0="00000000" w:usb1="00000000" w:usb2="00000000" w:usb3="00000000" w:csb0="00000000" w:csb1="00000000"/>
  </w:font>
  <w:font w:name="Ubuntu">
    <w:panose1 w:val="020B0604030602030204"/>
    <w:charset w:val="00"/>
    <w:family w:val="auto"/>
    <w:pitch w:val="default"/>
    <w:sig w:usb0="E00002FF" w:usb1="5000205B" w:usb2="00000000" w:usb3="00000000" w:csb0="2000009F" w:csb1="56010000"/>
  </w:font>
  <w:font w:name="Ubuntu Mono">
    <w:panose1 w:val="020B0309030602030204"/>
    <w:charset w:val="00"/>
    <w:family w:val="auto"/>
    <w:pitch w:val="default"/>
    <w:sig w:usb0="E00002FF" w:usb1="5000205B" w:usb2="00000000" w:usb3="00000000" w:csb0="0000009F" w:csb1="56010000"/>
  </w:font>
  <w:font w:name="DejaVa Sans">
    <w:altName w:val="URW Bookman"/>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D5A9C"/>
    <w:rsid w:val="1FDC36A1"/>
    <w:rsid w:val="26BF2DE2"/>
    <w:rsid w:val="4F7FC580"/>
    <w:rsid w:val="57CA81F5"/>
    <w:rsid w:val="735779F0"/>
    <w:rsid w:val="76B72EA0"/>
    <w:rsid w:val="7F63AF88"/>
    <w:rsid w:val="DEF9E777"/>
    <w:rsid w:val="FFDD5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7">
    <w:name w:val="Default Paragraph Font"/>
    <w:semiHidden/>
    <w:qFormat/>
    <w:uiPriority w:val="0"/>
  </w:style>
  <w:style w:type="table" w:default="1" w:styleId="10">
    <w:name w:val="Normal Table"/>
    <w:semiHidden/>
    <w:uiPriority w:val="0"/>
    <w:tblPr>
      <w:tblLayout w:type="fixed"/>
      <w:tblCellMar>
        <w:top w:w="0" w:type="dxa"/>
        <w:left w:w="108" w:type="dxa"/>
        <w:bottom w:w="0" w:type="dxa"/>
        <w:right w:w="108" w:type="dxa"/>
      </w:tblCellMar>
    </w:tbl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basedOn w:val="1"/>
    <w:uiPriority w:val="0"/>
    <w:rPr>
      <w:sz w:val="24"/>
      <w:szCs w:val="24"/>
    </w:rPr>
  </w:style>
  <w:style w:type="character" w:styleId="8">
    <w:name w:val="Emphasis"/>
    <w:basedOn w:val="7"/>
    <w:qFormat/>
    <w:uiPriority w:val="0"/>
    <w:rPr>
      <w:i/>
      <w:iCs/>
    </w:rPr>
  </w:style>
  <w:style w:type="character" w:styleId="9">
    <w:name w:val="HTML Code"/>
    <w:basedOn w:val="7"/>
    <w:qFormat/>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283</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2026-09-19T22:27:00Z</dcterms:created>
  <dc:creator>jowih-corporation</dc:creator>
  <cp:lastModifiedBy>jowih-corporation</cp:lastModifiedBy>
  <dcterms:modified xsi:type="dcterms:W3CDTF">2026-10-02T12:22:44Z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