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Volume I — Technical Proposal (SYNTHETIC SAMPLE)</w:t>
      </w:r>
    </w:p>
    <w:p>
      <w:r>
        <w:t>Fabricated for demonstration and testing. Written to contain the defects this tool detects. Not real proposal content.</w:t>
      </w:r>
    </w:p>
    <w:p>
      <w:pPr>
        <w:pStyle w:val="Heading1"/>
      </w:pPr>
      <w:r>
        <w:t>Compliance Matrix (extract)</w:t>
      </w:r>
    </w:p>
    <w:tbl>
      <w:tblPr>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Section</w:t>
            </w:r>
          </w:p>
        </w:tc>
      </w:tr>
      <w:tr>
        <w:tc>
          <w:tcPr>
            <w:tcW w:type="dxa" w:w="2880"/>
          </w:tcPr>
          <w:p>
            <w:r>
              <w:t>L-003</w:t>
            </w:r>
          </w:p>
        </w:tc>
        <w:tc>
          <w:tcPr>
            <w:tcW w:type="dxa" w:w="2880"/>
          </w:tcPr>
          <w:p>
            <w:r>
              <w:t>The offeror shall describe its approach to sustaining ground terminal hardware.</w:t>
            </w:r>
          </w:p>
        </w:tc>
        <w:tc>
          <w:tcPr>
            <w:tcW w:type="dxa" w:w="2880"/>
          </w:tcPr>
          <w:p>
            <w:r>
              <w:t>2.1</w:t>
            </w:r>
          </w:p>
        </w:tc>
      </w:tr>
      <w:tr>
        <w:tc>
          <w:tcPr>
            <w:tcW w:type="dxa" w:w="2880"/>
          </w:tcPr>
          <w:p>
            <w:r>
              <w:t>L-006</w:t>
            </w:r>
          </w:p>
        </w:tc>
        <w:tc>
          <w:tcPr>
            <w:tcW w:type="dxa" w:w="2880"/>
          </w:tcPr>
          <w:p>
            <w:r>
              <w:t>The offeror shall describe its approach to quality management.</w:t>
            </w:r>
          </w:p>
        </w:tc>
        <w:tc>
          <w:tcPr>
            <w:tcW w:type="dxa" w:w="2880"/>
          </w:tcPr>
          <w:p>
            <w:r>
              <w:t>2.2</w:t>
            </w:r>
          </w:p>
        </w:tc>
      </w:tr>
    </w:tbl>
    <w:p>
      <w:pPr>
        <w:pStyle w:val="Heading1"/>
      </w:pPr>
      <w:r>
        <w:t>2.1 Technical Approach</w:t>
      </w:r>
    </w:p>
    <w:p>
      <w:r>
        <w:t>Our team will ensure that operational availability is maintained above the required threshold at all three sites. We offer a comprehensive sustainment solution that has been developed by our world-class engineering organization over many years of similar work.</w:t>
      </w:r>
    </w:p>
    <w:p>
      <w:r>
        <w:t>Our approach is built on a robust maintenance methodology that always delivers results. Preventive maintenance actions are scheduled by our planning team and are performed by certified technicians. Diagnostic activities will be supported by our cutting-edge toolset, which was designed by our internal engineering group and is used across all of our programs.</w:t>
      </w:r>
    </w:p>
    <w:p>
      <w:r>
        <w:t>We will strive to reduce mean time to repair through the application of best-in-class diagnostic procedures. Spare parts are sourced from qualified suppliers and are staged at each site as needed. Our supply chain is seamless and fully compliant with all requirements.</w:t>
      </w:r>
    </w:p>
    <w:p>
      <w:pPr>
        <w:pStyle w:val="Heading1"/>
      </w:pPr>
      <w:r>
        <w:t>2.2 Management Approach</w:t>
      </w:r>
    </w:p>
    <w:p>
      <w:r>
        <w:t>Staffing levels have been determined by our program management office based on extensive experience. We guarantee that qualified personnel will be available to support all requirements throughout the period of performance.</w:t>
      </w:r>
    </w:p>
    <w:p>
      <w:r>
        <w:t>Quality management is performed in accordance with our internal quality system. Performance metrics are collected by the site leads and are reported to the program manager monthly. Issues are escalated as needed and are resolved by the appropriate technical authority.</w:t>
      </w:r>
    </w:p>
    <w:p>
      <w:pPr>
        <w:pStyle w:val="Heading1"/>
      </w:pPr>
      <w:r>
        <w:t>2.3 Past Performance</w:t>
      </w:r>
    </w:p>
    <w:p>
      <w:r>
        <w:t>Our company has deep experience in ground terminal sustainment. We have supported numerous similar programs and have never failed to meet a customer requirement. Our past performance demonstrates that we are a turnkey provider of sustainment services and that our approach is state-of-the-art.</w:t>
      </w:r>
    </w:p>
    <w:p>
      <w:pPr>
        <w:pStyle w:val="Heading1"/>
      </w:pPr>
      <w:r>
        <w:t>2.4 Transition Plan</w:t>
      </w:r>
    </w:p>
    <w:p>
      <w:r>
        <w:t>Transition activities will be executed by our transition team. We will attempt to complete all transition tasks within the required period. Knowledge transfer is accomplished through a structured process that was refined on prior contracts. We will leverage our existing relationships to minimize disruption, and we may be able to accelerate the schedule depending on site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