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44af8d387219e6b81c96ae875fdec072ac079b"/>
    <w:p>
      <w:pPr>
        <w:pStyle w:val="Heading1"/>
      </w:pPr>
      <w:r>
        <w:t xml:space="preserve">Fundamento del instrumento de validación (TAM2)</w:t>
      </w:r>
    </w:p>
    <w:p>
      <w:pPr>
        <w:pStyle w:val="FirstParagraph"/>
      </w:pPr>
      <w:r>
        <w:t xml:space="preserve">Nota para el asesor. Justifica la versión del Modelo de Aceptación Tecnológica adoptada en la ficha</w:t>
      </w:r>
      <w:r>
        <w:t xml:space="preserve"> </w:t>
      </w:r>
      <w:r>
        <w:t xml:space="preserve">de validación y cómo se analizarán las respuestas.</w:t>
      </w:r>
    </w:p>
    <w:p>
      <w:r>
        <w:pict>
          <v:rect style="width:0;height:1.5pt" o:hralign="center" o:hrstd="t" o:hr="t"/>
        </w:pict>
      </w:r>
    </w:p>
    <w:bookmarkStart w:id="9" w:name="qué-versión-se-adoptó-y-por-qué"/>
    <w:p>
      <w:pPr>
        <w:pStyle w:val="Heading2"/>
      </w:pPr>
      <w:r>
        <w:t xml:space="preserve">1. Qué versión se adoptó y por qué</w:t>
      </w:r>
    </w:p>
    <w:p>
      <w:pPr>
        <w:pStyle w:val="FirstParagraph"/>
      </w:pPr>
      <w:r>
        <w:t xml:space="preserve">La elección se hizo aplicando el marco de decisión de Britto (2026), que compara TAM, TAM2, TAM3,</w:t>
      </w:r>
      <w:r>
        <w:t xml:space="preserve"> </w:t>
      </w:r>
      <w:r>
        <w:t xml:space="preserve">UTAUT y UTAUT2 en cinco dimensiones: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"/>
        <w:gridCol w:w="7286"/>
        <w:gridCol w:w="3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Este estudio</w:t>
            </w:r>
          </w:p>
        </w:tc>
        <w:tc>
          <w:tcPr/>
          <w:p>
            <w:pPr>
              <w:pStyle w:val="Compact"/>
            </w:pPr>
            <w:r>
              <w:t xml:space="preserve">Modelo que corresponde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 Contexto de aplicación</w:t>
            </w:r>
          </w:p>
        </w:tc>
        <w:tc>
          <w:tcPr/>
          <w:p>
            <w:pPr>
              <w:pStyle w:val="Compact"/>
            </w:pPr>
            <w:r>
              <w:t xml:space="preserve">Organizacional: la herramienta apoya tareas del personal de salud</w:t>
            </w:r>
          </w:p>
        </w:tc>
        <w:tc>
          <w:tcPr/>
          <w:p>
            <w:pPr>
              <w:pStyle w:val="Compact"/>
            </w:pPr>
            <w:r>
              <w:t xml:space="preserve">TAM2, TAM3, UTAUT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 Régimen de uso</w:t>
            </w:r>
          </w:p>
        </w:tc>
        <w:tc>
          <w:tcPr/>
          <w:p>
            <w:pPr>
              <w:pStyle w:val="Compact"/>
            </w:pPr>
            <w:r>
              <w:t xml:space="preserve">Voluntario: es una propuesta, no un sistema impuesto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 Etapa de adopción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Aceptación inicial</w:t>
            </w:r>
            <w:r>
              <w:t xml:space="preserve">: primera exposición, antes de cualquier despliegue</w:t>
            </w:r>
          </w:p>
        </w:tc>
        <w:tc>
          <w:tcPr/>
          <w:p>
            <w:pPr>
              <w:pStyle w:val="Compact"/>
            </w:pPr>
            <w:r>
              <w:t xml:space="preserve">TAM,</w:t>
            </w:r>
            <w:r>
              <w:t xml:space="preserve"> </w:t>
            </w:r>
            <w:r>
              <w:rPr>
                <w:b/>
                <w:bCs/>
              </w:rPr>
              <w:t xml:space="preserve">TAM2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D4. Foco explicativo</w:t>
            </w:r>
          </w:p>
        </w:tc>
        <w:tc>
          <w:tcPr/>
          <w:p>
            <w:pPr>
              <w:pStyle w:val="Compact"/>
            </w:pPr>
            <w:r>
              <w:t xml:space="preserve">Utilidad ampliada por factores del trabajo (relevancia, calidad y demostrabilidad del resultado)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D5. Granularidad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Intermedia</w:t>
            </w:r>
            <w:r>
              <w:t xml:space="preserve">: un panel de seis especialistas no sostiene un modelo de alta complejidad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TAM2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adopta TAM2</w:t>
      </w:r>
      <w:r>
        <w:t xml:space="preserve"> </w:t>
      </w:r>
      <w:r>
        <w:t xml:space="preserve">(Venkatesh y Davis, 2000), que coincide con el estudio en las cinco dimensiones.</w:t>
      </w:r>
    </w:p>
    <w:p>
      <w:pPr>
        <w:pStyle w:val="BodyText"/>
      </w:pPr>
      <w:r>
        <w:t xml:space="preserve">Se descartan las demás por motivos concretos: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</w:t>
      </w:r>
      <w:r>
        <w:t xml:space="preserve"> </w:t>
      </w:r>
      <w:r>
        <w:t xml:space="preserve">(Davis, 1989): se queda corto; mide utilidad y facilidad de uso, pero no por qué la</w:t>
      </w:r>
      <w:r>
        <w:t xml:space="preserve"> </w:t>
      </w:r>
      <w:r>
        <w:t xml:space="preserve">herramienta resulta útil, que es lo que interesa preguntar a un panel clínico.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TAM3</w:t>
      </w:r>
      <w:r>
        <w:t xml:space="preserve"> </w:t>
      </w:r>
      <w:r>
        <w:t xml:space="preserve">(Venkatesh y Bala, 2008): orientado a cómo cambian las percepciones con la experiencia de</w:t>
      </w:r>
      <w:r>
        <w:t xml:space="preserve"> </w:t>
      </w:r>
      <w:r>
        <w:t xml:space="preserve">uso a lo largo del tiempo, y de granularidad alta. Lo que añade sobre TAM2 son antecedentes de la</w:t>
      </w:r>
      <w:r>
        <w:t xml:space="preserve"> </w:t>
      </w:r>
      <w:r>
        <w:t xml:space="preserve">facilidad de uso (autoeficacia, ansiedad, disfrute) que no aplican a una evaluación tras una única</w:t>
      </w:r>
      <w:r>
        <w:t xml:space="preserve"> </w:t>
      </w:r>
      <w:r>
        <w:t xml:space="preserve">demostración. Se toma de él un solo constructo: la</w:t>
      </w:r>
      <w:r>
        <w:t xml:space="preserve"> </w:t>
      </w:r>
      <w:r>
        <w:rPr>
          <w:b/>
          <w:bCs/>
        </w:rPr>
        <w:t xml:space="preserve">percepción de control externo</w:t>
      </w:r>
      <w:r>
        <w:t xml:space="preserve">, para preguntar</w:t>
      </w:r>
      <w:r>
        <w:t xml:space="preserve"> </w:t>
      </w:r>
      <w:r>
        <w:t xml:space="preserve">si los datos que pide el sistema están disponibles en la práctica.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UTAUT y UTAUT2</w:t>
      </w:r>
      <w:r>
        <w:t xml:space="preserve">: granularidad alta; UTAUT2 además está pensado para consumo individual.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 Plus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TAM 5</w:t>
      </w:r>
      <w:r>
        <w:t xml:space="preserve">, sugeridos por la búsqueda en LeapSpace: el primero es la denominación que</w:t>
      </w:r>
      <w:r>
        <w:t xml:space="preserve"> </w:t>
      </w:r>
      <w:r>
        <w:t xml:space="preserve">un meta-análisis da al TAM extendido y no define un instrumento; el segundo mide desarrollo ágil y</w:t>
      </w:r>
      <w:r>
        <w:t xml:space="preserve"> </w:t>
      </w:r>
      <w:r>
        <w:t xml:space="preserve">trabajo híbrido en la industria de software, fuera del dominio.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TAM3 + Warm-Glow</w:t>
      </w:r>
      <w:r>
        <w:t xml:space="preserve">: añade el bienestar emocional de</w:t>
      </w:r>
      <w:r>
        <w:t xml:space="preserve"> </w:t>
      </w:r>
      <w:r>
        <w:t xml:space="preserve">“hacer el bien”</w:t>
      </w:r>
      <w:r>
        <w:t xml:space="preserve"> </w:t>
      </w:r>
      <w:r>
        <w:t xml:space="preserve">como antecedente de la</w:t>
      </w:r>
      <w:r>
        <w:t xml:space="preserve"> </w:t>
      </w:r>
      <w:r>
        <w:t xml:space="preserve">utilidad percibida; pensado para tecnología de consumo/filantropía, no para personal clínico</w:t>
      </w:r>
      <w:r>
        <w:t xml:space="preserve"> </w:t>
      </w:r>
      <w:r>
        <w:t xml:space="preserve">evaluando una herramienta de trabajo.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TAM3 en contextos educativos</w:t>
      </w:r>
      <w:r>
        <w:t xml:space="preserve"> </w:t>
      </w:r>
      <w:r>
        <w:t xml:space="preserve">(meta-análisis con 12 estudios, n=3874): encuentra que TAM3 puede</w:t>
      </w:r>
      <w:r>
        <w:t xml:space="preserve"> </w:t>
      </w:r>
      <w:r>
        <w:t xml:space="preserve">no ajustar bien fuera de su dominio organizacional original, lo que refuerza no forzarlo aquí.</w:t>
      </w:r>
    </w:p>
    <w:p>
      <w:pPr>
        <w:pStyle w:val="FirstParagraph"/>
      </w:pPr>
      <w:r>
        <w:t xml:space="preserve">Matemba et al. (2020), tras revisar 166 estudios sobre TAM, plantean como hipótesis que el estado de</w:t>
      </w:r>
      <w:r>
        <w:t xml:space="preserve"> </w:t>
      </w:r>
      <w:r>
        <w:t xml:space="preserve">salud modera la fuerza de las relaciones entre sus constructos. No se aplica un modelo distinto por</w:t>
      </w:r>
      <w:r>
        <w:t xml:space="preserve"> </w:t>
      </w:r>
      <w:r>
        <w:t xml:space="preserve">eso, pero sí respalda</w:t>
      </w:r>
      <w:r>
        <w:t xml:space="preserve"> </w:t>
      </w:r>
      <w:r>
        <w:rPr>
          <w:b/>
          <w:bCs/>
        </w:rPr>
        <w:t xml:space="preserve">adaptar los enunciados al contexto sanitario</w:t>
      </w:r>
      <w:r>
        <w:t xml:space="preserve"> </w:t>
      </w:r>
      <w:r>
        <w:t xml:space="preserve">en vez de traducir los ítems</w:t>
      </w:r>
      <w:r>
        <w:t xml:space="preserve"> </w:t>
      </w:r>
      <w:r>
        <w:t xml:space="preserve">originales de forma literal.</w:t>
      </w:r>
    </w:p>
    <w:bookmarkEnd w:id="9"/>
    <w:bookmarkStart w:id="10" w:name="X6ed25b42528641cae165b23a3d9f1c27b9bab88"/>
    <w:p>
      <w:pPr>
        <w:pStyle w:val="Heading2"/>
      </w:pPr>
      <w:r>
        <w:t xml:space="preserve">2. Correspondencia entre constructos e ítems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6"/>
        <w:gridCol w:w="339"/>
        <w:gridCol w:w="339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Ítems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Relevancia para el trabajo (</w:t>
            </w:r>
            <w:r>
              <w:rPr>
                <w:i/>
                <w:iCs/>
              </w:rPr>
              <w:t xml:space="preserve">job relevance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R1–R3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resultado (</w:t>
            </w:r>
            <w:r>
              <w:rPr>
                <w:i/>
                <w:iCs/>
              </w:rPr>
              <w:t xml:space="preserve">output quality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C1–C3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Demostrabilidad del resultado (</w:t>
            </w:r>
            <w:r>
              <w:rPr>
                <w:i/>
                <w:iCs/>
              </w:rPr>
              <w:t xml:space="preserve">result demonstrability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D1–D2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percibida (</w:t>
            </w:r>
            <w:r>
              <w:rPr>
                <w:i/>
                <w:iCs/>
              </w:rPr>
              <w:t xml:space="preserve">perceived usefulness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U1–U4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Facilidad de uso percibida (</w:t>
            </w:r>
            <w:r>
              <w:rPr>
                <w:i/>
                <w:iCs/>
              </w:rPr>
              <w:t xml:space="preserve">perceived ease of use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VII</w:t>
            </w:r>
          </w:p>
        </w:tc>
        <w:tc>
          <w:tcPr/>
          <w:p>
            <w:pPr>
              <w:pStyle w:val="Compact"/>
            </w:pPr>
            <w:r>
              <w:t xml:space="preserve">F1–F4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Percepción de control externo (</w:t>
            </w:r>
            <w:r>
              <w:rPr>
                <w:i/>
                <w:iCs/>
              </w:rPr>
              <w:t xml:space="preserve">perceptions of external control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TAM3</w:t>
            </w:r>
          </w:p>
        </w:tc>
        <w:tc>
          <w:tcPr/>
          <w:p>
            <w:pPr>
              <w:pStyle w:val="Compact"/>
            </w:pPr>
            <w:r>
              <w:t xml:space="preserve">VIII</w:t>
            </w:r>
          </w:p>
        </w:tc>
        <w:tc>
          <w:tcPr/>
          <w:p>
            <w:pPr>
              <w:pStyle w:val="Compact"/>
            </w:pPr>
            <w:r>
              <w:t xml:space="preserve">K1–K3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 subjetiva (</w:t>
            </w:r>
            <w:r>
              <w:rPr>
                <w:i/>
                <w:iCs/>
              </w:rPr>
              <w:t xml:space="preserve">subjective norm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  <w:tc>
          <w:tcPr/>
          <w:p>
            <w:pPr>
              <w:pStyle w:val="Compact"/>
            </w:pPr>
            <w:r>
              <w:t xml:space="preserve">IX</w:t>
            </w:r>
          </w:p>
        </w:tc>
        <w:tc>
          <w:tcPr/>
          <w:p>
            <w:pPr>
              <w:pStyle w:val="Compact"/>
            </w:pPr>
            <w:r>
              <w:t xml:space="preserve">S1–S2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Intención de uso (</w:t>
            </w:r>
            <w:r>
              <w:rPr>
                <w:i/>
                <w:iCs/>
              </w:rPr>
              <w:t xml:space="preserve">behavioral intention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I1–I3</w:t>
            </w:r>
          </w:p>
        </w:tc>
      </w:tr>
    </w:tbl>
    <w:p>
      <w:pPr>
        <w:pStyle w:val="BodyText"/>
      </w:pPr>
      <w:r>
        <w:rPr>
          <w:b/>
          <w:bCs/>
        </w:rPr>
        <w:t xml:space="preserve">24 ítems</w:t>
      </w:r>
      <w:r>
        <w:t xml:space="preserve"> </w:t>
      </w:r>
      <w:r>
        <w:t xml:space="preserve">en escala de 1 a 5, más una valoración global de 1 a 10 y cuatro preguntas abiertas.</w:t>
      </w:r>
    </w:p>
    <w:p>
      <w:pPr>
        <w:pStyle w:val="BodyText"/>
      </w:pPr>
      <w:r>
        <w:t xml:space="preserve">De TAM2 se omiten</w:t>
      </w:r>
      <w:r>
        <w:t xml:space="preserve"> </w:t>
      </w:r>
      <w:r>
        <w:rPr>
          <w:b/>
          <w:bCs/>
        </w:rPr>
        <w:t xml:space="preserve">imagen</w:t>
      </w:r>
      <w:r>
        <w:t xml:space="preserve"> </w:t>
      </w:r>
      <w:r>
        <w:t xml:space="preserve">(el prestigio que da usar la herramienta) y</w:t>
      </w:r>
      <w:r>
        <w:t xml:space="preserve"> </w:t>
      </w:r>
      <w:r>
        <w:rPr>
          <w:b/>
          <w:bCs/>
        </w:rPr>
        <w:t xml:space="preserve">voluntariedad</w:t>
      </w:r>
      <w:r>
        <w:t xml:space="preserve">, que no</w:t>
      </w:r>
      <w:r>
        <w:t xml:space="preserve"> </w:t>
      </w:r>
      <w:r>
        <w:t xml:space="preserve">aplican a una evaluación por expertos que no serán usuarios obligados del sistema.</w:t>
      </w:r>
    </w:p>
    <w:p>
      <w:pPr>
        <w:pStyle w:val="BodyText"/>
      </w:pPr>
      <w:r>
        <w:t xml:space="preserve">El ítem</w:t>
      </w:r>
      <w:r>
        <w:t xml:space="preserve"> </w:t>
      </w:r>
      <w:r>
        <w:rPr>
          <w:b/>
          <w:bCs/>
        </w:rPr>
        <w:t xml:space="preserve">K2</w:t>
      </w:r>
      <w:r>
        <w:t xml:space="preserve"> </w:t>
      </w:r>
      <w:r>
        <w:t xml:space="preserve">pregunta de forma expresa por la disponibilidad del dato de hemoglobina, la única de</w:t>
      </w:r>
      <w:r>
        <w:t xml:space="preserve"> </w:t>
      </w:r>
      <w:r>
        <w:t xml:space="preserve">las 45 variables del modelo que exige un procedimiento sobre el niño. Sus respuestas contrastan la</w:t>
      </w:r>
      <w:r>
        <w:t xml:space="preserve"> </w:t>
      </w:r>
      <w:r>
        <w:t xml:space="preserve">medición que muestra que el modelo pierde poco sin ella (</w:t>
      </w:r>
      <w:r>
        <w:rPr>
          <w:rStyle w:val="VerbatimChar"/>
        </w:rPr>
        <w:t xml:space="preserve">docs/docs/hallazgos_validacion.md</w:t>
      </w:r>
      <w:r>
        <w:t xml:space="preserve">, §1).</w:t>
      </w:r>
    </w:p>
    <w:bookmarkEnd w:id="10"/>
    <w:bookmarkStart w:id="11" w:name="cómo-se-analizarán-las-respuestas"/>
    <w:p>
      <w:pPr>
        <w:pStyle w:val="Heading2"/>
      </w:pPr>
      <w:r>
        <w:t xml:space="preserve">3. Cómo se analizarán las respuestas</w:t>
      </w:r>
    </w:p>
    <w:p>
      <w:pPr>
        <w:pStyle w:val="FirstParagraph"/>
      </w:pPr>
      <w:r>
        <w:t xml:space="preserve">TAM2 es un modelo estructural: en su formulación original se valida estimando las relaciones entre</w:t>
      </w:r>
      <w:r>
        <w:t xml:space="preserve"> </w:t>
      </w:r>
      <w:r>
        <w:t xml:space="preserve">constructos con cientos de respuestas.</w:t>
      </w:r>
      <w:r>
        <w:t xml:space="preserve"> </w:t>
      </w:r>
      <w:r>
        <w:rPr>
          <w:b/>
          <w:bCs/>
        </w:rPr>
        <w:t xml:space="preserve">Con un panel de seis especialistas esa estimación no es</w:t>
      </w:r>
      <w:r>
        <w:rPr>
          <w:b/>
          <w:bCs/>
        </w:rPr>
        <w:t xml:space="preserve"> </w:t>
      </w:r>
      <w:r>
        <w:rPr>
          <w:b/>
          <w:bCs/>
        </w:rPr>
        <w:t xml:space="preserve">posible ni se pretende.</w:t>
      </w:r>
      <w:r>
        <w:t xml:space="preserve"> </w:t>
      </w:r>
      <w:r>
        <w:t xml:space="preserve">Los constructos se usan como</w:t>
      </w:r>
      <w:r>
        <w:t xml:space="preserve"> </w:t>
      </w:r>
      <w:r>
        <w:rPr>
          <w:b/>
          <w:bCs/>
        </w:rPr>
        <w:t xml:space="preserve">dimensiones de evaluación</w:t>
      </w:r>
      <w:r>
        <w:t xml:space="preserve">, y el análisis es</w:t>
      </w:r>
      <w:r>
        <w:t xml:space="preserve"> </w:t>
      </w:r>
      <w:r>
        <w:t xml:space="preserve">descriptivo:</w:t>
      </w:r>
    </w:p>
    <w:p>
      <w:pPr>
        <w:pStyle w:val="Compact"/>
        <w:numPr>
          <w:ilvl w:val="0"/>
          <w:numId w:val="1002"/>
        </w:numPr>
      </w:pPr>
      <w:r>
        <w:t xml:space="preserve">Mediana y rango intercuartílico por dimensión, que son los estadísticos adecuados para una escala</w:t>
      </w:r>
      <w:r>
        <w:t xml:space="preserve"> </w:t>
      </w:r>
      <w:r>
        <w:t xml:space="preserve">ordinal con pocos evaluadores.</w:t>
      </w:r>
    </w:p>
    <w:p>
      <w:pPr>
        <w:pStyle w:val="Compact"/>
        <w:numPr>
          <w:ilvl w:val="0"/>
          <w:numId w:val="1002"/>
        </w:numPr>
      </w:pPr>
      <w:r>
        <w:t xml:space="preserve">Porcentaje de acuerdo por ítem (respuestas 4 y 5).</w:t>
      </w:r>
    </w:p>
    <w:p>
      <w:pPr>
        <w:pStyle w:val="Compact"/>
        <w:numPr>
          <w:ilvl w:val="0"/>
          <w:numId w:val="1002"/>
        </w:numPr>
      </w:pPr>
      <w:r>
        <w:t xml:space="preserve">Análisis de contenido de las preguntas abiertas, agrupando las variables faltantes y las</w:t>
      </w:r>
      <w:r>
        <w:t xml:space="preserve"> </w:t>
      </w:r>
      <w:r>
        <w:t xml:space="preserve">limitaciones señaladas.</w:t>
      </w:r>
    </w:p>
    <w:p>
      <w:pPr>
        <w:pStyle w:val="FirstParagraph"/>
      </w:pPr>
      <w:r>
        <w:t xml:space="preserve">Se considerará una dimensión</w:t>
      </w:r>
      <w:r>
        <w:t xml:space="preserve"> </w:t>
      </w:r>
      <w:r>
        <w:rPr>
          <w:b/>
          <w:bCs/>
        </w:rPr>
        <w:t xml:space="preserve">favorablemente valorada</w:t>
      </w:r>
      <w:r>
        <w:t xml:space="preserve"> </w:t>
      </w:r>
      <w:r>
        <w:t xml:space="preserve">cuando su mediana sea igual o superior a 4.</w:t>
      </w:r>
    </w:p>
    <w:bookmarkEnd w:id="11"/>
    <w:bookmarkStart w:id="12" w:name="dónde-están-los-ítems-originales"/>
    <w:p>
      <w:pPr>
        <w:pStyle w:val="Heading2"/>
      </w:pPr>
      <w:r>
        <w:t xml:space="preserve">4. Dónde están los ítems originales</w:t>
      </w:r>
    </w:p>
    <w:p>
      <w:pPr>
        <w:pStyle w:val="FirstParagraph"/>
      </w:pPr>
      <w:r>
        <w:t xml:space="preserve">Los enunciados de la ficha son adaptaciones al contexto sanitario. Los ítems originales, en inglés,</w:t>
      </w:r>
      <w:r>
        <w:t xml:space="preserve"> </w:t>
      </w:r>
      <w:r>
        <w:t xml:space="preserve">están en los propios artículos fuente: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TAM2</w:t>
      </w:r>
      <w:r>
        <w:t xml:space="preserve">: Venkatesh y Davis (2000),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, 46(2), 186–204.</w:t>
      </w:r>
      <w:r>
        <w:t xml:space="preserve"> </w:t>
      </w:r>
      <w:r>
        <w:t xml:space="preserve">DOI 10.1287/mnsc.46.2.186.11926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Percepción de control externo (TAM3)</w:t>
      </w:r>
      <w:r>
        <w:t xml:space="preserve">: Venkatesh y Bala (2008),</w:t>
      </w:r>
      <w:r>
        <w:t xml:space="preserve"> </w:t>
      </w:r>
      <w:r>
        <w:rPr>
          <w:i/>
          <w:iCs/>
        </w:rPr>
        <w:t xml:space="preserve">Decision Sciences</w:t>
      </w:r>
      <w:r>
        <w:t xml:space="preserve">, 39(2),</w:t>
      </w:r>
      <w:r>
        <w:t xml:space="preserve"> </w:t>
      </w:r>
      <w:r>
        <w:t xml:space="preserve">273–315. DOI 10.1111/j.1540-5915.2008.00192.x</w:t>
      </w:r>
    </w:p>
    <w:p>
      <w:pPr>
        <w:pStyle w:val="FirstParagraph"/>
      </w:pPr>
      <w:r>
        <w:t xml:space="preserve">Ambos son de pago; se acceden desde las bases suscritas por la biblioteca de la UPeU (INFORMS y Wiley)</w:t>
      </w:r>
      <w:r>
        <w:t xml:space="preserve"> </w:t>
      </w:r>
      <w:r>
        <w:t xml:space="preserve">o desde la copia que los autores suelen subir a ResearchGate.</w:t>
      </w:r>
    </w:p>
    <w:p>
      <w:pPr>
        <w:pStyle w:val="BodyText"/>
      </w:pPr>
      <w:r>
        <w:t xml:space="preserve">Conviene cotejar cada ítem adaptado con su original y, si existe, preferir una</w:t>
      </w:r>
      <w:r>
        <w:t xml:space="preserve"> </w:t>
      </w:r>
      <w:r>
        <w:rPr>
          <w:b/>
          <w:bCs/>
        </w:rPr>
        <w:t xml:space="preserve">versión en español ya</w:t>
      </w:r>
      <w:r>
        <w:rPr>
          <w:b/>
          <w:bCs/>
        </w:rPr>
        <w:t xml:space="preserve"> </w:t>
      </w:r>
      <w:r>
        <w:rPr>
          <w:b/>
          <w:bCs/>
        </w:rPr>
        <w:t xml:space="preserve">validada</w:t>
      </w:r>
      <w:r>
        <w:t xml:space="preserve"> </w:t>
      </w:r>
      <w:r>
        <w:t xml:space="preserve">en población sanitaria. Búsqueda sugerida en LeapSpace/Scopus:</w:t>
      </w:r>
    </w:p>
    <w:p>
      <w:pPr>
        <w:pStyle w:val="BlockText"/>
      </w:pPr>
      <w:r>
        <w:rPr>
          <w:i/>
          <w:iCs/>
        </w:rPr>
        <w:t xml:space="preserve">Spanish validated questionnaire Technology Acceptance Model 2 health professionals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decision support. Matrix with: authors, year, country, sample, constructs, reliability</w:t>
      </w:r>
      <w:r>
        <w:rPr>
          <w:i/>
          <w:iCs/>
        </w:rPr>
        <w:t xml:space="preserve"> </w:t>
      </w:r>
      <w:r>
        <w:rPr>
          <w:i/>
          <w:iCs/>
        </w:rPr>
        <w:t xml:space="preserve">(Cronbach’s alpha).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2026-09-23T19:17:53Z</dcterms:created>
  <dcterms:modified xsi:type="dcterms:W3CDTF">2026-09-23T19:17:53Z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