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65f67493c61caaa123f1f8d68ab7cc02703792a"/>
    <w:p>
      <w:pPr>
        <w:pStyle w:val="Heading1"/>
      </w:pPr>
      <w:r>
        <w:t xml:space="preserve">SOLICITUD DE VALIDACIÓN POR JUICIO DE EXPERTOS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rPr>
          <w:i/>
          <w:iCs/>
        </w:rPr>
        <w:t xml:space="preserve">Modelo Predictivo de Riesgo de Desnutrición Crónica Infantil en el Perú mediante Machine Learning</w:t>
      </w:r>
    </w:p>
    <w:p>
      <w:pPr>
        <w:pStyle w:val="BodyText"/>
      </w:pPr>
      <w:r>
        <w:rPr>
          <w:b/>
          <w:bCs/>
        </w:rPr>
        <w:t xml:space="preserve">Institución:</w:t>
      </w:r>
      <w:r>
        <w:t xml:space="preserve"> </w:t>
      </w:r>
      <w:r>
        <w:t xml:space="preserve">Universidad Peruana Unión (UPeU) — Facultad de Ingeniería y Arquitectura, EP Ingeniería de Sistemas</w:t>
      </w:r>
      <w:r>
        <w:t xml:space="preserve"> </w:t>
      </w:r>
      <w:r>
        <w:rPr>
          <w:b/>
          <w:bCs/>
        </w:rPr>
        <w:t xml:space="preserve">Asignatura:</w:t>
      </w:r>
      <w:r>
        <w:t xml:space="preserve"> </w:t>
      </w:r>
      <w:r>
        <w:t xml:space="preserve">Investigación V (Ciclo X – 2026-II) ·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Mg. Nemias Saboya Rios</w:t>
      </w:r>
      <w:r>
        <w:t xml:space="preserve"> </w:t>
      </w:r>
      <w:r>
        <w:rPr>
          <w:b/>
          <w:bCs/>
        </w:rPr>
        <w:t xml:space="preserve">Equipo:</w:t>
      </w:r>
      <w:r>
        <w:t xml:space="preserve"> </w:t>
      </w:r>
      <w:r>
        <w:t xml:space="preserve">Abel Guevara Huasco · Verónica Vergara Rojas · Pamela Vallejos Cotrina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Predecir el</w:t>
      </w:r>
      <w:r>
        <w:t xml:space="preserve"> </w:t>
      </w:r>
      <w:r>
        <w:rPr>
          <w:b/>
          <w:bCs/>
        </w:rPr>
        <w:t xml:space="preserve">perfil de riesgo de desnutrición crónica infantil</w:t>
      </w:r>
      <w:r>
        <w:t xml:space="preserve"> </w:t>
      </w:r>
      <w:r>
        <w:t xml:space="preserve">en menores de 5 años a partir de</w:t>
      </w:r>
      <w:r>
        <w:t xml:space="preserve"> </w:t>
      </w:r>
      <w:r>
        <w:t xml:space="preserve">variables sociodemográficas, del hogar y de salud materna recogidas por encuesta, con el fin de</w:t>
      </w:r>
      <w:r>
        <w:t xml:space="preserve"> </w:t>
      </w:r>
      <w:r>
        <w:rPr>
          <w:b/>
          <w:bCs/>
        </w:rPr>
        <w:t xml:space="preserve">orientar la focalización de recursos</w:t>
      </w:r>
      <w:r>
        <w:t xml:space="preserve"> </w:t>
      </w:r>
      <w:r>
        <w:t xml:space="preserve">en salud pública.</w:t>
      </w:r>
    </w:p>
    <w:p>
      <w:pPr>
        <w:pStyle w:val="BodyText"/>
      </w:pPr>
      <w:r>
        <w:t xml:space="preserve">El sistema</w:t>
      </w:r>
      <w:r>
        <w:t xml:space="preserve"> </w:t>
      </w:r>
      <w:r>
        <w:rPr>
          <w:b/>
          <w:bCs/>
        </w:rPr>
        <w:t xml:space="preserve">no reemplaza el diagnóstico clínico ni la medición antropométrica</w:t>
      </w:r>
      <w:r>
        <w:t xml:space="preserve">. Funciona como una</w:t>
      </w:r>
      <w:r>
        <w:t xml:space="preserve"> </w:t>
      </w:r>
      <w:r>
        <w:t xml:space="preserve">herramienta de</w:t>
      </w:r>
      <w:r>
        <w:t xml:space="preserve"> </w:t>
      </w:r>
      <w:r>
        <w:rPr>
          <w:b/>
          <w:bCs/>
        </w:rPr>
        <w:t xml:space="preserve">triaje previo</w:t>
      </w:r>
      <w:r>
        <w:t xml:space="preserve">: dado el perfil de un hogar, estima la probabilidad de que el niño</w:t>
      </w:r>
      <w:r>
        <w:t xml:space="preserve"> </w:t>
      </w:r>
      <w:r>
        <w:t xml:space="preserve">presente desnutrición crónica, permitiendo priorizar a quién visitar primero cuando el presupuesto no</w:t>
      </w:r>
      <w:r>
        <w:t xml:space="preserve"> </w:t>
      </w:r>
      <w:r>
        <w:t xml:space="preserve">alcanza para cubrir a toda la población.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un modelo de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identificar, con datos de</w:t>
      </w:r>
      <w:r>
        <w:t xml:space="preserve"> </w:t>
      </w:r>
      <w:r>
        <w:t xml:space="preserve">encuesta de hogar, qué niños tienen mayor riesgo de desnutrición crónica antes de que un agente de</w:t>
      </w:r>
      <w:r>
        <w:t xml:space="preserve"> </w:t>
      </w:r>
      <w:r>
        <w:t xml:space="preserve">salud llegue al domicilio?</w:t>
      </w:r>
    </w:p>
    <w:p>
      <w:r>
        <w:pict>
          <v:rect style="width:0;height:1.5pt" o:hralign="center" o:hrstd="t" o:hr="t"/>
        </w:pict>
      </w:r>
    </w:p>
    <w:bookmarkEnd w:id="9"/>
    <w:bookmarkStart w:id="10" w:name="método"/>
    <w:p>
      <w:pPr>
        <w:pStyle w:val="Heading2"/>
      </w:pPr>
      <w:r>
        <w:t xml:space="preserve">2. Método</w:t>
      </w:r>
    </w:p>
    <w:p>
      <w:pPr>
        <w:pStyle w:val="FirstParagraph"/>
      </w:pPr>
      <w:r>
        <w:t xml:space="preserve">Se siguió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</w:t>
      </w:r>
      <w:r>
        <w:rPr>
          <w:i/>
          <w:iCs/>
        </w:rPr>
        <w:t xml:space="preserve">Cross-Industry Standard Process for Data Mining</w:t>
      </w:r>
      <w:r>
        <w:t xml:space="preserve">), estándar de la industria</w:t>
      </w:r>
      <w:r>
        <w:t xml:space="preserve"> </w:t>
      </w:r>
      <w:r>
        <w:t xml:space="preserve">para proyectos de ciencia de datos, organizado en seis fases:</w:t>
      </w:r>
    </w:p>
    <w:p>
      <w:pPr>
        <w:pStyle w:val="SourceCode"/>
      </w:pPr>
      <w:r>
        <w:rPr>
          <w:rStyle w:val="VerbatimChar"/>
        </w:rPr>
        <w:t xml:space="preserve">1. Comprensión    2. Comprensión    3. Preparación</w:t>
      </w:r>
      <w:r>
        <w:br/>
      </w:r>
      <w:r>
        <w:rPr>
          <w:rStyle w:val="VerbatimChar"/>
        </w:rPr>
        <w:t xml:space="preserve">   del Negocio   →   de los Datos  →   de los Datos</w:t>
      </w:r>
      <w:r>
        <w:br/>
      </w:r>
      <w:r>
        <w:rPr>
          <w:rStyle w:val="VerbatimChar"/>
        </w:rPr>
        <w:t xml:space="preserve">                                            ↓</w:t>
      </w:r>
      <w:r>
        <w:br/>
      </w:r>
      <w:r>
        <w:rPr>
          <w:rStyle w:val="VerbatimChar"/>
        </w:rPr>
        <w:t xml:space="preserve">6. Despliegue  ←  5. Evaluación   ←   4. Modelado</w:t>
      </w:r>
      <w:r>
        <w:br/>
      </w:r>
      <w:r>
        <w:rPr>
          <w:rStyle w:val="VerbatimChar"/>
        </w:rPr>
        <w:t xml:space="preserve">   (aplicativo)     (explicabilidad)     (algoritmos)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ENDES — INEI (Encuesta Demográfica y de Salud Familiar), datos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  <w:r>
              <w:t xml:space="preserve">2007 – 2025 (19 años)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304,271 niños</w:t>
            </w:r>
            <w:r>
              <w:t xml:space="preserve"> </w:t>
            </w:r>
            <w:r>
              <w:t xml:space="preserve">menores de 5 años con antropometría válida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objetivo</w:t>
            </w:r>
          </w:p>
        </w:tc>
        <w:tc>
          <w:tcPr/>
          <w:p>
            <w:pPr>
              <w:pStyle w:val="Compact"/>
            </w:pPr>
            <w:r>
              <w:t xml:space="preserve">Desnutrición crónica: Z-score Talla/Edad (</w:t>
            </w:r>
            <w:r>
              <w:rPr>
                <w:rStyle w:val="VerbatimChar"/>
              </w:rPr>
              <w:t xml:space="preserve">HC70</w:t>
            </w:r>
            <w:r>
              <w:t xml:space="preserve">) &lt; −2 DE, estándar OMS / KPI 4 del INEI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Prevalencia</w:t>
            </w:r>
          </w:p>
        </w:tc>
        <w:tc>
          <w:tcPr/>
          <w:p>
            <w:pPr>
              <w:pStyle w:val="Compact"/>
            </w:pPr>
            <w:r>
              <w:t xml:space="preserve">15.8%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problema</w:t>
            </w:r>
          </w:p>
        </w:tc>
        <w:tc>
          <w:tcPr/>
          <w:p>
            <w:pPr>
              <w:pStyle w:val="Compact"/>
            </w:pPr>
            <w:r>
              <w:t xml:space="preserve">Clasificación binaria supervisada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Validación cruzada estratificada 5-</w:t>
            </w:r>
            <w:r>
              <w:rPr>
                <w:i/>
                <w:iCs/>
              </w:rPr>
              <w:t xml:space="preserve">fold</w:t>
            </w:r>
            <w:r>
              <w:t xml:space="preserve"> </w:t>
            </w:r>
            <w:r>
              <w:t xml:space="preserve">con ponderación muestral del INEI (</w:t>
            </w:r>
            <w:r>
              <w:rPr>
                <w:rStyle w:val="VerbatimChar"/>
              </w:rPr>
              <w:t xml:space="preserve">HV005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Decisión metodológica central: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excluyeron deliberadamente el peso y la talla directos del</w:t>
      </w:r>
      <w:r>
        <w:rPr>
          <w:b/>
          <w:bCs/>
        </w:rPr>
        <w:t xml:space="preserve"> </w:t>
      </w:r>
      <w:r>
        <w:rPr>
          <w:b/>
          <w:bCs/>
        </w:rPr>
        <w:t xml:space="preserve">niño</w:t>
      </w:r>
      <w:r>
        <w:t xml:space="preserve"> </w:t>
      </w:r>
      <w:r>
        <w:t xml:space="preserve">(</w:t>
      </w:r>
      <w:r>
        <w:rPr>
          <w:rStyle w:val="VerbatimChar"/>
        </w:rPr>
        <w:t xml:space="preserve">HC2</w:t>
      </w:r>
      <w:r>
        <w:t xml:space="preserve">,</w:t>
      </w:r>
      <w:r>
        <w:t xml:space="preserve"> </w:t>
      </w:r>
      <w:r>
        <w:rPr>
          <w:rStyle w:val="VerbatimChar"/>
        </w:rPr>
        <w:t xml:space="preserve">HC3</w:t>
      </w:r>
      <w:r>
        <w:t xml:space="preserve">) y los Z-scores derivados. Si el modelo conociera la talla, el diagnóstico sería</w:t>
      </w:r>
      <w:r>
        <w:t xml:space="preserve"> </w:t>
      </w:r>
      <w:r>
        <w:t xml:space="preserve">trivial y no habría predicción. El modelo aprende únicamente de variables</w:t>
      </w:r>
      <w:r>
        <w:t xml:space="preserve"> </w:t>
      </w:r>
      <w:r>
        <w:rPr>
          <w:i/>
          <w:iCs/>
        </w:rPr>
        <w:t xml:space="preserve">no obvias</w:t>
      </w:r>
      <w:r>
        <w:t xml:space="preserve"> </w:t>
      </w:r>
      <w:r>
        <w:t xml:space="preserve">—condiciones del</w:t>
      </w:r>
      <w:r>
        <w:t xml:space="preserve"> </w:t>
      </w:r>
      <w:r>
        <w:t xml:space="preserve">hogar, historia materna y entorno— que la encuesta puede recoger sin medir al niño.</w:t>
      </w:r>
    </w:p>
    <w:p>
      <w:pPr>
        <w:pStyle w:val="BodyText"/>
      </w:pPr>
      <w:r>
        <w:rPr>
          <w:b/>
          <w:bCs/>
        </w:rPr>
        <w:t xml:space="preserve">Resultados actuales:</w:t>
      </w:r>
      <w:r>
        <w:t xml:space="preserve"> </w:t>
      </w:r>
      <w:r>
        <w:t xml:space="preserve">LightGBM resultó el algoritmo campeón entre seis evaluados, con</w:t>
      </w:r>
      <w:r>
        <w:t xml:space="preserve"> </w:t>
      </w:r>
      <w:r>
        <w:rPr>
          <w:b/>
          <w:bCs/>
        </w:rPr>
        <w:t xml:space="preserve">AUC-ROC 0.8294</w:t>
      </w:r>
      <w:r>
        <w:t xml:space="preserve"> </w:t>
      </w:r>
      <w:r>
        <w:t xml:space="preserve">(IC 95%: 0.8267 – 0.8324) y</w:t>
      </w:r>
      <w:r>
        <w:t xml:space="preserve"> </w:t>
      </w:r>
      <w:r>
        <w:rPr>
          <w:b/>
          <w:bCs/>
        </w:rPr>
        <w:t xml:space="preserve">sensibilidad 76.43%</w:t>
      </w:r>
      <w:r>
        <w:t xml:space="preserve"> </w:t>
      </w:r>
      <w:r>
        <w:t xml:space="preserve">(IC 95%: 75.88% – 76.98%),</w:t>
      </w:r>
      <w:r>
        <w:t xml:space="preserve"> </w:t>
      </w:r>
      <w:r>
        <w:t xml:space="preserve">verificados mediante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de 1,000 repeticiones. El umbral de decisión es ajustable: elevando la</w:t>
      </w:r>
      <w:r>
        <w:t xml:space="preserve"> </w:t>
      </w:r>
      <w:r>
        <w:t xml:space="preserve">sensibilidad a ≥ 80% el sistema detecta más casos reales a costa de más falsos positivos, criterio</w:t>
      </w:r>
      <w:r>
        <w:t xml:space="preserve"> </w:t>
      </w:r>
      <w:r>
        <w:t xml:space="preserve">deliberado en triaje preventivo, donde no detectar a un niño desnutrido es más costoso que una visita</w:t>
      </w:r>
      <w:r>
        <w:t xml:space="preserve"> </w:t>
      </w:r>
      <w:r>
        <w:t xml:space="preserve">de verificación innecesaria.</w:t>
      </w:r>
    </w:p>
    <w:p>
      <w:r>
        <w:pict>
          <v:rect style="width:0;height:1.5pt" o:hralign="center" o:hrstd="t" o:hr="t"/>
        </w:pict>
      </w:r>
    </w:p>
    <w:bookmarkEnd w:id="10"/>
    <w:bookmarkStart w:id="16" w:name="variables-que-intervienen-45"/>
    <w:p>
      <w:pPr>
        <w:pStyle w:val="Heading2"/>
      </w:pPr>
      <w:r>
        <w:t xml:space="preserve">3. Variables que intervienen (45)</w:t>
      </w:r>
    </w:p>
    <w:p>
      <w:pPr>
        <w:pStyle w:val="FirstParagraph"/>
      </w:pPr>
      <w:r>
        <w:t xml:space="preserve">Estas son las variables que el modelo utiliza actualmente, agrupadas por dominio.</w:t>
      </w:r>
      <w:r>
        <w:t xml:space="preserve"> </w:t>
      </w:r>
      <w:r>
        <w:rPr>
          <w:b/>
          <w:bCs/>
        </w:rPr>
        <w:t xml:space="preserve">Son las que</w:t>
      </w:r>
      <w:r>
        <w:rPr>
          <w:b/>
          <w:bCs/>
        </w:rPr>
        <w:t xml:space="preserve"> </w:t>
      </w:r>
      <w:r>
        <w:rPr>
          <w:b/>
          <w:bCs/>
        </w:rPr>
        <w:t xml:space="preserve">solicitamos encontrar en cualquier conjunto de datos externo con el que se desee contrastar el</w:t>
      </w:r>
      <w:r>
        <w:rPr>
          <w:b/>
          <w:bCs/>
        </w:rPr>
        <w:t xml:space="preserve"> </w:t>
      </w:r>
      <w:r>
        <w:rPr>
          <w:b/>
          <w:bCs/>
        </w:rPr>
        <w:t xml:space="preserve">sistema.</w:t>
      </w:r>
    </w:p>
    <w:bookmarkStart w:id="11" w:name="a.-niño-4"/>
    <w:p>
      <w:pPr>
        <w:pStyle w:val="Heading3"/>
      </w:pPr>
      <w:r>
        <w:t xml:space="preserve">A. Niño (4)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 ENDES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Edad en meses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Sexo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Hemoglobina ajustada por altitud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Intervalo respecto al nacimiento anterior</w:t>
            </w:r>
          </w:p>
        </w:tc>
      </w:tr>
    </w:tbl>
    <w:bookmarkEnd w:id="11"/>
    <w:bookmarkStart w:id="12" w:name="b.-salud-materna-embarazo-y-lactancia-13"/>
    <w:p>
      <w:pPr>
        <w:pStyle w:val="Heading3"/>
      </w:pPr>
      <w:r>
        <w:t xml:space="preserve">B. Salud materna, embarazo y lactancia (13)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Mes de gestación del primer control prenatal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Número de visitas prenatales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Lugar del parto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Parto por cesárea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Tamaño del niño al nacer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Peso al nacer (kg)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Duración de la lactancia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Horas hasta el inicio de la lactancia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Días que tomó hierro en el embarazo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Vitamina A en los primeros 2 meses post parto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Fórmula para bebés en los primeros 3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Antiparasitarios durante el embarazo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Año más alto de educación de la madre</w:t>
            </w:r>
          </w:p>
        </w:tc>
      </w:tr>
    </w:tbl>
    <w:bookmarkEnd w:id="12"/>
    <w:bookmarkStart w:id="13" w:name="c.-hogar-y-nivel-socioeconómico-7"/>
    <w:p>
      <w:pPr>
        <w:pStyle w:val="Heading3"/>
      </w:pPr>
      <w:r>
        <w:t xml:space="preserve">C. Hogar y nivel socioeconómico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Índice de riqueza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Miembros habituales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Niños menores de 5 años en 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Edad del jefe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Residente habitual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Área de residencia (urbano / rural)</w:t>
            </w:r>
          </w:p>
        </w:tc>
      </w:tr>
    </w:tbl>
    <w:bookmarkEnd w:id="13"/>
    <w:bookmarkStart w:id="14" w:name="d.-agua-saneamiento-e-higiene-wash-10"/>
    <w:p>
      <w:pPr>
        <w:pStyle w:val="Heading3"/>
      </w:pPr>
      <w:r>
        <w:t xml:space="preserve">D. Agua, saneamiento e higiene — WASH (10)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Tiempo de viaje a la fuente de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Comparte servicio higiénico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Prueba de yodo en la 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Tratamiento del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Tratamiento del agua: hervir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Consumo de agua embotellada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Disponibilidad de agua todo el día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Conserva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Tipo de recipiente y si lo usa con tapa</w:t>
            </w:r>
          </w:p>
        </w:tc>
      </w:tr>
    </w:tbl>
    <w:bookmarkEnd w:id="14"/>
    <w:bookmarkStart w:id="15" w:name="e.-vivienda-y-entorno-11"/>
    <w:p>
      <w:pPr>
        <w:pStyle w:val="Heading3"/>
      </w:pPr>
      <w:r>
        <w:t xml:space="preserve">E. Vivienda y entorno (11)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Altitud del conglomerado (msnm)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Número de habitaciones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Tiene chimenea o campana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Cuarto separado para cocinar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Otro tipo de combustible para cocinar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Fuente de luz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SH76C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Ventanas con cristal / de madera / con malla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el conjunto es ampliable. El</w:t>
      </w:r>
      <w:r>
        <w:t xml:space="preserve"> </w:t>
      </w:r>
      <w:r>
        <w:rPr>
          <w:i/>
          <w:iCs/>
        </w:rPr>
        <w:t xml:space="preserve">dataset</w:t>
      </w:r>
      <w:r>
        <w:t xml:space="preserve"> </w:t>
      </w:r>
      <w:r>
        <w:t xml:space="preserve">original contiene más de 180 variables, de las cuales</w:t>
      </w:r>
      <w:r>
        <w:t xml:space="preserve"> </w:t>
      </w:r>
      <w:r>
        <w:t xml:space="preserve">se retuvieron 45 por criterios estadísticos. Si los especialistas consideran relevante alguna</w:t>
      </w:r>
      <w:r>
        <w:t xml:space="preserve"> </w:t>
      </w:r>
      <w:r>
        <w:t xml:space="preserve">dimensión no cubierta —consumo dietético, morbilidad reciente, vacunación, antropometría materna—</w:t>
      </w:r>
      <w:r>
        <w:t xml:space="preserve"> </w:t>
      </w:r>
      <w:r>
        <w:t xml:space="preserve">puede incorporarse siempre que exista en la fuente de datos.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bis.-especificación-de-campos"/>
    <w:p>
      <w:pPr>
        <w:pStyle w:val="Heading2"/>
      </w:pPr>
      <w:r>
        <w:t xml:space="preserve">3.bis. Especificación de campos</w:t>
      </w:r>
    </w:p>
    <w:p>
      <w:pPr>
        <w:pStyle w:val="FirstParagraph"/>
      </w:pPr>
      <w:r>
        <w:t xml:space="preserve">Esta tabla define</w:t>
      </w:r>
      <w:r>
        <w:t xml:space="preserve"> </w:t>
      </w:r>
      <w:r>
        <w:rPr>
          <w:b/>
          <w:bCs/>
        </w:rPr>
        <w:t xml:space="preserve">cómo debe venir codificada cada variable</w:t>
      </w:r>
      <w:r>
        <w:t xml:space="preserve"> </w:t>
      </w:r>
      <w:r>
        <w:t xml:space="preserve">en un conjunto de datos externo. El</w:t>
      </w:r>
      <w:r>
        <w:t xml:space="preserve"> </w:t>
      </w:r>
      <w:r>
        <w:t xml:space="preserve">modelo compara valores de forma literal: una categoría escrita de otra manera (</w:t>
      </w:r>
      <w:r>
        <w:rPr>
          <w:rStyle w:val="VerbatimChar"/>
        </w:rPr>
        <w:t xml:space="preserve">"URBANO"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"Urbano"</w:t>
      </w:r>
      <w:r>
        <w:t xml:space="preserve">, 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"Si"</w:t>
      </w:r>
      <w:r>
        <w:t xml:space="preserve">/</w:t>
      </w:r>
      <w:r>
        <w:rPr>
          <w:rStyle w:val="VerbatimChar"/>
        </w:rPr>
        <w:t xml:space="preserve">"No"</w:t>
      </w:r>
      <w:r>
        <w:t xml:space="preserve">) no produce un error visible, sino una predicción</w:t>
      </w:r>
      <w:r>
        <w:t xml:space="preserve"> </w:t>
      </w:r>
      <w:r>
        <w:t xml:space="preserve">degradada en silencio. Por eso el formato importa tanto como la variable misma.</w:t>
      </w:r>
    </w:p>
    <w:p>
      <w:pPr>
        <w:pStyle w:val="BodyText"/>
      </w:pPr>
      <w:r>
        <w:rPr>
          <w:b/>
          <w:bCs/>
        </w:rPr>
        <w:t xml:space="preserve">Convenciones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Categórica</w:t>
      </w:r>
      <w:r>
        <w:t xml:space="preserve">: texto, exactamente uno de los valores listados (sensible a mayúsculas y tildes).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Código</w:t>
      </w:r>
      <w:r>
        <w:t xml:space="preserve">: número entero que representa una categoría,</w:t>
      </w:r>
      <w:r>
        <w:t xml:space="preserve"> </w:t>
      </w:r>
      <w:r>
        <w:rPr>
          <w:b/>
          <w:bCs/>
        </w:rPr>
        <w:t xml:space="preserve">no una cantidad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Numérica</w:t>
      </w:r>
      <w:r>
        <w:t xml:space="preserve">: magnitud continua o discreta, en la unidad indicada.</w:t>
      </w:r>
      <w:r>
        <w:t xml:space="preserve"> </w:t>
      </w:r>
      <w:r>
        <w:t xml:space="preserve">- Un campo ausente debe dejarse</w:t>
      </w:r>
      <w:r>
        <w:t xml:space="preserve"> </w:t>
      </w:r>
      <w:r>
        <w:rPr>
          <w:b/>
          <w:bCs/>
        </w:rPr>
        <w:t xml:space="preserve">vacío</w:t>
      </w:r>
      <w:r>
        <w:t xml:space="preserve">, nunca rellenarse con 0, 999 o</w:t>
      </w:r>
      <w:r>
        <w:t xml:space="preserve"> </w:t>
      </w:r>
      <w:r>
        <w:t xml:space="preserve">“NA”</w:t>
      </w:r>
      <w:r>
        <w:t xml:space="preserve">: el modelo maneja</w:t>
      </w:r>
      <w:r>
        <w:t xml:space="preserve"> </w:t>
      </w:r>
      <w:r>
        <w:t xml:space="preserve">valores faltantes de forma nativa y cada variable tolera el porcentaje de vacíos que se indica.</w:t>
      </w:r>
    </w:p>
    <w:bookmarkStart w:id="17" w:name="niño"/>
    <w:p>
      <w:pPr>
        <w:pStyle w:val="Heading3"/>
      </w:pPr>
      <w:r>
        <w:t xml:space="preserve">Niño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Hombre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Mujer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4 – 20 (hemoglobina ajustada)</w:t>
            </w:r>
          </w:p>
        </w:tc>
        <w:tc>
          <w:tcPr/>
          <w:p>
            <w:pPr>
              <w:pStyle w:val="Compact"/>
            </w:pPr>
            <w:r>
              <w:t xml:space="preserve">g/dL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7 – 388</w:t>
            </w:r>
          </w:p>
        </w:tc>
        <w:tc>
          <w:tcPr/>
          <w:p>
            <w:pPr>
              <w:pStyle w:val="Compact"/>
            </w:pPr>
            <w:r>
              <w:t xml:space="preserve">meses desde el parto anterior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</w:t>
            </w:r>
          </w:p>
        </w:tc>
      </w:tr>
    </w:tbl>
    <w:bookmarkEnd w:id="17"/>
    <w:bookmarkStart w:id="18" w:name="salud-materna-embarazo-y-lactancia"/>
    <w:p>
      <w:pPr>
        <w:pStyle w:val="Heading3"/>
      </w:pPr>
      <w:r>
        <w:t xml:space="preserve">Salud materna, embarazo y lactancia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mes de gestación del 1.er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20</w:t>
            </w:r>
          </w:p>
        </w:tc>
        <w:tc>
          <w:tcPr/>
          <w:p>
            <w:pPr>
              <w:pStyle w:val="Compact"/>
            </w:pPr>
            <w:r>
              <w:t xml:space="preserve">número de visitas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Institucional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Domiciliario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cesárea,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1 = muy grande … 5 = muy pequeño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0.5 – 6.0</w:t>
            </w:r>
          </w:p>
        </w:tc>
        <w:tc>
          <w:tcPr/>
          <w:p>
            <w:pPr>
              <w:pStyle w:val="Compact"/>
            </w:pPr>
            <w:r>
              <w:t xml:space="preserve">kilogramos (decimal)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 de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2352</w:t>
            </w:r>
          </w:p>
        </w:tc>
        <w:tc>
          <w:tcPr/>
          <w:p>
            <w:pPr>
              <w:pStyle w:val="Compact"/>
            </w:pPr>
            <w:r>
              <w:t xml:space="preserve">horas hasta iniciar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364</w:t>
            </w:r>
          </w:p>
        </w:tc>
        <w:tc>
          <w:tcPr/>
          <w:p>
            <w:pPr>
              <w:pStyle w:val="Compact"/>
            </w:pPr>
            <w:r>
              <w:t xml:space="preserve">días que tomó hierro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sí,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no</w:t>
            </w:r>
          </w:p>
        </w:tc>
        <w:tc>
          <w:tcPr/>
          <w:p>
            <w:pPr>
              <w:pStyle w:val="Compact"/>
            </w:pPr>
            <w:r>
              <w:t xml:space="preserve">vitamina A post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sí,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no</w:t>
            </w:r>
          </w:p>
        </w:tc>
        <w:tc>
          <w:tcPr/>
          <w:p>
            <w:pPr>
              <w:pStyle w:val="Compact"/>
            </w:pPr>
            <w:r>
              <w:t xml:space="preserve">fórmula en los 3 primeros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sí,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no</w:t>
            </w:r>
          </w:p>
        </w:tc>
        <w:tc>
          <w:tcPr/>
          <w:p>
            <w:pPr>
              <w:pStyle w:val="Compact"/>
            </w:pPr>
            <w:r>
              <w:t xml:space="preserve">antiparasitarios en el embarazo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año más alto de educación materna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</w:tbl>
    <w:bookmarkEnd w:id="18"/>
    <w:bookmarkStart w:id="19" w:name="hogar-y-nivel-socioeconómico"/>
    <w:p>
      <w:pPr>
        <w:pStyle w:val="Heading3"/>
      </w:pPr>
      <w:r>
        <w:t xml:space="preserve">Hogar y nivel socioeconómico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−215987 a 205316</w:t>
            </w:r>
          </w:p>
        </w:tc>
        <w:tc>
          <w:tcPr/>
          <w:p>
            <w:pPr>
              <w:pStyle w:val="Compact"/>
            </w:pPr>
            <w:r>
              <w:t xml:space="preserve">índice de riqueza (escala INEI ×10⁵)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25</w:t>
            </w:r>
          </w:p>
        </w:tc>
        <w:tc>
          <w:tcPr/>
          <w:p>
            <w:pPr>
              <w:pStyle w:val="Compact"/>
            </w:pPr>
            <w:r>
              <w:t xml:space="preserve">personas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10</w:t>
            </w:r>
          </w:p>
        </w:tc>
        <w:tc>
          <w:tcPr/>
          <w:p>
            <w:pPr>
              <w:pStyle w:val="Compact"/>
            </w:pPr>
            <w:r>
              <w:t xml:space="preserve">niños menores de 5 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Masculino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Femenino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12 – 97</w:t>
            </w:r>
          </w:p>
        </w:tc>
        <w:tc>
          <w:tcPr/>
          <w:p>
            <w:pPr>
              <w:pStyle w:val="Compact"/>
            </w:pPr>
            <w:r>
              <w:t xml:space="preserve">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9"/>
    <w:bookmarkStart w:id="20" w:name="agua-saneamiento-e-higiene-wash"/>
    <w:p>
      <w:pPr>
        <w:pStyle w:val="Heading3"/>
      </w:pPr>
      <w:r>
        <w:t xml:space="preserve">Agua, saneamiento e higiene (WASH)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600</w:t>
            </w:r>
          </w:p>
        </w:tc>
        <w:tc>
          <w:tcPr/>
          <w:p>
            <w:pPr>
              <w:pStyle w:val="Compact"/>
            </w:pPr>
            <w:r>
              <w:t xml:space="preserve">minutos hasta la fuente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0, 7, 15, 30, 994, 995</w:t>
            </w:r>
          </w:p>
        </w:tc>
        <w:tc>
          <w:tcPr/>
          <w:p>
            <w:pPr>
              <w:pStyle w:val="Compact"/>
            </w:pPr>
            <w:r>
              <w:t xml:space="preserve">prueba de yodo en 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8, 96, 98</w:t>
            </w:r>
          </w:p>
        </w:tc>
        <w:tc>
          <w:tcPr/>
          <w:p>
            <w:pPr>
              <w:pStyle w:val="Compact"/>
            </w:pPr>
            <w:r>
              <w:t xml:space="preserve">tipo de recipiente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8</w:t>
            </w:r>
          </w:p>
        </w:tc>
        <w:tc>
          <w:tcPr/>
          <w:p>
            <w:pPr>
              <w:pStyle w:val="Compact"/>
            </w:pPr>
            <w:r>
              <w:t xml:space="preserve">lo usa con 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</w:tr>
    </w:tbl>
    <w:bookmarkEnd w:id="20"/>
    <w:bookmarkStart w:id="21" w:name="vivienda-y-entorno"/>
    <w:p>
      <w:pPr>
        <w:pStyle w:val="Heading3"/>
      </w:pPr>
      <w:r>
        <w:t xml:space="preserve">Vivienda y entorno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5053</w:t>
            </w:r>
          </w:p>
        </w:tc>
        <w:tc>
          <w:tcPr/>
          <w:p>
            <w:pPr>
              <w:pStyle w:val="Compact"/>
            </w:pPr>
            <w:r>
              <w:t xml:space="preserve">metros sobre el nivel del 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14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0, 1, 2</w:t>
            </w:r>
          </w:p>
        </w:tc>
        <w:tc>
          <w:tcPr/>
          <w:p>
            <w:pPr>
              <w:pStyle w:val="Compact"/>
            </w:pPr>
            <w:r>
              <w:t xml:space="preserve">tiene chimenea o campana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1 – 6, 96, 99</w:t>
            </w:r>
          </w:p>
        </w:tc>
        <w:tc>
          <w:tcPr/>
          <w:p>
            <w:pPr>
              <w:pStyle w:val="Compact"/>
            </w:pPr>
            <w:r>
              <w:t xml:space="preserve">fuente de luz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 – 30</w:t>
            </w:r>
          </w:p>
        </w:tc>
        <w:tc>
          <w:tcPr/>
          <w:p>
            <w:pPr>
              <w:pStyle w:val="Compact"/>
            </w:pPr>
            <w:r>
              <w:t xml:space="preserve">habitaciones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cristal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SH76C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de madera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malla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Advertencia sobre la codificación heredada.</w:t>
      </w:r>
      <w:r>
        <w:t xml:space="preserve"> </w:t>
      </w:r>
      <w:r>
        <w:t xml:space="preserve">Las tres irregularidades que siguen provienen de la</w:t>
      </w:r>
      <w:r>
        <w:t xml:space="preserve"> </w:t>
      </w:r>
      <w:r>
        <w:t xml:space="preserve">propia ENDES y se conservaron para no alterar la fuente; se señalan aquí porque condicionan el</w:t>
      </w:r>
      <w:r>
        <w:t xml:space="preserve"> </w:t>
      </w:r>
      <w:r>
        <w:t xml:space="preserve">formato de entrega: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Si</w:t>
      </w:r>
      <w:r>
        <w:rPr>
          <w:b/>
          <w:bCs/>
        </w:rPr>
        <w:t xml:space="preserve"> </w:t>
      </w:r>
      <w:r>
        <w:rPr>
          <w:b/>
          <w:bCs/>
        </w:rPr>
        <w:t xml:space="preserve">frente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Sí</w:t>
      </w:r>
      <w:r>
        <w:rPr>
          <w:b/>
          <w:bCs/>
        </w:rPr>
        <w:t xml:space="preserve">.</w:t>
      </w:r>
      <w:r>
        <w:t xml:space="preserve"> </w:t>
      </w:r>
      <w:r>
        <w:t xml:space="preserve">Unas variables llevan tilde y otras no, según el módulo de origen. La</w:t>
      </w:r>
      <w:r>
        <w:t xml:space="preserve"> </w:t>
      </w:r>
      <w:r>
        <w:t xml:space="preserve">tabla indica cuál corresponde en cada caso y la distinción debe respetarse.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Binarias en dos formatos.</w:t>
      </w:r>
      <w:r>
        <w:t xml:space="preserve"> </w:t>
      </w:r>
      <w:r>
        <w:rPr>
          <w:rStyle w:val="VerbatimChar"/>
        </w:rPr>
        <w:t xml:space="preserve">M17</w:t>
      </w:r>
      <w:r>
        <w:t xml:space="preserve">,</w:t>
      </w:r>
      <w:r>
        <w:t xml:space="preserve"> </w:t>
      </w:r>
      <w:r>
        <w:rPr>
          <w:rStyle w:val="VerbatimChar"/>
        </w:rPr>
        <w:t xml:space="preserve">M54</w:t>
      </w:r>
      <w:r>
        <w:t xml:space="preserve">,</w:t>
      </w:r>
      <w:r>
        <w:t xml:space="preserve"> </w:t>
      </w:r>
      <w:r>
        <w:rPr>
          <w:rStyle w:val="VerbatimChar"/>
        </w:rPr>
        <w:t xml:space="preserve">M55G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M60</w:t>
      </w:r>
      <w:r>
        <w:t xml:space="preserve"> </w:t>
      </w:r>
      <w:r>
        <w:t xml:space="preserve">se codifican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, mientras que el</w:t>
      </w:r>
      <w:r>
        <w:t xml:space="preserve"> </w:t>
      </w:r>
      <w:r>
        <w:t xml:space="preserve">resto de las dicotómicas usan texto</w:t>
      </w:r>
      <w:r>
        <w:t xml:space="preserve"> </w:t>
      </w:r>
      <w:r>
        <w:rPr>
          <w:rStyle w:val="VerbatimChar"/>
        </w:rPr>
        <w:t xml:space="preserve">Si</w:t>
      </w:r>
      <w:r>
        <w:t xml:space="preserve">/</w:t>
      </w:r>
      <w:r>
        <w:rPr>
          <w:rStyle w:val="VerbatimChar"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Códigos especiales en campos numéricos.</w:t>
      </w:r>
      <w:r>
        <w:t xml:space="preserve"> </w:t>
      </w:r>
      <w:r>
        <w:rPr>
          <w:rStyle w:val="VerbatimChar"/>
        </w:rPr>
        <w:t xml:space="preserve">HV234</w:t>
      </w:r>
      <w:r>
        <w:t xml:space="preserve"> </w:t>
      </w:r>
      <w:r>
        <w:t xml:space="preserve">(994, 995),</w:t>
      </w:r>
      <w:r>
        <w:t xml:space="preserve"> </w:t>
      </w:r>
      <w:r>
        <w:rPr>
          <w:rStyle w:val="VerbatimChar"/>
        </w:rPr>
        <w:t xml:space="preserve">SH49</w:t>
      </w:r>
      <w:r>
        <w:t xml:space="preserve"> </w:t>
      </w:r>
      <w:r>
        <w:t xml:space="preserve">(96, 98) y</w:t>
      </w:r>
      <w:r>
        <w:t xml:space="preserve"> </w:t>
      </w:r>
      <w:r>
        <w:rPr>
          <w:rStyle w:val="VerbatimChar"/>
        </w:rPr>
        <w:t xml:space="preserve">SH70</w:t>
      </w:r>
      <w:r>
        <w:t xml:space="preserve"> </w:t>
      </w:r>
      <w:r>
        <w:t xml:space="preserve">(96, 99)</w:t>
      </w:r>
      <w:r>
        <w:t xml:space="preserve"> </w:t>
      </w:r>
      <w:r>
        <w:t xml:space="preserve">reservan esos valores para</w:t>
      </w:r>
      <w:r>
        <w:t xml:space="preserve"> </w:t>
      </w:r>
      <w:r>
        <w:rPr>
          <w:i/>
          <w:iCs/>
        </w:rPr>
        <w:t xml:space="preserve">otro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no sabe</w:t>
      </w:r>
      <w:r>
        <w:t xml:space="preserve">. No representan magnitudes y deben transcribirse</w:t>
      </w:r>
      <w:r>
        <w:t xml:space="preserve"> </w:t>
      </w:r>
      <w:r>
        <w:t xml:space="preserve">tal cual, sin convertirlos ni sustituirlos por promedios.</w:t>
      </w:r>
    </w:p>
    <w:p>
      <w:pPr>
        <w:pStyle w:val="BlockText"/>
      </w:pPr>
      <w:r>
        <w:t xml:space="preserve">Si el conjunto de datos externo emplea otra codificación, basta con entregarlo acompañado de su</w:t>
      </w:r>
      <w:r>
        <w:t xml:space="preserve"> </w:t>
      </w:r>
      <w:r>
        <w:t xml:space="preserve">diccionario de valores: el equipo se encarga de la homologación.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ter.-variables-adicionales-deseables"/>
    <w:p>
      <w:pPr>
        <w:pStyle w:val="Heading2"/>
      </w:pPr>
      <w:r>
        <w:t xml:space="preserve">3.ter. Variables adicionales deseables</w:t>
      </w:r>
    </w:p>
    <w:p>
      <w:pPr>
        <w:pStyle w:val="FirstParagraph"/>
      </w:pPr>
      <w:r>
        <w:t xml:space="preserve">Las 45 variables anteriores son las que el modelo</w:t>
      </w:r>
      <w:r>
        <w:t xml:space="preserve"> </w:t>
      </w:r>
      <w:r>
        <w:rPr>
          <w:b/>
          <w:bCs/>
        </w:rPr>
        <w:t xml:space="preserve">usa hoy</w:t>
      </w:r>
      <w:r>
        <w:t xml:space="preserve"> </w:t>
      </w:r>
      <w:r>
        <w:t xml:space="preserve">y constituyen el mínimo necesario para</w:t>
      </w:r>
      <w:r>
        <w:t xml:space="preserve"> </w:t>
      </w:r>
      <w:r>
        <w:t xml:space="preserve">contrastarlo. Las que siguen</w:t>
      </w:r>
      <w:r>
        <w:t xml:space="preserve"> </w:t>
      </w:r>
      <w:r>
        <w:rPr>
          <w:b/>
          <w:bCs/>
        </w:rPr>
        <w:t xml:space="preserve">no están en el modelo actual</w:t>
      </w:r>
      <w:r>
        <w:t xml:space="preserve"> </w:t>
      </w:r>
      <w:r>
        <w:t xml:space="preserve">y se solicitan porque la literatura</w:t>
      </w:r>
      <w:r>
        <w:t xml:space="preserve"> </w:t>
      </w:r>
      <w:r>
        <w:t xml:space="preserve">epidemiológica las identifica como determinantes de la desnutrición crónica que la ENDES no permite</w:t>
      </w:r>
      <w:r>
        <w:t xml:space="preserve"> </w:t>
      </w:r>
      <w:r>
        <w:t xml:space="preserve">cubrir con suficiente completitud.</w:t>
      </w:r>
    </w:p>
    <w:p>
      <w:pPr>
        <w:pStyle w:val="BodyText"/>
      </w:pPr>
      <w:r>
        <w:t xml:space="preserve">Su inclusión es</w:t>
      </w:r>
      <w:r>
        <w:t xml:space="preserve"> </w:t>
      </w:r>
      <w:r>
        <w:rPr>
          <w:b/>
          <w:bCs/>
        </w:rPr>
        <w:t xml:space="preserve">opcional</w:t>
      </w:r>
      <w:r>
        <w:t xml:space="preserve">: el sistema funciona sin ellas. Pero cada dimensión que el conjunto de</w:t>
      </w:r>
      <w:r>
        <w:t xml:space="preserve"> </w:t>
      </w:r>
      <w:r>
        <w:t xml:space="preserve">datos externo pueda aportar abre la posibilidad de una versión mejorada del modelo, y su ausencia es</w:t>
      </w:r>
      <w:r>
        <w:t xml:space="preserve"> </w:t>
      </w:r>
      <w:r>
        <w:t xml:space="preserve">hoy una limitación declarada del estudio.</w:t>
      </w:r>
    </w:p>
    <w:p>
      <w:pPr>
        <w:pStyle w:val="BodyText"/>
      </w:pPr>
      <w:r>
        <w:t xml:space="preserve">El marco de referencia es el</w:t>
      </w:r>
      <w:r>
        <w:t xml:space="preserve"> </w:t>
      </w:r>
      <w:r>
        <w:rPr>
          <w:b/>
          <w:bCs/>
        </w:rPr>
        <w:t xml:space="preserve">modelo conceptual de UNICEF</w:t>
      </w:r>
      <w:r>
        <w:t xml:space="preserve"> </w:t>
      </w:r>
      <w:r>
        <w:t xml:space="preserve">sobre desnutrición infantil, que ordena</w:t>
      </w:r>
      <w:r>
        <w:t xml:space="preserve"> </w:t>
      </w:r>
      <w:r>
        <w:t xml:space="preserve">las causas en tres niveles. El modelo actual cubre bien los niveles básico y subyacente —pobreza,</w:t>
      </w:r>
      <w:r>
        <w:t xml:space="preserve"> </w:t>
      </w:r>
      <w:r>
        <w:t xml:space="preserve">educación, agua y saneamiento, vivienda— pero tiene un vacío en el</w:t>
      </w:r>
      <w:r>
        <w:t xml:space="preserve"> </w:t>
      </w:r>
      <w:r>
        <w:rPr>
          <w:b/>
          <w:bCs/>
        </w:rPr>
        <w:t xml:space="preserve">nivel inmediato</w:t>
      </w:r>
      <w:r>
        <w:t xml:space="preserve">, que es</w:t>
      </w:r>
      <w:r>
        <w:t xml:space="preserve"> </w:t>
      </w:r>
      <w:r>
        <w:t xml:space="preserve">precisamente donde actúa la intervención nutricional.</w:t>
      </w:r>
    </w:p>
    <w:bookmarkStart w:id="23" w:name="Xa28ccaee8b3810007f607d5dc6ef3df53e6a5a3"/>
    <w:p>
      <w:pPr>
        <w:pStyle w:val="Heading3"/>
      </w:pPr>
      <w:r>
        <w:t xml:space="preserve">Prioridad alta — nivel inmediato (el vacío principal)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Episodios de diarrea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Vía infecciosa hacia la malabsorción de nutrientes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Infección respiratoria aguda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Impacto directo sobre el estado nutricional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Diversidad dietética mínima (número de grupos de alimentos en 24 h)</w:t>
            </w:r>
          </w:p>
        </w:tc>
        <w:tc>
          <w:tcPr/>
          <w:p>
            <w:pPr>
              <w:pStyle w:val="Compact"/>
            </w:pPr>
            <w:r>
              <w:t xml:space="preserve">Indicador OMS de calidad de la alimentación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Frecuencia mínima de comidas según edad</w:t>
            </w:r>
          </w:p>
        </w:tc>
        <w:tc>
          <w:tcPr/>
          <w:p>
            <w:pPr>
              <w:pStyle w:val="Compact"/>
            </w:pPr>
            <w:r>
              <w:t xml:space="preserve">Complemento del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Suplementación</w:t>
            </w:r>
          </w:p>
        </w:tc>
        <w:tc>
          <w:tcPr/>
          <w:p>
            <w:pPr>
              <w:pStyle w:val="Compact"/>
            </w:pPr>
            <w:r>
              <w:t xml:space="preserve">Recibe micronutrientes o hierro (sí/no, frecuencia)</w:t>
            </w:r>
          </w:p>
        </w:tc>
        <w:tc>
          <w:tcPr/>
          <w:p>
            <w:pPr>
              <w:pStyle w:val="Compact"/>
            </w:pPr>
            <w:r>
              <w:t xml:space="preserve">Intervención directa y modificable</w:t>
            </w:r>
          </w:p>
        </w:tc>
      </w:tr>
    </w:tbl>
    <w:bookmarkEnd w:id="23"/>
    <w:bookmarkStart w:id="24" w:name="Xea480f4cdf50012eed58a23ba12f3601238dacf"/>
    <w:p>
      <w:pPr>
        <w:pStyle w:val="Heading3"/>
      </w:pPr>
      <w:r>
        <w:t xml:space="preserve">Prioridad media — estado nutricional materno y 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Talla de la madre (cm)</w:t>
            </w:r>
          </w:p>
        </w:tc>
        <w:tc>
          <w:tcPr/>
          <w:p>
            <w:pPr>
              <w:pStyle w:val="Compact"/>
            </w:pPr>
            <w:r>
              <w:t xml:space="preserve">Predictor consistente de retraso del crecimiento intergeneracional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Peso / IMC de la madre</w:t>
            </w:r>
          </w:p>
        </w:tc>
        <w:tc>
          <w:tcPr/>
          <w:p>
            <w:pPr>
              <w:pStyle w:val="Compact"/>
            </w:pPr>
            <w:r>
              <w:t xml:space="preserve">Estado nutricional del hogar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Controles CRED al día (sí/no, número)</w:t>
            </w:r>
          </w:p>
        </w:tc>
        <w:tc>
          <w:tcPr/>
          <w:p>
            <w:pPr>
              <w:pStyle w:val="Compact"/>
            </w:pPr>
            <w:r>
              <w:t xml:space="preserve">Seguimiento del crecimiento en el sistema peruano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Esquema de vacunación completo para la edad (sí/no)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Proxy</w:t>
            </w:r>
            <w:r>
              <w:t xml:space="preserve"> </w:t>
            </w:r>
            <w:r>
              <w:t xml:space="preserve">de acceso efectivo a servicios</w:t>
            </w:r>
          </w:p>
        </w:tc>
      </w:tr>
    </w:tbl>
    <w:bookmarkEnd w:id="24"/>
    <w:bookmarkStart w:id="25" w:name="prioridad-media-contexto-social"/>
    <w:p>
      <w:pPr>
        <w:pStyle w:val="Heading3"/>
      </w:pPr>
      <w:r>
        <w:t xml:space="preserve">Prioridad media — contexto social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Etnicidad</w:t>
            </w:r>
          </w:p>
        </w:tc>
        <w:tc>
          <w:tcPr/>
          <w:p>
            <w:pPr>
              <w:pStyle w:val="Compact"/>
            </w:pPr>
            <w:r>
              <w:t xml:space="preserve">Lengua materna de la madre</w:t>
            </w:r>
          </w:p>
        </w:tc>
        <w:tc>
          <w:tcPr/>
          <w:p>
            <w:pPr>
              <w:pStyle w:val="Compact"/>
            </w:pPr>
            <w:r>
              <w:t xml:space="preserve">Marcador de exclusión estructural especialmente relevante en el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 alimentaria</w:t>
            </w:r>
          </w:p>
        </w:tc>
        <w:tc>
          <w:tcPr/>
          <w:p>
            <w:pPr>
              <w:pStyle w:val="Compact"/>
            </w:pPr>
            <w:r>
              <w:t xml:space="preserve">Escala de inseguridad alimentaria del hogar (ELCSA o similar)</w:t>
            </w:r>
          </w:p>
        </w:tc>
        <w:tc>
          <w:tcPr/>
          <w:p>
            <w:pPr>
              <w:pStyle w:val="Compact"/>
            </w:pPr>
            <w:r>
              <w:t xml:space="preserve">Acceso efectivo a alimentos, no solo capacidad económica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Cuidado</w:t>
            </w:r>
          </w:p>
        </w:tc>
        <w:tc>
          <w:tcPr/>
          <w:p>
            <w:pPr>
              <w:pStyle w:val="Compact"/>
            </w:pPr>
            <w:r>
              <w:t xml:space="preserve">Situación laboral de la madre / cuidador principal</w:t>
            </w:r>
          </w:p>
        </w:tc>
        <w:tc>
          <w:tcPr/>
          <w:p>
            <w:pPr>
              <w:pStyle w:val="Compact"/>
            </w:pPr>
            <w:r>
              <w:t xml:space="preserve">Tiempo disponible para prácticas de 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Beneficiario de Juntos, Cuna Más, Qali Warma (sí/no)</w:t>
            </w:r>
          </w:p>
        </w:tc>
        <w:tc>
          <w:tcPr/>
          <w:p>
            <w:pPr>
              <w:pStyle w:val="Compact"/>
            </w:pPr>
            <w:r>
              <w:t xml:space="preserve">Permite evaluar cobertura frente a necesidad</w:t>
            </w:r>
          </w:p>
        </w:tc>
      </w:tr>
    </w:tbl>
    <w:p>
      <w:pPr>
        <w:pStyle w:val="BlockText"/>
      </w:pPr>
      <w:r>
        <w:rPr>
          <w:b/>
          <w:bCs/>
        </w:rPr>
        <w:t xml:space="preserve">Sobre el formato.</w:t>
      </w:r>
      <w:r>
        <w:t xml:space="preserve"> </w:t>
      </w:r>
      <w:r>
        <w:t xml:space="preserve">Estas variables no requieren la codificación estricta de la sección 3.bis, ya</w:t>
      </w:r>
      <w:r>
        <w:t xml:space="preserve"> </w:t>
      </w:r>
      <w:r>
        <w:t xml:space="preserve">que aún no forman parte del modelo. Basta con entregarlas tal como estén registradas, acompañadas de</w:t>
      </w:r>
      <w:r>
        <w:t xml:space="preserve"> </w:t>
      </w:r>
      <w:r>
        <w:t xml:space="preserve">su diccionario de valores. El equipo se encarga de homologarlas.</w:t>
      </w:r>
    </w:p>
    <w:p>
      <w:pPr>
        <w:pStyle w:val="BlockText"/>
      </w:pPr>
      <w:r>
        <w:rPr>
          <w:b/>
          <w:bCs/>
        </w:rPr>
        <w:t xml:space="preserve">Una aclaración necesaria.</w:t>
      </w:r>
      <w:r>
        <w:t xml:space="preserve"> </w:t>
      </w:r>
      <w:r>
        <w:t xml:space="preserve">Las variables de morbilidad reciente (diarrea, IRA) son causas</w:t>
      </w:r>
      <w:r>
        <w:t xml:space="preserve"> </w:t>
      </w:r>
      <w:r>
        <w:t xml:space="preserve">inmediatas, pero también son</w:t>
      </w:r>
      <w:r>
        <w:t xml:space="preserve"> </w:t>
      </w:r>
      <w:r>
        <w:rPr>
          <w:i/>
          <w:iCs/>
        </w:rPr>
        <w:t xml:space="preserve">concurrentes</w:t>
      </w:r>
      <w:r>
        <w:t xml:space="preserve"> </w:t>
      </w:r>
      <w:r>
        <w:t xml:space="preserve">con el desenlace: si un agente de salud ya sabe que el</w:t>
      </w:r>
      <w:r>
        <w:t xml:space="preserve"> </w:t>
      </w:r>
      <w:r>
        <w:t xml:space="preserve">niño tuvo diarrea, es porque hubo contacto previo con el sistema. Por eso se solicitan para</w:t>
      </w:r>
      <w:r>
        <w:t xml:space="preserve"> </w:t>
      </w:r>
      <w:r>
        <w:rPr>
          <w:b/>
          <w:bCs/>
        </w:rPr>
        <w:t xml:space="preserve">análisis explicativo</w:t>
      </w:r>
      <w:r>
        <w:t xml:space="preserve"> </w:t>
      </w:r>
      <w:r>
        <w:t xml:space="preserve">y para una eventual versión del modelo orientada a seguimiento, no</w:t>
      </w:r>
      <w:r>
        <w:t xml:space="preserve"> </w:t>
      </w:r>
      <w:r>
        <w:t xml:space="preserve">necesariamente para el triaje anticipado, cuyo valor reside justamente en operar sin visita previa.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qué-esperamos-de-esta-validación"/>
    <w:p>
      <w:pPr>
        <w:pStyle w:val="Heading2"/>
      </w:pPr>
      <w:r>
        <w:t xml:space="preserve">4. Qué esperamos de esta validación</w:t>
      </w:r>
    </w:p>
    <w:p>
      <w:pPr>
        <w:pStyle w:val="FirstParagraph"/>
      </w:pPr>
      <w:r>
        <w:t xml:space="preserve">Solicitamos la participación de</w:t>
      </w:r>
      <w:r>
        <w:t xml:space="preserve"> </w:t>
      </w:r>
      <w:r>
        <w:rPr>
          <w:b/>
          <w:bCs/>
        </w:rPr>
        <w:t xml:space="preserve">cinco especialistas</w:t>
      </w:r>
      <w:r>
        <w:t xml:space="preserve"> </w:t>
      </w:r>
      <w:r>
        <w:t xml:space="preserve">en nutrición, salud pública, epidemiología o</w:t>
      </w:r>
      <w:r>
        <w:t xml:space="preserve"> </w:t>
      </w:r>
      <w:r>
        <w:t xml:space="preserve">enfermería, idealmente con representación territorial (</w:t>
      </w:r>
      <w:r>
        <w:rPr>
          <w:b/>
          <w:bCs/>
        </w:rPr>
        <w:t xml:space="preserve">2 de costa, 2 de sierra, 1 de selva</w:t>
      </w:r>
      <w:r>
        <w:t xml:space="preserve">), para</w:t>
      </w:r>
      <w:r>
        <w:t xml:space="preserve"> </w:t>
      </w:r>
      <w:r>
        <w:t xml:space="preserve">dos procesos complementarios:</w:t>
      </w:r>
    </w:p>
    <w:bookmarkStart w:id="27" w:name="pertinencia"/>
    <w:p>
      <w:pPr>
        <w:pStyle w:val="Heading3"/>
      </w:pPr>
      <w:r>
        <w:t xml:space="preserve">4.1 Pertinencia</w:t>
      </w:r>
    </w:p>
    <w:p>
      <w:pPr>
        <w:pStyle w:val="FirstParagraph"/>
      </w:pPr>
      <w:r>
        <w:t xml:space="preserve">Valoración de la</w:t>
      </w:r>
      <w:r>
        <w:t xml:space="preserve"> </w:t>
      </w:r>
      <w:r>
        <w:rPr>
          <w:b/>
          <w:bCs/>
        </w:rPr>
        <w:t xml:space="preserve">utilidad percibida</w:t>
      </w:r>
      <w:r>
        <w:t xml:space="preserve"> </w:t>
      </w:r>
      <w:r>
        <w:t xml:space="preserve">del sistema mediante un instrumento estructurado que el</w:t>
      </w:r>
      <w:r>
        <w:t xml:space="preserve"> </w:t>
      </w:r>
      <w:r>
        <w:t xml:space="preserve">especialista completará tras una demostración del aplicativo. Se evalúa si la herramienta resulta útil,</w:t>
      </w:r>
      <w:r>
        <w:t xml:space="preserve"> </w:t>
      </w:r>
      <w:r>
        <w:t xml:space="preserve">comprensible y aplicable en la práctica real de focalización sanitaria, y qué limitaciones o variables</w:t>
      </w:r>
      <w:r>
        <w:t xml:space="preserve"> </w:t>
      </w:r>
      <w:r>
        <w:t xml:space="preserve">faltantes identifica desde su experiencia profesional.</w:t>
      </w:r>
    </w:p>
    <w:p>
      <w:pPr>
        <w:pStyle w:val="BodyText"/>
      </w:pPr>
      <w:r>
        <w:rPr>
          <w:i/>
          <w:iCs/>
        </w:rPr>
        <w:t xml:space="preserve">Modalidad:</w:t>
      </w:r>
      <w:r>
        <w:t xml:space="preserve"> </w:t>
      </w:r>
      <w:r>
        <w:t xml:space="preserve">sesión virtual, coordinada según disponibilidad. El equipo provee el protocolo, conduce la</w:t>
      </w:r>
      <w:r>
        <w:t xml:space="preserve"> </w:t>
      </w:r>
      <w:r>
        <w:t xml:space="preserve">demostración y registra la sesión.</w:t>
      </w:r>
    </w:p>
    <w:bookmarkEnd w:id="27"/>
    <w:bookmarkStart w:id="28" w:name="replicabilidad"/>
    <w:p>
      <w:pPr>
        <w:pStyle w:val="Heading3"/>
      </w:pPr>
      <w:r>
        <w:t xml:space="preserve">4.2 Replicabilidad</w:t>
      </w:r>
    </w:p>
    <w:p>
      <w:pPr>
        <w:pStyle w:val="FirstParagraph"/>
      </w:pPr>
      <w:r>
        <w:t xml:space="preserve">Contraste del modelo frente a</w:t>
      </w:r>
      <w:r>
        <w:t xml:space="preserve"> </w:t>
      </w:r>
      <w:r>
        <w:rPr>
          <w:b/>
          <w:bCs/>
        </w:rPr>
        <w:t xml:space="preserve">datos externos</w:t>
      </w:r>
      <w:r>
        <w:t xml:space="preserve"> </w:t>
      </w:r>
      <w:r>
        <w:t xml:space="preserve">distintos de la ENDES. El procedimiento consiste en que</w:t>
      </w:r>
      <w:r>
        <w:t xml:space="preserve"> </w:t>
      </w:r>
      <w:r>
        <w:t xml:space="preserve">el especialista aporte registros de su ámbito —incluyendo casos con y sin desnutrición diagnosticada—,</w:t>
      </w:r>
      <w:r>
        <w:t xml:space="preserve"> </w:t>
      </w:r>
      <w:r>
        <w:t xml:space="preserve">el sistema emita su estimación de riesgo, y se compare con el diagnóstico clínico conocido.</w:t>
      </w:r>
    </w:p>
    <w:p>
      <w:pPr>
        <w:pStyle w:val="BodyText"/>
      </w:pPr>
      <w:r>
        <w:t xml:space="preserve">Esto permite medir si el modelo mantiene su desempeño en una realidad distinta de aquella con la que fue</w:t>
      </w:r>
      <w:r>
        <w:t xml:space="preserve"> </w:t>
      </w:r>
      <w:r>
        <w:t xml:space="preserve">entrenado. Se requieren</w:t>
      </w:r>
      <w:r>
        <w:t xml:space="preserve"> </w:t>
      </w:r>
      <w:r>
        <w:rPr>
          <w:b/>
          <w:bCs/>
        </w:rPr>
        <w:t xml:space="preserve">datos crudos</w:t>
      </w:r>
      <w:r>
        <w:t xml:space="preserve"> </w:t>
      </w:r>
      <w:r>
        <w:t xml:space="preserve">(no reportes agregados), con las variables listadas en la</w:t>
      </w:r>
      <w:r>
        <w:t xml:space="preserve"> </w:t>
      </w:r>
      <w:r>
        <w:t xml:space="preserve">sección 3.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nsideraciones-éticas"/>
    <w:p>
      <w:pPr>
        <w:pStyle w:val="Heading2"/>
      </w:pPr>
      <w:r>
        <w:t xml:space="preserve">5. Consideraciones éticas</w:t>
      </w:r>
    </w:p>
    <w:p>
      <w:pPr>
        <w:pStyle w:val="FirstParagraph"/>
      </w:pPr>
      <w:r>
        <w:t xml:space="preserve">Los datos con los que se construyó el modelo son de</w:t>
      </w:r>
      <w:r>
        <w:t xml:space="preserve"> </w:t>
      </w:r>
      <w:r>
        <w:rPr>
          <w:b/>
          <w:bCs/>
        </w:rPr>
        <w:t xml:space="preserve">acceso público y libre</w:t>
      </w:r>
      <w:r>
        <w:t xml:space="preserve"> </w:t>
      </w:r>
      <w:r>
        <w:t xml:space="preserve">(portal de microdatos del</w:t>
      </w:r>
      <w:r>
        <w:t xml:space="preserve"> </w:t>
      </w:r>
      <w:r>
        <w:t xml:space="preserve">INEI), por lo que su tratamiento no requirió aprobación de comité de ética.</w:t>
      </w:r>
    </w:p>
    <w:p>
      <w:pPr>
        <w:pStyle w:val="BodyText"/>
      </w:pPr>
      <w:r>
        <w:t xml:space="preserve">Para la fase de validación con datos institucionales, el equipo se compromete a tramitar los permisos</w:t>
      </w:r>
      <w:r>
        <w:t xml:space="preserve"> </w:t>
      </w:r>
      <w:r>
        <w:t xml:space="preserve">formales correspondientes y a someter el protocolo a comité de ética cuando la institución lo exija. Los</w:t>
      </w:r>
      <w:r>
        <w:t xml:space="preserve"> </w:t>
      </w:r>
      <w:r>
        <w:t xml:space="preserve">datos que se reciban se usarán exclusivamente con fines de validación técnica, de forma anonimizada, y</w:t>
      </w:r>
      <w:r>
        <w:t xml:space="preserve"> </w:t>
      </w:r>
      <w:r>
        <w:t xml:space="preserve">no serán publicados ni compartidos con terceros.</w:t>
      </w:r>
    </w:p>
    <w:p>
      <w:r>
        <w:pict>
          <v:rect style="width:0;height:1.5pt" o:hralign="center" o:hrstd="t" o:hr="t"/>
        </w:pict>
      </w:r>
    </w:p>
    <w:bookmarkEnd w:id="30"/>
    <w:bookmarkStart w:id="31" w:name="X391304481d104eba4e8178b9fcdf0d8c3b107bd"/>
    <w:p>
      <w:pPr>
        <w:pStyle w:val="Heading2"/>
      </w:pPr>
      <w:r>
        <w:t xml:space="preserve">6. Contribución esperada para los participantes</w:t>
      </w:r>
    </w:p>
    <w:p>
      <w:pPr>
        <w:pStyle w:val="FirstParagraph"/>
      </w:pPr>
      <w:r>
        <w:t xml:space="preserve">Los especialistas que participen serán reconocidos en el artículo científico resultante. Asimismo, el</w:t>
      </w:r>
      <w:r>
        <w:t xml:space="preserve"> </w:t>
      </w:r>
      <w:r>
        <w:t xml:space="preserve">equipo queda disponible para integrarse como soporte técnico en investigaciones posteriores que deseen</w:t>
      </w:r>
      <w:r>
        <w:t xml:space="preserve"> </w:t>
      </w:r>
      <w:r>
        <w:t xml:space="preserve">aplicar el modelo en estudios de campo, intervención o gestión sanitaria.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Contacto: equipo de investigación — EP Ingeniería de Sistemas, Universidad Peruana Unión.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2026-09-16T16:33:29Z</dcterms:created>
  <dcterms:modified xsi:type="dcterms:W3CDTF">2026-09-16T16:33:29Z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