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· Verónica Vergara Rojas · Pamela Vallejos Cotrina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 previo</w:t>
      </w:r>
      <w:r>
        <w:t xml:space="preserve">: dado el perfil de un hogar, estima la probabilidad de que el niño</w:t>
      </w:r>
      <w:r>
        <w:t xml:space="preserve"> </w:t>
      </w:r>
      <w:r>
        <w:t xml:space="preserve">presente desnutrición crónica, permitiendo priorizar a quién visitar primero cuando el presupuesto no</w:t>
      </w:r>
      <w:r>
        <w:t xml:space="preserve"> </w:t>
      </w:r>
      <w:r>
        <w:t xml:space="preserve">alcanza para cubrir a toda la población.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con datos de</w:t>
      </w:r>
      <w:r>
        <w:t xml:space="preserve"> </w:t>
      </w:r>
      <w:r>
        <w:t xml:space="preserve">encuesta de hogar, qué niños tienen mayor riesgo de desnutrición crónica antes de que un agente de</w:t>
      </w:r>
      <w:r>
        <w:t xml:space="preserve"> </w:t>
      </w:r>
      <w:r>
        <w:t xml:space="preserve">salud llegue al domicilio?</w:t>
      </w:r>
    </w:p>
    <w:p>
      <w:r>
        <w:pict>
          <v:rect style="width:0;height:1.5pt" o:hralign="center" o:hrstd="t" o:hr="t"/>
        </w:pict>
      </w:r>
    </w:p>
    <w:bookmarkEnd w:id="9"/>
    <w:bookmarkStart w:id="10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1. Comprensión    2. Comprensión    3. Preparación</w:t>
      </w:r>
      <w:r>
        <w:br/>
      </w:r>
      <w:r>
        <w:rPr>
          <w:rStyle w:val="VerbatimChar"/>
        </w:rPr>
        <w:t xml:space="preserve">   del Negocio   →   de los Datos  →   de los Datos</w:t>
      </w:r>
      <w:r>
        <w:br/>
      </w:r>
      <w:r>
        <w:rPr>
          <w:rStyle w:val="VerbatimChar"/>
        </w:rPr>
        <w:t xml:space="preserve">                                            ↓</w:t>
      </w:r>
      <w:r>
        <w:br/>
      </w:r>
      <w:r>
        <w:rPr>
          <w:rStyle w:val="VerbatimChar"/>
        </w:rPr>
        <w:t xml:space="preserve">6. Despliegue  ←  5. Evaluación   ←   4. Modelado</w:t>
      </w:r>
      <w:r>
        <w:br/>
      </w:r>
      <w:r>
        <w:rPr>
          <w:rStyle w:val="VerbatimChar"/>
        </w:rPr>
        <w:t xml:space="preserve">   (aplicativo)     (explicabilidad)     (algoritmos)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p>
      <w:pPr>
        <w:pStyle w:val="BodyText"/>
      </w:pPr>
      <w:r>
        <w:rPr>
          <w:b/>
          <w:bCs/>
        </w:rPr>
        <w:t xml:space="preserve">Resultados actuales:</w:t>
      </w:r>
      <w:r>
        <w:t xml:space="preserve"> </w:t>
      </w:r>
      <w:r>
        <w:t xml:space="preserve">LightGBM resultó el algoritmo campeón entre seis evaluados, con</w:t>
      </w:r>
      <w:r>
        <w:t xml:space="preserve"> </w:t>
      </w:r>
      <w:r>
        <w:rPr>
          <w:b/>
          <w:bCs/>
        </w:rPr>
        <w:t xml:space="preserve">AUC-ROC 0.8294</w:t>
      </w:r>
      <w:r>
        <w:t xml:space="preserve"> </w:t>
      </w:r>
      <w:r>
        <w:t xml:space="preserve">(IC 95%: 0.8267 – 0.8324) y</w:t>
      </w:r>
      <w:r>
        <w:t xml:space="preserve"> </w:t>
      </w:r>
      <w:r>
        <w:rPr>
          <w:b/>
          <w:bCs/>
        </w:rPr>
        <w:t xml:space="preserve">sensibilidad 76.43%</w:t>
      </w:r>
      <w:r>
        <w:t xml:space="preserve"> </w:t>
      </w:r>
      <w:r>
        <w:t xml:space="preserve">(IC 95%: 75.88% – 76.98%),</w:t>
      </w:r>
      <w:r>
        <w:t xml:space="preserve"> </w:t>
      </w:r>
      <w:r>
        <w:t xml:space="preserve">verificados mediante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 repeticiones. El umbral de decisión es ajustable: elevando la</w:t>
      </w:r>
      <w:r>
        <w:t xml:space="preserve"> </w:t>
      </w:r>
      <w:r>
        <w:t xml:space="preserve">sensibilidad a ≥ 80% el sistema detecta más casos reales a costa de más falsos positivos, criterio</w:t>
      </w:r>
      <w:r>
        <w:t xml:space="preserve"> </w:t>
      </w:r>
      <w:r>
        <w:t xml:space="preserve">deliberado en triaje preventivo, donde no detectar a un niño desnutrido es más costoso que una visita</w:t>
      </w:r>
      <w:r>
        <w:t xml:space="preserve"> </w:t>
      </w:r>
      <w:r>
        <w:t xml:space="preserve">de verificación innecesaria.</w:t>
      </w:r>
    </w:p>
    <w:p>
      <w:r>
        <w:pict>
          <v:rect style="width:0;height:1.5pt" o:hralign="center" o:hrstd="t" o:hr="t"/>
        </w:pict>
      </w:r>
    </w:p>
    <w:bookmarkEnd w:id="10"/>
    <w:bookmarkStart w:id="16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Estas son las variables que el modelo utiliza actualmente, agrupadas por dominio.</w:t>
      </w:r>
      <w:r>
        <w:t xml:space="preserve"> </w:t>
      </w:r>
      <w:r>
        <w:rPr>
          <w:b/>
          <w:bCs/>
        </w:rPr>
        <w:t xml:space="preserve">Son las que</w:t>
      </w:r>
      <w:r>
        <w:rPr>
          <w:b/>
          <w:bCs/>
        </w:rPr>
        <w:t xml:space="preserve"> </w:t>
      </w:r>
      <w:r>
        <w:rPr>
          <w:b/>
          <w:bCs/>
        </w:rPr>
        <w:t xml:space="preserve">solicitamos encontrar en cualquier conjunto de datos externo con el que se desee contrastar el</w:t>
      </w:r>
      <w:r>
        <w:rPr>
          <w:b/>
          <w:bCs/>
        </w:rPr>
        <w:t xml:space="preserve"> </w:t>
      </w:r>
      <w:r>
        <w:rPr>
          <w:b/>
          <w:bCs/>
        </w:rPr>
        <w:t xml:space="preserve">sistema.</w:t>
      </w:r>
    </w:p>
    <w:bookmarkStart w:id="11" w:name="a.-niño-4"/>
    <w:p>
      <w:pPr>
        <w:pStyle w:val="Heading3"/>
      </w:pPr>
      <w:r>
        <w:t xml:space="preserve">A. Niño (4)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ENDES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Edad en meses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Sexo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Hemoglobina ajustada por altitud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Intervalo respecto al nacimiento anterior</w:t>
            </w:r>
          </w:p>
        </w:tc>
      </w:tr>
    </w:tbl>
    <w:bookmarkEnd w:id="11"/>
    <w:bookmarkStart w:id="12" w:name="b.-salud-materna-embarazo-y-lactancia-13"/>
    <w:p>
      <w:pPr>
        <w:pStyle w:val="Heading3"/>
      </w:pPr>
      <w:r>
        <w:t xml:space="preserve">B. Salud materna, embarazo y lactancia (13)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Mes de gestación del primer control prenatal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Número de visitas prenatales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Parto por cesárea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Tamaño del niño al nacer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Peso al nacer (kg)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Duración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Horas hasta el inicio de la lactancia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Días que tomó hierro en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Vitamina A en los primeros 2 meses post parto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Fórmula para bebés en los primeros 3 días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Año más alto de educación de la madre</w:t>
            </w:r>
          </w:p>
        </w:tc>
      </w:tr>
    </w:tbl>
    <w:bookmarkEnd w:id="12"/>
    <w:bookmarkStart w:id="13" w:name="c.-hogar-y-nivel-socioeconómico-7"/>
    <w:p>
      <w:pPr>
        <w:pStyle w:val="Heading3"/>
      </w:pPr>
      <w:r>
        <w:t xml:space="preserve">C. Hogar y nivel socioeconómico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Índice de riqueza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Miembros habituales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Edad del jefe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Residente habitual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Área de residencia (urbano / rural)</w:t>
            </w:r>
          </w:p>
        </w:tc>
      </w:tr>
    </w:tbl>
    <w:bookmarkEnd w:id="13"/>
    <w:bookmarkStart w:id="14" w:name="d.-agua-saneamiento-e-higiene-wash-10"/>
    <w:p>
      <w:pPr>
        <w:pStyle w:val="Heading3"/>
      </w:pPr>
      <w:r>
        <w:t xml:space="preserve">D. Agua, saneamiento e higiene — WASH (10)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Tiempo de viaje a la fuente de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Comparte servicio higiénico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Prueba de yodo en la 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Tratamiento del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Tratamiento del agua: hervir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Consumo de agua embotellada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Disponibilidad de agua todo el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Conserva agua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Tipo de recipiente y si lo usa con tapa</w:t>
            </w:r>
          </w:p>
        </w:tc>
      </w:tr>
    </w:tbl>
    <w:bookmarkEnd w:id="14"/>
    <w:bookmarkStart w:id="15" w:name="e.-vivienda-y-entorno-11"/>
    <w:p>
      <w:pPr>
        <w:pStyle w:val="Heading3"/>
      </w:pPr>
      <w:r>
        <w:t xml:space="preserve">E. Vivienda y entorno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Altitud del conglomerado (msnm)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Número de habitaciones del hogar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Tiene chimenea o campana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Cuarto separado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Otro tipo de combustible para cocinar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Fuente de luz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Ventanas con cristal / de madera / con malla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el conjunto es ampliable. El</w:t>
      </w:r>
      <w:r>
        <w:t xml:space="preserve"> </w:t>
      </w:r>
      <w:r>
        <w:rPr>
          <w:i/>
          <w:iCs/>
        </w:rPr>
        <w:t xml:space="preserve">dataset</w:t>
      </w:r>
      <w:r>
        <w:t xml:space="preserve"> </w:t>
      </w:r>
      <w:r>
        <w:t xml:space="preserve">original contiene más de 180 variables, de las cuales</w:t>
      </w:r>
      <w:r>
        <w:t xml:space="preserve"> </w:t>
      </w:r>
      <w:r>
        <w:t xml:space="preserve">se retuvieron 45 por criterios estadísticos. Si los especialistas consideran relevante alguna</w:t>
      </w:r>
      <w:r>
        <w:t xml:space="preserve"> </w:t>
      </w:r>
      <w:r>
        <w:t xml:space="preserve">dimensión no cubierta —consumo dietético, morbilidad reciente, vacunación, antropometría materna—</w:t>
      </w:r>
      <w:r>
        <w:t xml:space="preserve"> </w:t>
      </w:r>
      <w:r>
        <w:t xml:space="preserve">puede incorporarse siempre que exista en la fuente de datos.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bis.-especificación-de-campos"/>
    <w:p>
      <w:pPr>
        <w:pStyle w:val="Heading2"/>
      </w:pPr>
      <w:r>
        <w:t xml:space="preserve">3.bis. Especificación de campos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Categórica</w:t>
      </w:r>
      <w:r>
        <w:t xml:space="preserve">: texto, exactamente uno de los valores listados (sensible a mayúsculas y tildes).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Código</w:t>
      </w:r>
      <w:r>
        <w:t xml:space="preserve">: número entero que representa una categoría,</w:t>
      </w:r>
      <w:r>
        <w:t xml:space="preserve"> </w:t>
      </w:r>
      <w:r>
        <w:rPr>
          <w:b/>
          <w:bCs/>
        </w:rPr>
        <w:t xml:space="preserve">no una cantidad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Numérica</w:t>
      </w:r>
      <w:r>
        <w:t xml:space="preserve">: magnitud continua o discreta, en la unidad indicada.</w:t>
      </w:r>
      <w:r>
        <w:t xml:space="preserve"> </w:t>
      </w:r>
      <w:r>
        <w:t xml:space="preserve">- 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bookmarkStart w:id="17" w:name="niño"/>
    <w:p>
      <w:pPr>
        <w:pStyle w:val="Heading3"/>
      </w:pPr>
      <w:r>
        <w:t xml:space="preserve">Niño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7"/>
    <w:bookmarkStart w:id="18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cesárea,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1 = muy grande … 5 = muy pequeño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sí,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vitamina A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sí,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sí,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no</w:t>
            </w:r>
          </w:p>
        </w:tc>
        <w:tc>
          <w:tcPr/>
          <w:p>
            <w:pPr>
              <w:pStyle w:val="Compact"/>
            </w:pPr>
            <w:r>
              <w:t xml:space="preserve">antiparasitarios en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 más alto de educación materna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8"/>
    <w:bookmarkStart w:id="19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−215987 a 205316</w:t>
            </w:r>
          </w:p>
        </w:tc>
        <w:tc>
          <w:tcPr/>
          <w:p>
            <w:pPr>
              <w:pStyle w:val="Compact"/>
            </w:pPr>
            <w:r>
              <w:t xml:space="preserve">índice de riqueza (escala INEI ×10⁵)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9"/>
    <w:bookmarkStart w:id="20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0, 7, 15, 30</w:t>
            </w:r>
          </w:p>
        </w:tc>
        <w:tc>
          <w:tcPr/>
          <w:p>
            <w:pPr>
              <w:pStyle w:val="Compact"/>
            </w:pPr>
            <w:r>
              <w:t xml:space="preserve">yodo en sal (ppm por colorimetría)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8, 96, 98</w:t>
            </w:r>
          </w:p>
        </w:tc>
        <w:tc>
          <w:tcPr/>
          <w:p>
            <w:pPr>
              <w:pStyle w:val="Compact"/>
            </w:pPr>
            <w:r>
              <w:t xml:space="preserve">tipo de recipiente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 – 8</w:t>
            </w:r>
          </w:p>
        </w:tc>
        <w:tc>
          <w:tcPr/>
          <w:p>
            <w:pPr>
              <w:pStyle w:val="Compact"/>
            </w:pPr>
            <w:r>
              <w:t xml:space="preserve">lo usa con 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20"/>
    <w:bookmarkStart w:id="21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0, 1, 2</w:t>
            </w:r>
          </w:p>
        </w:tc>
        <w:tc>
          <w:tcPr/>
          <w:p>
            <w:pPr>
              <w:pStyle w:val="Compact"/>
            </w:pPr>
            <w:r>
              <w:t xml:space="preserve">tiene chimenea o campana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 tilde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1 – 6, 96, 99</w:t>
            </w:r>
          </w:p>
        </w:tc>
        <w:tc>
          <w:tcPr/>
          <w:p>
            <w:pPr>
              <w:pStyle w:val="Compact"/>
            </w:pPr>
            <w:r>
              <w:t xml:space="preserve">fuente de luz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Categórica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Advertencia sobre la codificación heredada.</w:t>
      </w:r>
      <w:r>
        <w:t xml:space="preserve"> </w:t>
      </w:r>
      <w:r>
        <w:t xml:space="preserve">Las tres irregularidades que siguen provienen de la</w:t>
      </w:r>
      <w:r>
        <w:t xml:space="preserve"> </w:t>
      </w:r>
      <w:r>
        <w:t xml:space="preserve">propia ENDES y se conservaron para no alterar la fuente; se señalan aquí porque condicionan el</w:t>
      </w:r>
      <w:r>
        <w:t xml:space="preserve"> </w:t>
      </w:r>
      <w:r>
        <w:t xml:space="preserve">formato de entrega: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Si</w:t>
      </w:r>
      <w:r>
        <w:rPr>
          <w:b/>
          <w:bCs/>
        </w:rPr>
        <w:t xml:space="preserve"> </w:t>
      </w:r>
      <w:r>
        <w:rPr>
          <w:b/>
          <w:bCs/>
        </w:rPr>
        <w:t xml:space="preserve">frente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Sí</w:t>
      </w:r>
      <w:r>
        <w:rPr>
          <w:b/>
          <w:bCs/>
        </w:rPr>
        <w:t xml:space="preserve">.</w:t>
      </w:r>
      <w:r>
        <w:t xml:space="preserve"> </w:t>
      </w:r>
      <w:r>
        <w:t xml:space="preserve">Unas variables llevan tilde y otras no, según el módulo de origen. La</w:t>
      </w:r>
      <w:r>
        <w:t xml:space="preserve"> </w:t>
      </w:r>
      <w:r>
        <w:t xml:space="preserve">tabla indica cuál corresponde en cada caso y la distinción debe respetarse.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Binarias en dos formatos.</w:t>
      </w:r>
      <w:r>
        <w:t xml:space="preserve"> </w:t>
      </w:r>
      <w:r>
        <w:rPr>
          <w:rStyle w:val="VerbatimChar"/>
        </w:rPr>
        <w:t xml:space="preserve">M17</w:t>
      </w:r>
      <w:r>
        <w:t xml:space="preserve">,</w:t>
      </w:r>
      <w:r>
        <w:t xml:space="preserve"> </w:t>
      </w:r>
      <w:r>
        <w:rPr>
          <w:rStyle w:val="VerbatimChar"/>
        </w:rPr>
        <w:t xml:space="preserve">M54</w:t>
      </w:r>
      <w:r>
        <w:t xml:space="preserve">,</w:t>
      </w:r>
      <w:r>
        <w:t xml:space="preserve"> </w:t>
      </w:r>
      <w:r>
        <w:rPr>
          <w:rStyle w:val="VerbatimChar"/>
        </w:rPr>
        <w:t xml:space="preserve">M55G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M60</w:t>
      </w:r>
      <w:r>
        <w:t xml:space="preserve"> </w:t>
      </w:r>
      <w:r>
        <w:t xml:space="preserve">se codifican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, mientras que el</w:t>
      </w:r>
      <w:r>
        <w:t xml:space="preserve"> </w:t>
      </w:r>
      <w:r>
        <w:t xml:space="preserve">resto de las dicotómicas usan texto</w:t>
      </w:r>
      <w:r>
        <w:t xml:space="preserve"> </w:t>
      </w:r>
      <w:r>
        <w:rPr>
          <w:rStyle w:val="VerbatimChar"/>
        </w:rPr>
        <w:t xml:space="preserve">Si</w:t>
      </w:r>
      <w:r>
        <w:t xml:space="preserve">/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Códigos especiales en campos numéricos.</w:t>
      </w:r>
      <w:r>
        <w:t xml:space="preserve"> </w:t>
      </w:r>
      <w:r>
        <w:rPr>
          <w:rStyle w:val="VerbatimChar"/>
        </w:rPr>
        <w:t xml:space="preserve">SH49</w:t>
      </w:r>
      <w:r>
        <w:t xml:space="preserve"> </w:t>
      </w:r>
      <w:r>
        <w:t xml:space="preserve">(96, 98) y</w:t>
      </w:r>
      <w:r>
        <w:t xml:space="preserve"> </w:t>
      </w:r>
      <w:r>
        <w:rPr>
          <w:rStyle w:val="VerbatimChar"/>
        </w:rPr>
        <w:t xml:space="preserve">SH70</w:t>
      </w:r>
      <w:r>
        <w:t xml:space="preserve"> </w:t>
      </w:r>
      <w:r>
        <w:t xml:space="preserve">(96, 99)</w:t>
      </w:r>
      <w:r>
        <w:t xml:space="preserve"> </w:t>
      </w:r>
      <w:r>
        <w:t xml:space="preserve">reservan esos valores para</w:t>
      </w:r>
      <w:r>
        <w:t xml:space="preserve"> </w:t>
      </w:r>
      <w:r>
        <w:rPr>
          <w:i/>
          <w:iCs/>
        </w:rPr>
        <w:t xml:space="preserve">otro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no sabe</w:t>
      </w:r>
      <w:r>
        <w:t xml:space="preserve">. No representan magnitudes y deben transcribirse</w:t>
      </w:r>
      <w:r>
        <w:t xml:space="preserve"> </w:t>
      </w:r>
      <w:r>
        <w:t xml:space="preserve">tal cual, sin convertirlos ni sustituirlos por promedios.</w:t>
      </w:r>
    </w:p>
    <w:p>
      <w:pPr>
        <w:pStyle w:val="BlockText"/>
      </w:pPr>
      <w:r>
        <w:t xml:space="preserve">Si el conjunto de datos externo emplea otra codificación, basta con entregarlo acompañado de su</w:t>
      </w:r>
      <w:r>
        <w:t xml:space="preserve"> </w:t>
      </w:r>
      <w:r>
        <w:t xml:space="preserve">diccionario de valores: el equipo se encarga de la homologación.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ter.-variables-adicionales-deseables"/>
    <w:p>
      <w:pPr>
        <w:pStyle w:val="Heading2"/>
      </w:pPr>
      <w:r>
        <w:t xml:space="preserve">3.ter.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23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23"/>
    <w:bookmarkStart w:id="24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24"/>
    <w:bookmarkStart w:id="25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pPr>
        <w:pStyle w:val="BlockText"/>
      </w:pPr>
      <w:r>
        <w:rPr>
          <w:b/>
          <w:bCs/>
        </w:rPr>
        <w:t xml:space="preserve">Sobre el formato.</w:t>
      </w:r>
      <w:r>
        <w:t xml:space="preserve"> </w:t>
      </w:r>
      <w:r>
        <w:t xml:space="preserve">Estas variables no requieren la codificación estricta de la sección 3.bis, ya</w:t>
      </w:r>
      <w:r>
        <w:t xml:space="preserve"> </w:t>
      </w:r>
      <w:r>
        <w:t xml:space="preserve">que aún no forman parte del modelo. Basta con entregarlas tal como estén registradas, acompañadas de</w:t>
      </w:r>
      <w:r>
        <w:t xml:space="preserve"> </w:t>
      </w:r>
      <w:r>
        <w:t xml:space="preserve">su diccionario de valores. El equipo se encarga de homologarlas.</w:t>
      </w:r>
    </w:p>
    <w:p>
      <w:pPr>
        <w:pStyle w:val="BlockText"/>
      </w:pPr>
      <w:r>
        <w:rPr>
          <w:b/>
          <w:bCs/>
        </w:rPr>
        <w:t xml:space="preserve">Una aclaración necesaria.</w:t>
      </w:r>
      <w:r>
        <w:t xml:space="preserve"> </w:t>
      </w:r>
      <w:r>
        <w:t xml:space="preserve">Las variables de morbilidad reciente (diarrea, IRA) son causas</w:t>
      </w:r>
      <w:r>
        <w:t xml:space="preserve"> </w:t>
      </w:r>
      <w:r>
        <w:t xml:space="preserve">inmediatas, pero también son</w:t>
      </w:r>
      <w:r>
        <w:t xml:space="preserve"> </w:t>
      </w:r>
      <w:r>
        <w:rPr>
          <w:i/>
          <w:iCs/>
        </w:rPr>
        <w:t xml:space="preserve">concurrentes</w:t>
      </w:r>
      <w:r>
        <w:t xml:space="preserve"> </w:t>
      </w:r>
      <w:r>
        <w:t xml:space="preserve">con el desenlace: si un agente de salud ya sabe que el</w:t>
      </w:r>
      <w:r>
        <w:t xml:space="preserve"> </w:t>
      </w:r>
      <w:r>
        <w:t xml:space="preserve">niño tuvo diarrea, es porque hubo contacto previo con el sistema. Por eso se solicitan para</w:t>
      </w:r>
      <w:r>
        <w:t xml:space="preserve"> </w:t>
      </w:r>
      <w:r>
        <w:rPr>
          <w:b/>
          <w:bCs/>
        </w:rPr>
        <w:t xml:space="preserve">análisis explicativo</w:t>
      </w:r>
      <w:r>
        <w:t xml:space="preserve"> </w:t>
      </w:r>
      <w:r>
        <w:t xml:space="preserve">y para una eventual versión del modelo orientada a seguimiento, no</w:t>
      </w:r>
      <w:r>
        <w:t xml:space="preserve"> </w:t>
      </w:r>
      <w:r>
        <w:t xml:space="preserve">necesariamente para el triaje anticipado, cuyo valor reside justamente en operar sin visita previa.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qué-esperamos-de-esta-validación"/>
    <w:p>
      <w:pPr>
        <w:pStyle w:val="Heading2"/>
      </w:pPr>
      <w:r>
        <w:t xml:space="preserve">4.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7" w:name="pertinencia"/>
    <w:p>
      <w:pPr>
        <w:pStyle w:val="Heading3"/>
      </w:pPr>
      <w:r>
        <w:t xml:space="preserve">4.1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7"/>
    <w:bookmarkStart w:id="28" w:name="replicabilidad"/>
    <w:p>
      <w:pPr>
        <w:pStyle w:val="Heading3"/>
      </w:pPr>
      <w:r>
        <w:t xml:space="preserve">4.2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nsideraciones-éticas"/>
    <w:p>
      <w:pPr>
        <w:pStyle w:val="Heading2"/>
      </w:pPr>
      <w:r>
        <w:t xml:space="preserve">5.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30"/>
    <w:bookmarkStart w:id="31" w:name="X391304481d104eba4e8178b9fcdf0d8c3b107bd"/>
    <w:p>
      <w:pPr>
        <w:pStyle w:val="Heading2"/>
      </w:pPr>
      <w:r>
        <w:t xml:space="preserve">6.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equipo de investigación — EP Ingeniería de Sistemas, Universidad Peruana Unión.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2026-09-16T18:34:10Z</dcterms:created>
  <dcterms:modified xsi:type="dcterms:W3CDTF">2026-09-16T18:34:10Z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