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cf640c41ffcec5a6a9afd3ecab07aa4807551a2"/>
    <w:p>
      <w:pPr>
        <w:pStyle w:val="Heading1"/>
      </w:pPr>
      <w:r>
        <w:t xml:space="preserve">Fundamento del instrumento de validación (TAM3)</w:t>
      </w:r>
    </w:p>
    <w:p>
      <w:pPr>
        <w:pStyle w:val="FirstParagraph"/>
      </w:pPr>
      <w:r>
        <w:t xml:space="preserve">Nota para el asesor. Justifica la versión del Modelo de Aceptación Tecnológica adoptada en la ficha</w:t>
      </w:r>
      <w:r>
        <w:t xml:space="preserve"> </w:t>
      </w:r>
      <w:r>
        <w:t xml:space="preserve">de validación y cómo se analizarán las respuestas.</w:t>
      </w:r>
    </w:p>
    <w:p>
      <w:r>
        <w:pict>
          <v:rect style="width:0;height:1.5pt" o:hralign="center" o:hrstd="t" o:hr="t"/>
        </w:pict>
      </w:r>
    </w:p>
    <w:bookmarkStart w:id="9" w:name="qué-versión-se-adoptó-y-por-qué"/>
    <w:p>
      <w:pPr>
        <w:pStyle w:val="Heading2"/>
      </w:pPr>
      <w:r>
        <w:t xml:space="preserve">1. Qué versión se adoptó y por qué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Aporte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</w:t>
            </w:r>
            <w:r>
              <w:t xml:space="preserve"> </w:t>
            </w:r>
            <w:r>
              <w:t xml:space="preserve">(Davis, 1989)</w:t>
            </w:r>
          </w:p>
        </w:tc>
        <w:tc>
          <w:tcPr/>
          <w:p>
            <w:pPr>
              <w:pStyle w:val="Compact"/>
            </w:pPr>
            <w:r>
              <w:t xml:space="preserve">Utilidad percibida y facilidad de uso percibida</w:t>
            </w:r>
          </w:p>
        </w:tc>
        <w:tc>
          <w:tcPr/>
          <w:p>
            <w:pPr>
              <w:pStyle w:val="Compact"/>
            </w:pPr>
            <w:r>
              <w:t xml:space="preserve">Base; incluida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TAM2</w:t>
            </w:r>
            <w:r>
              <w:t xml:space="preserve"> </w:t>
            </w:r>
            <w:r>
              <w:t xml:space="preserve">(Venkatesh y Davis, 2000)</w:t>
            </w:r>
          </w:p>
        </w:tc>
        <w:tc>
          <w:tcPr/>
          <w:p>
            <w:pPr>
              <w:pStyle w:val="Compact"/>
            </w:pPr>
            <w:r>
              <w:t xml:space="preserve">Explica</w:t>
            </w:r>
            <w:r>
              <w:t xml:space="preserve"> </w:t>
            </w:r>
            <w:r>
              <w:rPr>
                <w:i/>
                <w:iCs/>
              </w:rPr>
              <w:t xml:space="preserve">por qué</w:t>
            </w:r>
            <w:r>
              <w:t xml:space="preserve"> </w:t>
            </w:r>
            <w:r>
              <w:t xml:space="preserve">algo resulta útil: relevancia para el trabajo, calidad del resultado, demostrabilidad, norma subjetiva</w:t>
            </w:r>
          </w:p>
        </w:tc>
        <w:tc>
          <w:tcPr/>
          <w:p>
            <w:pPr>
              <w:pStyle w:val="Compact"/>
            </w:pPr>
            <w:r>
              <w:t xml:space="preserve">Incluida dentro de TAM3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TAM3</w:t>
            </w:r>
            <w:r>
              <w:t xml:space="preserve"> </w:t>
            </w:r>
            <w:r>
              <w:t xml:space="preserve">(Venkatesh y Bala, 2008)</w:t>
            </w:r>
          </w:p>
        </w:tc>
        <w:tc>
          <w:tcPr/>
          <w:p>
            <w:pPr>
              <w:pStyle w:val="Compact"/>
            </w:pPr>
            <w:r>
              <w:t xml:space="preserve">Integra TAM2 y añade los determinantes de la facilidad de uso, entre ellos las condiciones facilitadoras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 Plus (Feng et al., 2020)</w:t>
            </w:r>
          </w:p>
        </w:tc>
        <w:tc>
          <w:tcPr/>
          <w:p>
            <w:pPr>
              <w:pStyle w:val="Compact"/>
            </w:pPr>
            <w:r>
              <w:t xml:space="preserve">Denominación que un meta-análisis da al TAM extendido; no define un instrumento propio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 5 (Armouti et al., 2023)</w:t>
            </w:r>
          </w:p>
        </w:tc>
        <w:tc>
          <w:tcPr/>
          <w:p>
            <w:pPr>
              <w:pStyle w:val="Compact"/>
            </w:pPr>
            <w:r>
              <w:t xml:space="preserve">Dimensiones de desarrollo ágil, trabajo híbrido y diferencias horarias en la industria de software</w:t>
            </w:r>
          </w:p>
        </w:tc>
        <w:tc>
          <w:tcPr/>
          <w:p>
            <w:pPr>
              <w:pStyle w:val="Compact"/>
            </w:pPr>
            <w:r>
              <w:t xml:space="preserve">Descartada: fuera del dominio</w:t>
            </w:r>
          </w:p>
        </w:tc>
      </w:tr>
    </w:tbl>
    <w:p>
      <w:pPr>
        <w:pStyle w:val="BodyText"/>
      </w:pPr>
      <w:r>
        <w:t xml:space="preserve">TAM3 es la última versión consolidada del modelo. Sus determinantes de la utilidad coinciden con lo que</w:t>
      </w:r>
      <w:r>
        <w:t xml:space="preserve"> </w:t>
      </w:r>
      <w:r>
        <w:t xml:space="preserve">un profesional de salud juzga en una herramienta de apoyo a la decisión: si se relaciona con su trabajo,</w:t>
      </w:r>
      <w:r>
        <w:t xml:space="preserve"> </w:t>
      </w:r>
      <w:r>
        <w:t xml:space="preserve">si confía en el resultado y si entiende de dónde sale.</w:t>
      </w:r>
    </w:p>
    <w:bookmarkEnd w:id="9"/>
    <w:bookmarkStart w:id="10" w:name="X6ed25b42528641cae165b23a3d9f1c27b9bab88"/>
    <w:p>
      <w:pPr>
        <w:pStyle w:val="Heading2"/>
      </w:pPr>
      <w:r>
        <w:t xml:space="preserve">2. Correspondencia entre constructos e ítems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Constructo TAM3</w:t>
            </w:r>
          </w:p>
        </w:tc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Ítems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Relevancia para el trabajo (</w:t>
            </w:r>
            <w:r>
              <w:rPr>
                <w:i/>
                <w:iCs/>
              </w:rPr>
              <w:t xml:space="preserve">job relevance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R1–R3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del resultado (</w:t>
            </w:r>
            <w:r>
              <w:rPr>
                <w:i/>
                <w:iCs/>
              </w:rPr>
              <w:t xml:space="preserve">output quality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C1–C3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Demostrabilidad del resultado (</w:t>
            </w:r>
            <w:r>
              <w:rPr>
                <w:i/>
                <w:iCs/>
              </w:rPr>
              <w:t xml:space="preserve">result demonstrability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D1–D2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Utilidad percibida (</w:t>
            </w:r>
            <w:r>
              <w:rPr>
                <w:i/>
                <w:iCs/>
              </w:rPr>
              <w:t xml:space="preserve">perceived usefulness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</w:pPr>
            <w:r>
              <w:t xml:space="preserve">U1–U4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Facilidad de uso percibida (</w:t>
            </w:r>
            <w:r>
              <w:rPr>
                <w:i/>
                <w:iCs/>
              </w:rPr>
              <w:t xml:space="preserve">perceived ease of use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VII</w:t>
            </w:r>
          </w:p>
        </w:tc>
        <w:tc>
          <w:tcPr/>
          <w:p>
            <w:pPr>
              <w:pStyle w:val="Compact"/>
            </w:pPr>
            <w:r>
              <w:t xml:space="preserve">F1–F4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Percepción de control externo (</w:t>
            </w:r>
            <w:r>
              <w:rPr>
                <w:i/>
                <w:iCs/>
              </w:rPr>
              <w:t xml:space="preserve">perceptions of external control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VIII</w:t>
            </w:r>
          </w:p>
        </w:tc>
        <w:tc>
          <w:tcPr/>
          <w:p>
            <w:pPr>
              <w:pStyle w:val="Compact"/>
            </w:pPr>
            <w:r>
              <w:t xml:space="preserve">K1–K3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 subjetiva (</w:t>
            </w:r>
            <w:r>
              <w:rPr>
                <w:i/>
                <w:iCs/>
              </w:rPr>
              <w:t xml:space="preserve">subjective norm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IX</w:t>
            </w:r>
          </w:p>
        </w:tc>
        <w:tc>
          <w:tcPr/>
          <w:p>
            <w:pPr>
              <w:pStyle w:val="Compact"/>
            </w:pPr>
            <w:r>
              <w:t xml:space="preserve">S1–S2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Intención de uso (</w:t>
            </w:r>
            <w:r>
              <w:rPr>
                <w:i/>
                <w:iCs/>
              </w:rPr>
              <w:t xml:space="preserve">behavioral intention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I1–I3</w:t>
            </w:r>
          </w:p>
        </w:tc>
      </w:tr>
    </w:tbl>
    <w:p>
      <w:pPr>
        <w:pStyle w:val="BodyText"/>
      </w:pPr>
      <w:r>
        <w:rPr>
          <w:b/>
          <w:bCs/>
        </w:rPr>
        <w:t xml:space="preserve">24 ítems</w:t>
      </w:r>
      <w:r>
        <w:t xml:space="preserve"> </w:t>
      </w:r>
      <w:r>
        <w:t xml:space="preserve">en escala de 1 a 5, más una valoración global de 1 a 10 y cuatro preguntas abiertas.</w:t>
      </w:r>
    </w:p>
    <w:p>
      <w:pPr>
        <w:pStyle w:val="BodyText"/>
      </w:pPr>
      <w:r>
        <w:t xml:space="preserve">Se omitieron los constructos de TAM3 que no aplican a una evaluación por expertos tras una</w:t>
      </w:r>
      <w:r>
        <w:t xml:space="preserve"> </w:t>
      </w:r>
      <w:r>
        <w:t xml:space="preserve">demostración: imagen, voluntariedad, autoeficacia informática, ansiedad ante el computador, carácter</w:t>
      </w:r>
      <w:r>
        <w:t xml:space="preserve"> </w:t>
      </w:r>
      <w:r>
        <w:t xml:space="preserve">lúdico y disfrute percibido. Miden la actitud de un usuario frente a su propio uso sostenido, no el</w:t>
      </w:r>
      <w:r>
        <w:t xml:space="preserve"> </w:t>
      </w:r>
      <w:r>
        <w:t xml:space="preserve">juicio profesional sobre una herramienta.</w:t>
      </w:r>
    </w:p>
    <w:p>
      <w:pPr>
        <w:pStyle w:val="BodyText"/>
      </w:pPr>
      <w:r>
        <w:t xml:space="preserve">El ítem</w:t>
      </w:r>
      <w:r>
        <w:t xml:space="preserve"> </w:t>
      </w:r>
      <w:r>
        <w:rPr>
          <w:b/>
          <w:bCs/>
        </w:rPr>
        <w:t xml:space="preserve">K2</w:t>
      </w:r>
      <w:r>
        <w:t xml:space="preserve"> </w:t>
      </w:r>
      <w:r>
        <w:t xml:space="preserve">pregunta de forma expresa por la disponibilidad del dato de hemoglobina, la única de</w:t>
      </w:r>
      <w:r>
        <w:t xml:space="preserve"> </w:t>
      </w:r>
      <w:r>
        <w:t xml:space="preserve">las 45 variables del modelo que exige un procedimiento sobre el niño. Sus respuestas contrastan la</w:t>
      </w:r>
      <w:r>
        <w:t xml:space="preserve"> </w:t>
      </w:r>
      <w:r>
        <w:t xml:space="preserve">medición que muestra que el modelo pierde poco sin ella (</w:t>
      </w:r>
      <w:r>
        <w:rPr>
          <w:rStyle w:val="VerbatimChar"/>
        </w:rPr>
        <w:t xml:space="preserve">docs/docs/hallazgos_validacion.md</w:t>
      </w:r>
      <w:r>
        <w:t xml:space="preserve">, §1).</w:t>
      </w:r>
    </w:p>
    <w:bookmarkEnd w:id="10"/>
    <w:bookmarkStart w:id="11" w:name="cómo-se-analizarán-las-respuestas"/>
    <w:p>
      <w:pPr>
        <w:pStyle w:val="Heading2"/>
      </w:pPr>
      <w:r>
        <w:t xml:space="preserve">3. Cómo se analizarán las respuestas</w:t>
      </w:r>
    </w:p>
    <w:p>
      <w:pPr>
        <w:pStyle w:val="FirstParagraph"/>
      </w:pPr>
      <w:r>
        <w:t xml:space="preserve">TAM3 es un modelo estructural: en su formulación original se valida estimando las relaciones entre</w:t>
      </w:r>
      <w:r>
        <w:t xml:space="preserve"> </w:t>
      </w:r>
      <w:r>
        <w:t xml:space="preserve">constructos con cientos de respuestas.</w:t>
      </w:r>
      <w:r>
        <w:t xml:space="preserve"> </w:t>
      </w:r>
      <w:r>
        <w:rPr>
          <w:b/>
          <w:bCs/>
        </w:rPr>
        <w:t xml:space="preserve">Con un panel de seis especialistas esa estimación no es</w:t>
      </w:r>
      <w:r>
        <w:rPr>
          <w:b/>
          <w:bCs/>
        </w:rPr>
        <w:t xml:space="preserve"> </w:t>
      </w:r>
      <w:r>
        <w:rPr>
          <w:b/>
          <w:bCs/>
        </w:rPr>
        <w:t xml:space="preserve">posible ni se pretende.</w:t>
      </w:r>
      <w:r>
        <w:t xml:space="preserve"> </w:t>
      </w:r>
      <w:r>
        <w:t xml:space="preserve">Los constructos se usan como</w:t>
      </w:r>
      <w:r>
        <w:t xml:space="preserve"> </w:t>
      </w:r>
      <w:r>
        <w:rPr>
          <w:b/>
          <w:bCs/>
        </w:rPr>
        <w:t xml:space="preserve">dimensiones de evaluación</w:t>
      </w:r>
      <w:r>
        <w:t xml:space="preserve">, y el análisis es</w:t>
      </w:r>
      <w:r>
        <w:t xml:space="preserve"> </w:t>
      </w:r>
      <w:r>
        <w:t xml:space="preserve">descriptivo:</w:t>
      </w:r>
    </w:p>
    <w:p>
      <w:pPr>
        <w:pStyle w:val="Compact"/>
        <w:numPr>
          <w:ilvl w:val="0"/>
          <w:numId w:val="1001"/>
        </w:numPr>
      </w:pPr>
      <w:r>
        <w:t xml:space="preserve">Mediana y rango intercuartílico por dimensión, que son los estadísticos adecuados para una escala</w:t>
      </w:r>
      <w:r>
        <w:t xml:space="preserve"> </w:t>
      </w:r>
      <w:r>
        <w:t xml:space="preserve">ordinal con pocos evaluadores.</w:t>
      </w:r>
    </w:p>
    <w:p>
      <w:pPr>
        <w:pStyle w:val="Compact"/>
        <w:numPr>
          <w:ilvl w:val="0"/>
          <w:numId w:val="1001"/>
        </w:numPr>
      </w:pPr>
      <w:r>
        <w:t xml:space="preserve">Porcentaje de acuerdo por ítem (respuestas 4 y 5).</w:t>
      </w:r>
    </w:p>
    <w:p>
      <w:pPr>
        <w:pStyle w:val="Compact"/>
        <w:numPr>
          <w:ilvl w:val="0"/>
          <w:numId w:val="1001"/>
        </w:numPr>
      </w:pPr>
      <w:r>
        <w:t xml:space="preserve">Análisis de contenido de las preguntas abiertas, agrupando las variables faltantes y las</w:t>
      </w:r>
      <w:r>
        <w:t xml:space="preserve"> </w:t>
      </w:r>
      <w:r>
        <w:t xml:space="preserve">limitaciones señaladas.</w:t>
      </w:r>
    </w:p>
    <w:p>
      <w:pPr>
        <w:pStyle w:val="FirstParagraph"/>
      </w:pPr>
      <w:r>
        <w:t xml:space="preserve">Se considerará una dimensión</w:t>
      </w:r>
      <w:r>
        <w:t xml:space="preserve"> </w:t>
      </w:r>
      <w:r>
        <w:rPr>
          <w:b/>
          <w:bCs/>
        </w:rPr>
        <w:t xml:space="preserve">favorablemente valorada</w:t>
      </w:r>
      <w:r>
        <w:t xml:space="preserve"> </w:t>
      </w:r>
      <w:r>
        <w:t xml:space="preserve">cuando su mediana sea igual o superior a 4.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2026-09-23T18:56:08Z</dcterms:created>
  <dcterms:modified xsi:type="dcterms:W3CDTF">2026-09-23T18:56:08Z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