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65f67493c61caaa123f1f8d68ab7cc02703792a"/>
    <w:p>
      <w:pPr>
        <w:pStyle w:val="Heading1"/>
      </w:pPr>
      <w:r>
        <w:t xml:space="preserve">SOLICITUD DE VALIDACIÓN POR JUICIO DE EXPERTOS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rPr>
          <w:i/>
          <w:iCs/>
        </w:rPr>
        <w:t xml:space="preserve">Modelo Predictivo de Riesgo de Desnutrición Crónica Infantil en el Perú mediante Machine Learning</w:t>
      </w:r>
    </w:p>
    <w:p>
      <w:pPr>
        <w:pStyle w:val="BodyText"/>
      </w:pPr>
      <w:r>
        <w:rPr>
          <w:b/>
          <w:bCs/>
        </w:rPr>
        <w:t xml:space="preserve">Institución:</w:t>
      </w:r>
      <w:r>
        <w:t xml:space="preserve"> </w:t>
      </w:r>
      <w:r>
        <w:t xml:space="preserve">Universidad Peruana Unión (UPeU) — Facultad de Ingeniería y Arquitectura, EP Ingeniería de Sistemas</w:t>
      </w:r>
      <w:r>
        <w:t xml:space="preserve"> </w:t>
      </w:r>
      <w:r>
        <w:rPr>
          <w:b/>
          <w:bCs/>
        </w:rPr>
        <w:t xml:space="preserve">Asignatura:</w:t>
      </w:r>
      <w:r>
        <w:t xml:space="preserve"> </w:t>
      </w:r>
      <w:r>
        <w:t xml:space="preserve">Investigación V (Ciclo X – 2026-II) ·</w:t>
      </w:r>
      <w:r>
        <w:t xml:space="preserve"> </w:t>
      </w:r>
      <w:r>
        <w:rPr>
          <w:b/>
          <w:bCs/>
        </w:rPr>
        <w:t xml:space="preserve">Docente:</w:t>
      </w:r>
      <w:r>
        <w:t xml:space="preserve"> </w:t>
      </w:r>
      <w:r>
        <w:t xml:space="preserve">Mg. Nemias Saboya Rios</w:t>
      </w:r>
      <w:r>
        <w:t xml:space="preserve"> </w:t>
      </w:r>
      <w:r>
        <w:rPr>
          <w:b/>
          <w:bCs/>
        </w:rPr>
        <w:t xml:space="preserve">Equipo:</w:t>
      </w:r>
      <w:r>
        <w:t xml:space="preserve"> </w:t>
      </w:r>
      <w:r>
        <w:t xml:space="preserve">Abel Guevara Huasco · Verónica Vergara Rojas · Pamela Vallejos Cotrina</w:t>
      </w:r>
    </w:p>
    <w:p>
      <w:r>
        <w:pict>
          <v:rect style="width:0;height:1.5pt" o:hralign="center" o:hrstd="t" o:hr="t"/>
        </w:pict>
      </w:r>
    </w:p>
    <w:bookmarkStart w:id="9" w:name="objetivo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Predecir el</w:t>
      </w:r>
      <w:r>
        <w:t xml:space="preserve"> </w:t>
      </w:r>
      <w:r>
        <w:rPr>
          <w:b/>
          <w:bCs/>
        </w:rPr>
        <w:t xml:space="preserve">perfil de riesgo de desnutrición crónica infantil</w:t>
      </w:r>
      <w:r>
        <w:t xml:space="preserve"> </w:t>
      </w:r>
      <w:r>
        <w:t xml:space="preserve">en menores de 5 años a partir de</w:t>
      </w:r>
      <w:r>
        <w:t xml:space="preserve"> </w:t>
      </w:r>
      <w:r>
        <w:t xml:space="preserve">variables sociodemográficas, del hogar y de salud materna recogidas por encuesta, con el fin de</w:t>
      </w:r>
      <w:r>
        <w:t xml:space="preserve"> </w:t>
      </w:r>
      <w:r>
        <w:rPr>
          <w:b/>
          <w:bCs/>
        </w:rPr>
        <w:t xml:space="preserve">orientar la focalización de recursos</w:t>
      </w:r>
      <w:r>
        <w:t xml:space="preserve"> </w:t>
      </w:r>
      <w:r>
        <w:t xml:space="preserve">en salud pública.</w:t>
      </w:r>
    </w:p>
    <w:p>
      <w:pPr>
        <w:pStyle w:val="BodyText"/>
      </w:pPr>
      <w:r>
        <w:t xml:space="preserve">El sistema</w:t>
      </w:r>
      <w:r>
        <w:t xml:space="preserve"> </w:t>
      </w:r>
      <w:r>
        <w:rPr>
          <w:b/>
          <w:bCs/>
        </w:rPr>
        <w:t xml:space="preserve">no reemplaza el diagnóstico clínico ni la medición antropométrica</w:t>
      </w:r>
      <w:r>
        <w:t xml:space="preserve">. Funciona como una</w:t>
      </w:r>
      <w:r>
        <w:t xml:space="preserve"> </w:t>
      </w:r>
      <w:r>
        <w:t xml:space="preserve">herramienta de</w:t>
      </w:r>
      <w:r>
        <w:t xml:space="preserve"> </w:t>
      </w:r>
      <w:r>
        <w:rPr>
          <w:b/>
          <w:bCs/>
        </w:rPr>
        <w:t xml:space="preserve">triaje</w:t>
      </w:r>
      <w:r>
        <w:t xml:space="preserve">: dado el perfil de un hogar, estima la probabilidad de que el niño presente</w:t>
      </w:r>
      <w:r>
        <w:t xml:space="preserve"> </w:t>
      </w:r>
      <w:r>
        <w:t xml:space="preserve">desnutrición crónica, permitiendo priorizar a quién atender primero cuando el presupuesto no alcanza</w:t>
      </w:r>
      <w:r>
        <w:t xml:space="preserve"> </w:t>
      </w:r>
      <w:r>
        <w:t xml:space="preserve">para cubrir a toda la población.</w:t>
      </w:r>
    </w:p>
    <w:p>
      <w:pPr>
        <w:pStyle w:val="BodyText"/>
      </w:pPr>
      <w:r>
        <w:rPr>
          <w:b/>
          <w:bCs/>
        </w:rPr>
        <w:t xml:space="preserve">Qué datos necesita y cuáles no.</w:t>
      </w:r>
      <w:r>
        <w:t xml:space="preserve"> </w:t>
      </w:r>
      <w:r>
        <w:t xml:space="preserve">El modelo</w:t>
      </w:r>
      <w:r>
        <w:t xml:space="preserve"> </w:t>
      </w:r>
      <w:r>
        <w:rPr>
          <w:b/>
          <w:bCs/>
        </w:rPr>
        <w:t xml:space="preserve">no utiliza el peso ni la talla actuales del niño</w:t>
      </w:r>
      <w:r>
        <w:t xml:space="preserve">: esas</w:t>
      </w:r>
      <w:r>
        <w:t xml:space="preserve"> </w:t>
      </w:r>
      <w:r>
        <w:t xml:space="preserve">dos mediciones definen el diagnóstico, de modo que incluirlas convertiría la predicción en una</w:t>
      </w:r>
      <w:r>
        <w:t xml:space="preserve"> </w:t>
      </w:r>
      <w:r>
        <w:t xml:space="preserve">tautología. Sí emplea el</w:t>
      </w:r>
      <w:r>
        <w:t xml:space="preserve"> </w:t>
      </w:r>
      <w:r>
        <w:rPr>
          <w:b/>
          <w:bCs/>
        </w:rPr>
        <w:t xml:space="preserve">peso y el tamaño al nacer</w:t>
      </w:r>
      <w:r>
        <w:t xml:space="preserve">, que son antecedentes recogidos por entrevista o</w:t>
      </w:r>
      <w:r>
        <w:t xml:space="preserve"> </w:t>
      </w:r>
      <w:r>
        <w:t xml:space="preserve">disponibles en el carné de control.</w:t>
      </w:r>
    </w:p>
    <w:p>
      <w:pPr>
        <w:pStyle w:val="BodyText"/>
      </w:pPr>
      <w:r>
        <w:t xml:space="preserve">La única variable que exige un procedimiento de laboratorio es la</w:t>
      </w:r>
      <w:r>
        <w:t xml:space="preserve"> </w:t>
      </w:r>
      <w:r>
        <w:rPr>
          <w:b/>
          <w:bCs/>
        </w:rPr>
        <w:t xml:space="preserve">hemoglobina ajustada por altitud</w:t>
      </w:r>
      <w:r>
        <w:t xml:space="preserve">,</w:t>
      </w:r>
      <w:r>
        <w:t xml:space="preserve"> </w:t>
      </w:r>
      <w:r>
        <w:t xml:space="preserve">habitualmente disponible en el tamizaje de anemia de los controles CRED. El resto son respuestas de</w:t>
      </w:r>
      <w:r>
        <w:t xml:space="preserve"> </w:t>
      </w:r>
      <w:r>
        <w:t xml:space="preserve">encuesta sobre el hogar, la vivienda y la historia materna. En consecuencia, el sistema opera sobre</w:t>
      </w:r>
      <w:r>
        <w:t xml:space="preserve"> </w:t>
      </w:r>
      <w:r>
        <w:t xml:space="preserve">información que en su mayor parte puede obtenerse sin medir al niño, pero no es un instrumento</w:t>
      </w:r>
      <w:r>
        <w:t xml:space="preserve"> </w:t>
      </w:r>
      <w:r>
        <w:t xml:space="preserve">enteramente ajeno al registro clínico previo.</w:t>
      </w:r>
    </w:p>
    <w:p>
      <w:pPr>
        <w:pStyle w:val="BodyText"/>
      </w:pPr>
      <w:r>
        <w:rPr>
          <w:b/>
          <w:bCs/>
        </w:rPr>
        <w:t xml:space="preserve">Pregunta de investigación:</w:t>
      </w:r>
      <w:r>
        <w:t xml:space="preserve"> </w:t>
      </w:r>
      <w:r>
        <w:t xml:space="preserve">¿Puede un modelo de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identificar, a partir del perfil</w:t>
      </w:r>
      <w:r>
        <w:t xml:space="preserve"> </w:t>
      </w:r>
      <w:r>
        <w:t xml:space="preserve">sociodemográfico del hogar y la historia materna, qué niños tienen mayor riesgo de desnutrición crónica</w:t>
      </w:r>
      <w:r>
        <w:t xml:space="preserve"> </w:t>
      </w:r>
      <w:r>
        <w:t xml:space="preserve">sin recurrir a la medición antropométrica que define el diagnóstico?</w:t>
      </w:r>
    </w:p>
    <w:p>
      <w:r>
        <w:pict>
          <v:rect style="width:0;height:1.5pt" o:hralign="center" o:hrstd="t" o:hr="t"/>
        </w:pict>
      </w:r>
    </w:p>
    <w:bookmarkEnd w:id="9"/>
    <w:bookmarkStart w:id="11" w:name="método"/>
    <w:p>
      <w:pPr>
        <w:pStyle w:val="Heading2"/>
      </w:pPr>
      <w:r>
        <w:t xml:space="preserve">2. Método</w:t>
      </w:r>
    </w:p>
    <w:p>
      <w:pPr>
        <w:pStyle w:val="FirstParagraph"/>
      </w:pPr>
      <w:r>
        <w:t xml:space="preserve">Se siguió</w:t>
      </w:r>
      <w:r>
        <w:t xml:space="preserve"> </w:t>
      </w:r>
      <w:r>
        <w:rPr>
          <w:b/>
          <w:bCs/>
        </w:rPr>
        <w:t xml:space="preserve">CRISP-DM</w:t>
      </w:r>
      <w:r>
        <w:t xml:space="preserve"> </w:t>
      </w:r>
      <w:r>
        <w:t xml:space="preserve">(</w:t>
      </w:r>
      <w:r>
        <w:rPr>
          <w:i/>
          <w:iCs/>
        </w:rPr>
        <w:t xml:space="preserve">Cross-Industry Standard Process for Data Mining</w:t>
      </w:r>
      <w:r>
        <w:t xml:space="preserve">), estándar de la industria</w:t>
      </w:r>
      <w:r>
        <w:t xml:space="preserve"> </w:t>
      </w:r>
      <w:r>
        <w:t xml:space="preserve">para proyectos de ciencia de datos, organizado en seis fases: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F1["&lt;b&gt;1. Comprensión del negocio&lt;/b&gt;&lt;br/&gt;Focalización de recursos&lt;br/&gt;en salud pública"]</w:t>
      </w:r>
      <w:r>
        <w:br/>
      </w:r>
      <w:r>
        <w:rPr>
          <w:rStyle w:val="VerbatimChar"/>
        </w:rPr>
        <w:t xml:space="preserve">  F2["&lt;b&gt;2. Comprensión de los datos&lt;/b&gt;&lt;br/&gt;Auditoría de 19 años&lt;br/&gt;de ENDES"]</w:t>
      </w:r>
      <w:r>
        <w:br/>
      </w:r>
      <w:r>
        <w:rPr>
          <w:rStyle w:val="VerbatimChar"/>
        </w:rPr>
        <w:t xml:space="preserve">  F3["&lt;b&gt;3. Preparación de los datos&lt;/b&gt;&lt;br/&gt;Integración, limpieza y&lt;br/&gt;selección de variables"]</w:t>
      </w:r>
      <w:r>
        <w:br/>
      </w:r>
      <w:r>
        <w:rPr>
          <w:rStyle w:val="VerbatimChar"/>
        </w:rPr>
        <w:t xml:space="preserve">  F4["&lt;b&gt;4. Modelado&lt;/b&gt;&lt;br/&gt;Seis algoritmos&lt;br/&gt;comparados"]</w:t>
      </w:r>
      <w:r>
        <w:br/>
      </w:r>
      <w:r>
        <w:rPr>
          <w:rStyle w:val="VerbatimChar"/>
        </w:rPr>
        <w:t xml:space="preserve">  F5["&lt;b&gt;5. Evaluación&lt;/b&gt;&lt;br/&gt;Desempeño y&lt;br/&gt;explicabilidad"]</w:t>
      </w:r>
      <w:r>
        <w:br/>
      </w:r>
      <w:r>
        <w:rPr>
          <w:rStyle w:val="VerbatimChar"/>
        </w:rPr>
        <w:t xml:space="preserve">  F6["&lt;b&gt;6. Despliegue&lt;/b&gt;&lt;br/&gt;Aplicativo web&lt;br/&gt;de consulta"]</w:t>
      </w:r>
      <w:r>
        <w:br/>
      </w:r>
      <w:r>
        <w:br/>
      </w:r>
      <w:r>
        <w:rPr>
          <w:rStyle w:val="VerbatimChar"/>
        </w:rPr>
        <w:t xml:space="preserve">  F1 --&gt; F2 --&gt; F3 --&gt; F4 --&gt; F5 --&gt; F6</w:t>
      </w:r>
      <w:r>
        <w:br/>
      </w:r>
      <w:r>
        <w:br/>
      </w:r>
      <w:r>
        <w:rPr>
          <w:rStyle w:val="VerbatimChar"/>
        </w:rPr>
        <w:t xml:space="preserve">  F2 -. "los datos obligan a replantear el objetivo" .-&gt; F1</w:t>
      </w:r>
      <w:r>
        <w:br/>
      </w:r>
      <w:r>
        <w:rPr>
          <w:rStyle w:val="VerbatimChar"/>
        </w:rPr>
        <w:t xml:space="preserve">  F4 -. "faltan variables o requieren otro formato" .-&gt; F3</w:t>
      </w:r>
      <w:r>
        <w:br/>
      </w:r>
      <w:r>
        <w:rPr>
          <w:rStyle w:val="VerbatimChar"/>
        </w:rPr>
        <w:t xml:space="preserve">  F5 -. "el desempeño no alcanza la meta" .-&gt; F4</w:t>
      </w:r>
      <w:r>
        <w:br/>
      </w:r>
      <w:r>
        <w:rPr>
          <w:rStyle w:val="VerbatimChar"/>
        </w:rPr>
        <w:t xml:space="preserve">  F5 -. "no responde a la necesidad" .-&gt; F1</w:t>
      </w:r>
      <w:r>
        <w:br/>
      </w:r>
      <w:r>
        <w:rPr>
          <w:rStyle w:val="VerbatimChar"/>
        </w:rPr>
        <w:t xml:space="preserve">  F6 -. "el uso real revela nuevas necesidades" .-&gt; F1</w:t>
      </w:r>
      <w:r>
        <w:br/>
      </w:r>
      <w:r>
        <w:br/>
      </w:r>
      <w:r>
        <w:rPr>
          <w:rStyle w:val="VerbatimChar"/>
        </w:rPr>
        <w:t xml:space="preserve">  classDef fase fill:#eef3f9,stroke:#003366,stroke-width:1.5px,color:#1a2530</w:t>
      </w:r>
      <w:r>
        <w:br/>
      </w:r>
      <w:r>
        <w:rPr>
          <w:rStyle w:val="VerbatimChar"/>
        </w:rPr>
        <w:t xml:space="preserve">  class F1,F2,F3,F4,F5,F6 fase</w:t>
      </w:r>
    </w:p>
    <w:p>
      <w:pPr>
        <w:pStyle w:val="FirstParagraph"/>
      </w:pPr>
      <w:r>
        <w:t xml:space="preserve">Las flechas continuas marcan el avance y las punteadas los</w:t>
      </w:r>
      <w:r>
        <w:t xml:space="preserve"> </w:t>
      </w:r>
      <w:r>
        <w:rPr>
          <w:b/>
          <w:bCs/>
        </w:rPr>
        <w:t xml:space="preserve">retornos</w:t>
      </w:r>
      <w:r>
        <w:t xml:space="preserve">: el proceso no es lineal, y</w:t>
      </w:r>
      <w:r>
        <w:t xml:space="preserve"> </w:t>
      </w:r>
      <w:r>
        <w:t xml:space="preserve">cada fase puede obligar a rehacer una anterior. Los dos retornos que más pesaron en este proyecto</w:t>
      </w:r>
      <w:r>
        <w:t xml:space="preserve"> </w:t>
      </w:r>
      <w:r>
        <w:t xml:space="preserve">fueron el de modelado a preparación —al detectar variables que exigían otra codificación— y el de</w:t>
      </w:r>
      <w:r>
        <w:t xml:space="preserve"> </w:t>
      </w:r>
      <w:r>
        <w:t xml:space="preserve">evaluación a modelado, al calibrar el umbral de decisión para alcanzar la sensibilidad requerida.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ENDES — INEI (Encuesta Demográfica y de Salud Familiar), datos públicos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Periodo</w:t>
            </w:r>
          </w:p>
        </w:tc>
        <w:tc>
          <w:tcPr/>
          <w:p>
            <w:pPr>
              <w:pStyle w:val="Compact"/>
            </w:pPr>
            <w:r>
              <w:t xml:space="preserve">2007 – 2025 (19 años)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Muestra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304,271 niños</w:t>
            </w:r>
            <w:r>
              <w:t xml:space="preserve"> </w:t>
            </w:r>
            <w:r>
              <w:t xml:space="preserve">menores de 5 años con antropometría válida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objetivo</w:t>
            </w:r>
          </w:p>
        </w:tc>
        <w:tc>
          <w:tcPr/>
          <w:p>
            <w:pPr>
              <w:pStyle w:val="Compact"/>
            </w:pPr>
            <w:r>
              <w:t xml:space="preserve">Desnutrición crónica: Z-score Talla/Edad (</w:t>
            </w:r>
            <w:r>
              <w:rPr>
                <w:rStyle w:val="VerbatimChar"/>
              </w:rPr>
              <w:t xml:space="preserve">HC70</w:t>
            </w:r>
            <w:r>
              <w:t xml:space="preserve">) &lt; −2 DE, estándar OMS / KPI 4 del INEI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Prevalencia</w:t>
            </w:r>
          </w:p>
        </w:tc>
        <w:tc>
          <w:tcPr/>
          <w:p>
            <w:pPr>
              <w:pStyle w:val="Compact"/>
            </w:pPr>
            <w:r>
              <w:t xml:space="preserve">15.8%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 de problema</w:t>
            </w:r>
          </w:p>
        </w:tc>
        <w:tc>
          <w:tcPr/>
          <w:p>
            <w:pPr>
              <w:pStyle w:val="Compact"/>
            </w:pPr>
            <w:r>
              <w:t xml:space="preserve">Clasificación binaria supervisada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</w:t>
            </w:r>
          </w:p>
        </w:tc>
        <w:tc>
          <w:tcPr/>
          <w:p>
            <w:pPr>
              <w:pStyle w:val="Compact"/>
            </w:pPr>
            <w:r>
              <w:t xml:space="preserve">Validación cruzada estratificada 5-</w:t>
            </w:r>
            <w:r>
              <w:rPr>
                <w:i/>
                <w:iCs/>
              </w:rPr>
              <w:t xml:space="preserve">fold</w:t>
            </w:r>
            <w:r>
              <w:t xml:space="preserve"> </w:t>
            </w:r>
            <w:r>
              <w:t xml:space="preserve">con ponderación muestral del INEI (</w:t>
            </w:r>
            <w:r>
              <w:rPr>
                <w:rStyle w:val="VerbatimChar"/>
              </w:rPr>
              <w:t xml:space="preserve">HV005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Decisión metodológica central:</w:t>
      </w:r>
      <w:r>
        <w:t xml:space="preserve"> </w:t>
      </w:r>
      <w:r>
        <w:t xml:space="preserve">se</w:t>
      </w:r>
      <w:r>
        <w:t xml:space="preserve"> </w:t>
      </w:r>
      <w:r>
        <w:rPr>
          <w:b/>
          <w:bCs/>
        </w:rPr>
        <w:t xml:space="preserve">excluyeron deliberadamente el peso y la talla directos del</w:t>
      </w:r>
      <w:r>
        <w:rPr>
          <w:b/>
          <w:bCs/>
        </w:rPr>
        <w:t xml:space="preserve"> </w:t>
      </w:r>
      <w:r>
        <w:rPr>
          <w:b/>
          <w:bCs/>
        </w:rPr>
        <w:t xml:space="preserve">niño</w:t>
      </w:r>
      <w:r>
        <w:t xml:space="preserve"> </w:t>
      </w:r>
      <w:r>
        <w:t xml:space="preserve">(</w:t>
      </w:r>
      <w:r>
        <w:rPr>
          <w:rStyle w:val="VerbatimChar"/>
        </w:rPr>
        <w:t xml:space="preserve">HC2</w:t>
      </w:r>
      <w:r>
        <w:t xml:space="preserve">,</w:t>
      </w:r>
      <w:r>
        <w:t xml:space="preserve"> </w:t>
      </w:r>
      <w:r>
        <w:rPr>
          <w:rStyle w:val="VerbatimChar"/>
        </w:rPr>
        <w:t xml:space="preserve">HC3</w:t>
      </w:r>
      <w:r>
        <w:t xml:space="preserve">) y los Z-scores derivados, siguiendo el criterio de prevención de fuga de</w:t>
      </w:r>
      <w:r>
        <w:t xml:space="preserve"> </w:t>
      </w:r>
      <w:r>
        <w:t xml:space="preserve">información (Kaufman et al., 2011). Si el modelo conociera la talla, el diagnóstico sería</w:t>
      </w:r>
      <w:r>
        <w:t xml:space="preserve"> </w:t>
      </w:r>
      <w:r>
        <w:t xml:space="preserve">trivial y no habría predicción. El modelo aprende únicamente de variables</w:t>
      </w:r>
      <w:r>
        <w:t xml:space="preserve"> </w:t>
      </w:r>
      <w:r>
        <w:rPr>
          <w:i/>
          <w:iCs/>
        </w:rPr>
        <w:t xml:space="preserve">no obvias</w:t>
      </w:r>
      <w:r>
        <w:t xml:space="preserve"> </w:t>
      </w:r>
      <w:r>
        <w:t xml:space="preserve">—condiciones del</w:t>
      </w:r>
      <w:r>
        <w:t xml:space="preserve"> </w:t>
      </w:r>
      <w:r>
        <w:t xml:space="preserve">hogar, historia materna y entorno— que la encuesta puede recoger sin medir al niño.</w:t>
      </w:r>
    </w:p>
    <w:bookmarkStart w:id="10" w:name="resultados-actuales"/>
    <w:p>
      <w:pPr>
        <w:pStyle w:val="Heading3"/>
      </w:pPr>
      <w:r>
        <w:t xml:space="preserve">Resultados actuales</w:t>
      </w:r>
    </w:p>
    <w:p>
      <w:pPr>
        <w:pStyle w:val="FirstParagraph"/>
      </w:pPr>
      <w:r>
        <w:t xml:space="preserve">Entre seis algoritmos evaluados resultó campeón</w:t>
      </w:r>
      <w:r>
        <w:t xml:space="preserve"> </w:t>
      </w:r>
      <w:r>
        <w:rPr>
          <w:b/>
          <w:bCs/>
        </w:rPr>
        <w:t xml:space="preserve">LightGBM</w:t>
      </w:r>
      <w:r>
        <w:t xml:space="preserve">. La tabla traduce cada métrica a lo que</w:t>
      </w:r>
      <w:r>
        <w:t xml:space="preserve"> </w:t>
      </w:r>
      <w:r>
        <w:t xml:space="preserve">significa en la práctica: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(IC 95%)</w:t>
            </w:r>
          </w:p>
        </w:tc>
        <w:tc>
          <w:tcPr/>
          <w:p>
            <w:pPr>
              <w:pStyle w:val="Compact"/>
            </w:pPr>
            <w:r>
              <w:t xml:space="preserve">Qué significa en la práctica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Capacidad de discriminación (AUC-ROC)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0.829</w:t>
            </w:r>
            <w:r>
              <w:t xml:space="preserve"> </w:t>
            </w:r>
            <w:r>
              <w:t xml:space="preserve">(0.827 – 0.832)</w:t>
            </w:r>
          </w:p>
        </w:tc>
        <w:tc>
          <w:tcPr/>
          <w:p>
            <w:pPr>
              <w:pStyle w:val="Compact"/>
            </w:pPr>
            <w:r>
              <w:t xml:space="preserve">Tomados al azar un niño con desnutrición crónica y otro sin ella, el sistema asigna mayor riesgo al primero en</w:t>
            </w:r>
            <w:r>
              <w:t xml:space="preserve"> </w:t>
            </w:r>
            <w:r>
              <w:rPr>
                <w:b/>
                <w:bCs/>
              </w:rPr>
              <w:t xml:space="preserve">83 de cada 100 casos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Sensibilidad o cobertura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76.4%</w:t>
            </w:r>
            <w:r>
              <w:t xml:space="preserve"> </w:t>
            </w:r>
            <w:r>
              <w:t xml:space="preserve">(75.9% – 77.0%)</w:t>
            </w:r>
          </w:p>
        </w:tc>
        <w:tc>
          <w:tcPr/>
          <w:p>
            <w:pPr>
              <w:pStyle w:val="Compact"/>
            </w:pPr>
            <w:r>
              <w:t xml:space="preserve">De cada 100 niños que sí tienen desnutrición crónica, el sistema señala a</w:t>
            </w:r>
            <w:r>
              <w:t xml:space="preserve"> </w:t>
            </w:r>
            <w:r>
              <w:rPr>
                <w:b/>
                <w:bCs/>
              </w:rPr>
              <w:t xml:space="preserve">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Casos no detectados</w:t>
            </w:r>
          </w:p>
        </w:tc>
        <w:tc>
          <w:tcPr/>
          <w:p>
            <w:pPr>
              <w:pStyle w:val="Compact"/>
            </w:pPr>
            <w:r>
              <w:t xml:space="preserve">23.6%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 de cada 100</w:t>
            </w:r>
            <w:r>
              <w:t xml:space="preserve"> </w:t>
            </w:r>
            <w:r>
              <w:t xml:space="preserve">niños afectados pasarían inadvertidos con el umbral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Precisión de la alerta</w:t>
            </w:r>
          </w:p>
        </w:tc>
        <w:tc>
          <w:tcPr/>
          <w:p>
            <w:pPr>
              <w:pStyle w:val="Compact"/>
            </w:pPr>
            <w:r>
              <w:t xml:space="preserve">36.4%</w:t>
            </w:r>
          </w:p>
        </w:tc>
        <w:tc>
          <w:tcPr/>
          <w:p>
            <w:pPr>
              <w:pStyle w:val="Compact"/>
            </w:pPr>
            <w:r>
              <w:t xml:space="preserve">De cada 100 niños señalados como riesgo,</w:t>
            </w:r>
            <w:r>
              <w:t xml:space="preserve"> </w:t>
            </w:r>
            <w:r>
              <w:rPr>
                <w:b/>
                <w:bCs/>
              </w:rPr>
              <w:t xml:space="preserve">36 lo confirman</w:t>
            </w:r>
            <w:r>
              <w:t xml:space="preserve">; los demás requieren verificación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Sobre el margen de error.</w:t>
      </w:r>
      <w:r>
        <w:t xml:space="preserve"> </w:t>
      </w:r>
      <w:r>
        <w:t xml:space="preserve">Los intervalos de confianza se estimaron con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de 1,000</w:t>
      </w:r>
      <w:r>
        <w:t xml:space="preserve"> </w:t>
      </w:r>
      <w:r>
        <w:t xml:space="preserve">remuestreos. Su amplitud es inferior a medio punto porcentual, lo que indica que las cifras no dependen</w:t>
      </w:r>
      <w:r>
        <w:t xml:space="preserve"> </w:t>
      </w:r>
      <w:r>
        <w:t xml:space="preserve">de qué subconjunto de niños se use para evaluar: el desempeño es estable.</w:t>
      </w:r>
    </w:p>
    <w:p>
      <w:pPr>
        <w:pStyle w:val="BodyText"/>
      </w:pPr>
      <w:r>
        <w:rPr>
          <w:b/>
          <w:bCs/>
        </w:rPr>
        <w:t xml:space="preserve">Sobre el equilibrio entre cobertura y precisión.</w:t>
      </w:r>
      <w:r>
        <w:t xml:space="preserve"> </w:t>
      </w:r>
      <w:r>
        <w:t xml:space="preserve">El punto de corte es ajustable y los dos valores se</w:t>
      </w:r>
      <w:r>
        <w:t xml:space="preserve"> </w:t>
      </w:r>
      <w:r>
        <w:t xml:space="preserve">mueven en direcciones opuestas. Elevando la cobertura al 80% el sistema detecta más casos reales, pero</w:t>
      </w:r>
      <w:r>
        <w:t xml:space="preserve"> </w:t>
      </w:r>
      <w:r>
        <w:t xml:space="preserve">también emite más alertas que luego no se confirman. La decisión se tomó deliberadamente a favor de la</w:t>
      </w:r>
      <w:r>
        <w:t xml:space="preserve"> </w:t>
      </w:r>
      <w:r>
        <w:t xml:space="preserve">cobertura: en un esquema de priorización, dejar sin detectar a un niño con desnutrición es más costoso</w:t>
      </w:r>
      <w:r>
        <w:t xml:space="preserve"> </w:t>
      </w:r>
      <w:r>
        <w:t xml:space="preserve">que una visita de verificación innecesaria.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7" w:name="variables-que-intervienen-45"/>
    <w:p>
      <w:pPr>
        <w:pStyle w:val="Heading2"/>
      </w:pPr>
      <w:r>
        <w:t xml:space="preserve">3. Variables que intervienen (45)</w:t>
      </w:r>
    </w:p>
    <w:p>
      <w:pPr>
        <w:pStyle w:val="FirstParagraph"/>
      </w:pPr>
      <w:r>
        <w:t xml:space="preserve">Esta tabla define</w:t>
      </w:r>
      <w:r>
        <w:t xml:space="preserve"> </w:t>
      </w:r>
      <w:r>
        <w:rPr>
          <w:b/>
          <w:bCs/>
        </w:rPr>
        <w:t xml:space="preserve">cómo debe venir codificada cada variable</w:t>
      </w:r>
      <w:r>
        <w:t xml:space="preserve"> </w:t>
      </w:r>
      <w:r>
        <w:t xml:space="preserve">en un conjunto de datos externo. El</w:t>
      </w:r>
      <w:r>
        <w:t xml:space="preserve"> </w:t>
      </w:r>
      <w:r>
        <w:t xml:space="preserve">modelo compara valores de forma literal: una categoría escrita de otra manera (</w:t>
      </w:r>
      <w:r>
        <w:rPr>
          <w:rStyle w:val="VerbatimChar"/>
        </w:rPr>
        <w:t xml:space="preserve">"URBANO"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"Urbano"</w:t>
      </w:r>
      <w:r>
        <w:t xml:space="preserve">, o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0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"Si"</w:t>
      </w:r>
      <w:r>
        <w:t xml:space="preserve">/</w:t>
      </w:r>
      <w:r>
        <w:rPr>
          <w:rStyle w:val="VerbatimChar"/>
        </w:rPr>
        <w:t xml:space="preserve">"No"</w:t>
      </w:r>
      <w:r>
        <w:t xml:space="preserve">) no produce un error visible, sino una predicción</w:t>
      </w:r>
      <w:r>
        <w:t xml:space="preserve"> </w:t>
      </w:r>
      <w:r>
        <w:t xml:space="preserve">degradada en silencio. Por eso el formato importa tanto como la variable misma.</w:t>
      </w:r>
    </w:p>
    <w:p>
      <w:pPr>
        <w:pStyle w:val="BodyText"/>
      </w:pPr>
      <w:r>
        <w:rPr>
          <w:b/>
          <w:bCs/>
        </w:rPr>
        <w:t xml:space="preserve">Convenciones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Categórica nominal</w:t>
      </w:r>
      <w:r>
        <w:t xml:space="preserve">: texto, exactamente uno de los valores listados. No hay orden entre ellos.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Categórica ordinal</w:t>
      </w:r>
      <w:r>
        <w:t xml:space="preserve">: texto, con orden implícito (de mayor a menor, según se lista).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Binaria</w:t>
      </w:r>
      <w:r>
        <w:t xml:space="preserve">: texto,</w:t>
      </w:r>
      <w:r>
        <w:t xml:space="preserve"> </w:t>
      </w:r>
      <w:r>
        <w:rPr>
          <w:rStyle w:val="VerbatimChar"/>
        </w:rPr>
        <w:t xml:space="preserve">Sí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No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Numérica</w:t>
      </w:r>
      <w:r>
        <w:t xml:space="preserve">: magnitud real, en la unidad indicada. Aquí el número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representa una cantidad.</w:t>
      </w:r>
    </w:p>
    <w:p>
      <w:pPr>
        <w:pStyle w:val="Compact"/>
        <w:numPr>
          <w:ilvl w:val="0"/>
          <w:numId w:val="1001"/>
        </w:numPr>
      </w:pPr>
      <w:r>
        <w:t xml:space="preserve">Un campo ausente debe dejarse</w:t>
      </w:r>
      <w:r>
        <w:t xml:space="preserve"> </w:t>
      </w:r>
      <w:r>
        <w:rPr>
          <w:b/>
          <w:bCs/>
        </w:rPr>
        <w:t xml:space="preserve">vacío</w:t>
      </w:r>
      <w:r>
        <w:t xml:space="preserve">, nunca rellenarse con 0, 999 o</w:t>
      </w:r>
      <w:r>
        <w:t xml:space="preserve"> </w:t>
      </w:r>
      <w:r>
        <w:t xml:space="preserve">“NA”</w:t>
      </w:r>
      <w:r>
        <w:t xml:space="preserve">: el modelo maneja</w:t>
      </w:r>
      <w:r>
        <w:t xml:space="preserve"> </w:t>
      </w:r>
      <w:r>
        <w:t xml:space="preserve">valores faltantes de forma nativa y cada variable tolera el porcentaje de vacíos que se indica.</w:t>
      </w:r>
    </w:p>
    <w:p>
      <w:pPr>
        <w:pStyle w:val="FirstParagraph"/>
      </w:pPr>
      <w:r>
        <w:t xml:space="preserve">Las categorías se entregan</w:t>
      </w:r>
      <w:r>
        <w:t xml:space="preserve"> </w:t>
      </w:r>
      <w:r>
        <w:rPr>
          <w:b/>
          <w:bCs/>
        </w:rPr>
        <w:t xml:space="preserve">en texto, no en código numérico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de una variable nominal no es</w:t>
      </w:r>
      <w:r>
        <w:t xml:space="preserve"> </w:t>
      </w:r>
      <w:r>
        <w:t xml:space="preserve">una cantidad sino una etiqueta arbitraria, y su significado cambia entre ediciones de la encuesta: es</w:t>
      </w:r>
      <w:r>
        <w:t xml:space="preserve"> </w:t>
      </w:r>
      <w:r>
        <w:t xml:space="preserve">preferible escribir</w:t>
      </w:r>
      <w:r>
        <w:t xml:space="preserve"> </w:t>
      </w:r>
      <w:r>
        <w:rPr>
          <w:rStyle w:val="VerbatimChar"/>
        </w:rPr>
        <w:t xml:space="preserve">Electricidad</w:t>
      </w:r>
      <w:r>
        <w:t xml:space="preserve"> </w:t>
      </w:r>
      <w:r>
        <w:t xml:space="preserve">antes que</w:t>
      </w:r>
      <w:r>
        <w:t xml:space="preserve"> </w:t>
      </w:r>
      <w:r>
        <w:rPr>
          <w:rStyle w:val="VerbatimChar"/>
        </w:rPr>
        <w:t xml:space="preserve">1</w:t>
      </w:r>
      <w:r>
        <w:t xml:space="preserve">. Si el sistema de origen almacena códigos, basta con</w:t>
      </w:r>
      <w:r>
        <w:t xml:space="preserve"> </w:t>
      </w:r>
      <w:r>
        <w:t xml:space="preserve">adjuntar su diccionario de valores.</w:t>
      </w:r>
    </w:p>
    <w:bookmarkStart w:id="12" w:name="niño"/>
    <w:p>
      <w:pPr>
        <w:pStyle w:val="Heading3"/>
      </w:pPr>
      <w:r>
        <w:t xml:space="preserve">Niño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59</w:t>
            </w:r>
          </w:p>
        </w:tc>
        <w:tc>
          <w:tcPr/>
          <w:p>
            <w:pPr>
              <w:pStyle w:val="Compact"/>
            </w:pPr>
            <w:r>
              <w:t xml:space="preserve">meses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HC27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Hombre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Mujer</w:t>
            </w:r>
          </w:p>
        </w:tc>
        <w:tc>
          <w:tcPr/>
          <w:p>
            <w:pPr>
              <w:pStyle w:val="Compact"/>
            </w:pPr>
            <w:r>
              <w:t xml:space="preserve">sexo del niño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HC56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4 – 20 (hemoglobina ajustada)</w:t>
            </w:r>
          </w:p>
        </w:tc>
        <w:tc>
          <w:tcPr/>
          <w:p>
            <w:pPr>
              <w:pStyle w:val="Compact"/>
            </w:pPr>
            <w:r>
              <w:t xml:space="preserve">g/dL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HC63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7 – 388</w:t>
            </w:r>
          </w:p>
        </w:tc>
        <w:tc>
          <w:tcPr/>
          <w:p>
            <w:pPr>
              <w:pStyle w:val="Compact"/>
            </w:pPr>
            <w:r>
              <w:t xml:space="preserve">meses desde el parto anterior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36.3</w:t>
            </w:r>
          </w:p>
        </w:tc>
      </w:tr>
    </w:tbl>
    <w:bookmarkEnd w:id="12"/>
    <w:bookmarkStart w:id="13" w:name="salud-materna-embarazo-y-lactancia"/>
    <w:p>
      <w:pPr>
        <w:pStyle w:val="Heading3"/>
      </w:pPr>
      <w:r>
        <w:t xml:space="preserve">Salud materna, embarazo y lactancia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9</w:t>
            </w:r>
          </w:p>
        </w:tc>
        <w:tc>
          <w:tcPr/>
          <w:p>
            <w:pPr>
              <w:pStyle w:val="Compact"/>
            </w:pPr>
            <w:r>
              <w:t xml:space="preserve">mes de gestación del 1.er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20</w:t>
            </w:r>
          </w:p>
        </w:tc>
        <w:tc>
          <w:tcPr/>
          <w:p>
            <w:pPr>
              <w:pStyle w:val="Compact"/>
            </w:pPr>
            <w:r>
              <w:t xml:space="preserve">número de visitas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Institucional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Domiciliario</w:t>
            </w:r>
          </w:p>
        </w:tc>
        <w:tc>
          <w:tcPr/>
          <w:p>
            <w:pPr>
              <w:pStyle w:val="Compact"/>
            </w:pPr>
            <w:r>
              <w:t xml:space="preserve">lugar del parto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¿el parto fue por cesárea?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Categórica ordinal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Muy grande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Grande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Mediano (normal)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Pequeño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Muy pequeño</w:t>
            </w:r>
          </w:p>
        </w:tc>
        <w:tc>
          <w:tcPr/>
          <w:p>
            <w:pPr>
              <w:pStyle w:val="Compact"/>
            </w:pPr>
            <w:r>
              <w:t xml:space="preserve">tamaño percibido al nacer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0.5 – 6.0</w:t>
            </w:r>
          </w:p>
        </w:tc>
        <w:tc>
          <w:tcPr/>
          <w:p>
            <w:pPr>
              <w:pStyle w:val="Compact"/>
            </w:pPr>
            <w:r>
              <w:t xml:space="preserve">kilogramos (decimal)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59</w:t>
            </w:r>
          </w:p>
        </w:tc>
        <w:tc>
          <w:tcPr/>
          <w:p>
            <w:pPr>
              <w:pStyle w:val="Compact"/>
            </w:pPr>
            <w:r>
              <w:t xml:space="preserve">meses de lactancia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m34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2352</w:t>
            </w:r>
          </w:p>
        </w:tc>
        <w:tc>
          <w:tcPr/>
          <w:p>
            <w:pPr>
              <w:pStyle w:val="Compact"/>
            </w:pPr>
            <w:r>
              <w:t xml:space="preserve">horas hasta iniciar lactancia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364</w:t>
            </w:r>
          </w:p>
        </w:tc>
        <w:tc>
          <w:tcPr/>
          <w:p>
            <w:pPr>
              <w:pStyle w:val="Compact"/>
            </w:pPr>
            <w:r>
              <w:t xml:space="preserve">días que tomó hierro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M54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vitamina A en los 2 meses post parto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M55G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fórmula en los 3 primeros días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M60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antiparasitarios durante el embarazo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HC62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9</w:t>
            </w:r>
          </w:p>
        </w:tc>
        <w:tc>
          <w:tcPr/>
          <w:p>
            <w:pPr>
              <w:pStyle w:val="Compact"/>
            </w:pPr>
            <w:r>
              <w:t xml:space="preserve">años de educación aprobados por la madre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</w:tbl>
    <w:bookmarkEnd w:id="13"/>
    <w:bookmarkStart w:id="14" w:name="hogar-y-nivel-socioeconómico"/>
    <w:p>
      <w:pPr>
        <w:pStyle w:val="Heading3"/>
      </w:pPr>
      <w:r>
        <w:t xml:space="preserve">Hogar y nivel socioeconómico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HV271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−2.2 a 2.2 (aprox.)</w:t>
            </w:r>
          </w:p>
        </w:tc>
        <w:tc>
          <w:tcPr/>
          <w:p>
            <w:pPr>
              <w:pStyle w:val="Compact"/>
            </w:pPr>
            <w:r>
              <w:t xml:space="preserve">índice de riqueza del hogar, en desviaciones respecto a la media nacional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HV012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25</w:t>
            </w:r>
          </w:p>
        </w:tc>
        <w:tc>
          <w:tcPr/>
          <w:p>
            <w:pPr>
              <w:pStyle w:val="Compact"/>
            </w:pPr>
            <w:r>
              <w:t xml:space="preserve">personas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10</w:t>
            </w:r>
          </w:p>
        </w:tc>
        <w:tc>
          <w:tcPr/>
          <w:p>
            <w:pPr>
              <w:pStyle w:val="Compact"/>
            </w:pPr>
            <w:r>
              <w:t xml:space="preserve">niños menores de 5 años en 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HV219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Masculino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Femenino</w:t>
            </w:r>
          </w:p>
        </w:tc>
        <w:tc>
          <w:tcPr/>
          <w:p>
            <w:pPr>
              <w:pStyle w:val="Compact"/>
            </w:pPr>
            <w:r>
              <w:t xml:space="preserve">sexo del jefe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HV220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12 – 97</w:t>
            </w:r>
          </w:p>
        </w:tc>
        <w:tc>
          <w:tcPr/>
          <w:p>
            <w:pPr>
              <w:pStyle w:val="Compact"/>
            </w:pPr>
            <w:r>
              <w:t xml:space="preserve">años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HV102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residente habitual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HV025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Urbano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Rural</w:t>
            </w:r>
          </w:p>
        </w:tc>
        <w:tc>
          <w:tcPr/>
          <w:p>
            <w:pPr>
              <w:pStyle w:val="Compact"/>
            </w:pPr>
            <w:r>
              <w:t xml:space="preserve">área de residencia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bookmarkEnd w:id="14"/>
    <w:bookmarkStart w:id="15" w:name="agua-saneamiento-e-higiene-wash"/>
    <w:p>
      <w:pPr>
        <w:pStyle w:val="Heading3"/>
      </w:pPr>
      <w:r>
        <w:t xml:space="preserve">Agua, saneamiento e higiene (WASH)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HV204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600</w:t>
            </w:r>
          </w:p>
        </w:tc>
        <w:tc>
          <w:tcPr/>
          <w:p>
            <w:pPr>
              <w:pStyle w:val="Compact"/>
            </w:pPr>
            <w:r>
              <w:t xml:space="preserve">minutos hasta la fuente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HV225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¿comparte servicio higiénico?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0, 7, 15, 30</w:t>
            </w:r>
          </w:p>
        </w:tc>
        <w:tc>
          <w:tcPr/>
          <w:p>
            <w:pPr>
              <w:pStyle w:val="Compact"/>
            </w:pPr>
            <w:r>
              <w:t xml:space="preserve">yodo en sal (ppm por colorimetría)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¿trata el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HV237A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¿hierve el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HV237G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¿consume agua embotellada?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¿dispone de agua todo el día?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SH48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¿conserva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SH49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Olla, tetera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Balde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Jarra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Bidón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Otro</w:t>
            </w:r>
          </w:p>
        </w:tc>
        <w:tc>
          <w:tcPr/>
          <w:p>
            <w:pPr>
              <w:pStyle w:val="Compact"/>
            </w:pPr>
            <w:r>
              <w:t xml:space="preserve">recipiente donde conserva el agua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SH50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¿usa el recipiente con tapa?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</w:tr>
    </w:tbl>
    <w:bookmarkEnd w:id="15"/>
    <w:bookmarkStart w:id="16" w:name="vivienda-y-entorno"/>
    <w:p>
      <w:pPr>
        <w:pStyle w:val="Heading3"/>
      </w:pPr>
      <w:r>
        <w:t xml:space="preserve">Vivienda y entorno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HV040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5053</w:t>
            </w:r>
          </w:p>
        </w:tc>
        <w:tc>
          <w:tcPr/>
          <w:p>
            <w:pPr>
              <w:pStyle w:val="Compact"/>
            </w:pPr>
            <w:r>
              <w:t xml:space="preserve">metros sobre el nivel del 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14</w:t>
            </w:r>
          </w:p>
        </w:tc>
        <w:tc>
          <w:tcPr/>
          <w:p>
            <w:pPr>
              <w:pStyle w:val="Compact"/>
            </w:pPr>
            <w:r>
              <w:t xml:space="preserve">habitaciones para dormir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HV240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 chimenea ni campana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Tubo de lámpara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Capucha</w:t>
            </w:r>
          </w:p>
        </w:tc>
        <w:tc>
          <w:tcPr/>
          <w:p>
            <w:pPr>
              <w:pStyle w:val="Compact"/>
            </w:pPr>
            <w:r>
              <w:t xml:space="preserve">extracción de humo en la cocina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¿cuarto separado para cocinar?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SH63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¿usa otro combustible para cocinar?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SH70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Electricidad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Gas natural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Kerosene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Velas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Batería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Otro</w:t>
            </w:r>
          </w:p>
        </w:tc>
        <w:tc>
          <w:tcPr/>
          <w:p>
            <w:pPr>
              <w:pStyle w:val="Compact"/>
            </w:pPr>
            <w:r>
              <w:t xml:space="preserve">tipo de alumbrado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1 – 30</w:t>
            </w:r>
          </w:p>
        </w:tc>
        <w:tc>
          <w:tcPr/>
          <w:p>
            <w:pPr>
              <w:pStyle w:val="Compact"/>
            </w:pPr>
            <w:r>
              <w:t xml:space="preserve">habitaciones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SH76B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con cristal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SH76C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de madera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SH76D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con malla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SH77F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otro tipo de transporte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bookmarkEnd w:id="16"/>
    <w:bookmarkEnd w:id="17"/>
    <w:bookmarkStart w:id="21" w:name="variables-adicionales-deseables"/>
    <w:p>
      <w:pPr>
        <w:pStyle w:val="Heading2"/>
      </w:pPr>
      <w:r>
        <w:t xml:space="preserve">4. Variables adicionales deseables</w:t>
      </w:r>
    </w:p>
    <w:p>
      <w:pPr>
        <w:pStyle w:val="FirstParagraph"/>
      </w:pPr>
      <w:r>
        <w:t xml:space="preserve">Las 45 variables anteriores son las que el modelo</w:t>
      </w:r>
      <w:r>
        <w:t xml:space="preserve"> </w:t>
      </w:r>
      <w:r>
        <w:rPr>
          <w:b/>
          <w:bCs/>
        </w:rPr>
        <w:t xml:space="preserve">usa hoy</w:t>
      </w:r>
      <w:r>
        <w:t xml:space="preserve"> </w:t>
      </w:r>
      <w:r>
        <w:t xml:space="preserve">y constituyen el mínimo necesario para</w:t>
      </w:r>
      <w:r>
        <w:t xml:space="preserve"> </w:t>
      </w:r>
      <w:r>
        <w:t xml:space="preserve">contrastarlo. Las que siguen</w:t>
      </w:r>
      <w:r>
        <w:t xml:space="preserve"> </w:t>
      </w:r>
      <w:r>
        <w:rPr>
          <w:b/>
          <w:bCs/>
        </w:rPr>
        <w:t xml:space="preserve">no están en el modelo actual</w:t>
      </w:r>
      <w:r>
        <w:t xml:space="preserve"> </w:t>
      </w:r>
      <w:r>
        <w:t xml:space="preserve">y se solicitan porque la literatura</w:t>
      </w:r>
      <w:r>
        <w:t xml:space="preserve"> </w:t>
      </w:r>
      <w:r>
        <w:t xml:space="preserve">epidemiológica las identifica como determinantes de la desnutrición crónica que la ENDES no permite</w:t>
      </w:r>
      <w:r>
        <w:t xml:space="preserve"> </w:t>
      </w:r>
      <w:r>
        <w:t xml:space="preserve">cubrir con suficiente completitud.</w:t>
      </w:r>
    </w:p>
    <w:p>
      <w:pPr>
        <w:pStyle w:val="BodyText"/>
      </w:pPr>
      <w:r>
        <w:t xml:space="preserve">Su inclusión es</w:t>
      </w:r>
      <w:r>
        <w:t xml:space="preserve"> </w:t>
      </w:r>
      <w:r>
        <w:rPr>
          <w:b/>
          <w:bCs/>
        </w:rPr>
        <w:t xml:space="preserve">opcional</w:t>
      </w:r>
      <w:r>
        <w:t xml:space="preserve">: el sistema funciona sin ellas. Pero cada dimensión que el conjunto de</w:t>
      </w:r>
      <w:r>
        <w:t xml:space="preserve"> </w:t>
      </w:r>
      <w:r>
        <w:t xml:space="preserve">datos externo pueda aportar abre la posibilidad de una versión mejorada del modelo, y su ausencia es</w:t>
      </w:r>
      <w:r>
        <w:t xml:space="preserve"> </w:t>
      </w:r>
      <w:r>
        <w:t xml:space="preserve">hoy una limitación declarada del estudio.</w:t>
      </w:r>
    </w:p>
    <w:p>
      <w:pPr>
        <w:pStyle w:val="BodyText"/>
      </w:pPr>
      <w:r>
        <w:t xml:space="preserve">El marco de referencia es el</w:t>
      </w:r>
      <w:r>
        <w:t xml:space="preserve"> </w:t>
      </w:r>
      <w:r>
        <w:rPr>
          <w:b/>
          <w:bCs/>
        </w:rPr>
        <w:t xml:space="preserve">modelo conceptual de UNICEF</w:t>
      </w:r>
      <w:r>
        <w:t xml:space="preserve"> </w:t>
      </w:r>
      <w:r>
        <w:t xml:space="preserve">sobre desnutrición infantil, que ordena</w:t>
      </w:r>
      <w:r>
        <w:t xml:space="preserve"> </w:t>
      </w:r>
      <w:r>
        <w:t xml:space="preserve">las causas en tres niveles y que la serie de nutrición materno-infantil de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sistematiza</w:t>
      </w:r>
      <w:r>
        <w:t xml:space="preserve"> </w:t>
      </w:r>
      <w:r>
        <w:t xml:space="preserve">(Black et al., 2013; Victora et al., 2021). El modelo actual cubre bien los niveles básico y subyacente —pobreza,</w:t>
      </w:r>
      <w:r>
        <w:t xml:space="preserve"> </w:t>
      </w:r>
      <w:r>
        <w:t xml:space="preserve">educación, agua y saneamiento, vivienda— pero tiene un vacío en el</w:t>
      </w:r>
      <w:r>
        <w:t xml:space="preserve"> </w:t>
      </w:r>
      <w:r>
        <w:rPr>
          <w:b/>
          <w:bCs/>
        </w:rPr>
        <w:t xml:space="preserve">nivel inmediato</w:t>
      </w:r>
      <w:r>
        <w:t xml:space="preserve">, que es</w:t>
      </w:r>
      <w:r>
        <w:t xml:space="preserve"> </w:t>
      </w:r>
      <w:r>
        <w:t xml:space="preserve">precisamente donde actúa la intervención nutricional.</w:t>
      </w:r>
    </w:p>
    <w:bookmarkStart w:id="18" w:name="Xa28ccaee8b3810007f607d5dc6ef3df53e6a5a3"/>
    <w:p>
      <w:pPr>
        <w:pStyle w:val="Heading3"/>
      </w:pPr>
      <w:r>
        <w:t xml:space="preserve">Prioridad alta — nivel inmediato (el vacío principal)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Morbilidad reciente</w:t>
            </w:r>
          </w:p>
        </w:tc>
        <w:tc>
          <w:tcPr/>
          <w:p>
            <w:pPr>
              <w:pStyle w:val="Compact"/>
            </w:pPr>
            <w:r>
              <w:t xml:space="preserve">Episodios de diarrea en las últimas 2 semanas (sí/no)</w:t>
            </w:r>
          </w:p>
        </w:tc>
        <w:tc>
          <w:tcPr/>
          <w:p>
            <w:pPr>
              <w:pStyle w:val="Compact"/>
            </w:pPr>
            <w:r>
              <w:t xml:space="preserve">Vía infecciosa hacia la malabsorción de nutrientes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Morbilidad reciente</w:t>
            </w:r>
          </w:p>
        </w:tc>
        <w:tc>
          <w:tcPr/>
          <w:p>
            <w:pPr>
              <w:pStyle w:val="Compact"/>
            </w:pPr>
            <w:r>
              <w:t xml:space="preserve">Infección respiratoria aguda en las últimas 2 semanas (sí/no)</w:t>
            </w:r>
          </w:p>
        </w:tc>
        <w:tc>
          <w:tcPr/>
          <w:p>
            <w:pPr>
              <w:pStyle w:val="Compact"/>
            </w:pPr>
            <w:r>
              <w:t xml:space="preserve">Impacto directo sobre el estado nutricional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Diversidad dietética mínima (número de grupos de alimentos en 24 h)</w:t>
            </w:r>
          </w:p>
        </w:tc>
        <w:tc>
          <w:tcPr/>
          <w:p>
            <w:pPr>
              <w:pStyle w:val="Compact"/>
            </w:pPr>
            <w:r>
              <w:t xml:space="preserve">Indicador OMS de calidad de la alimentación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Frecuencia mínima de comidas según edad</w:t>
            </w:r>
          </w:p>
        </w:tc>
        <w:tc>
          <w:tcPr/>
          <w:p>
            <w:pPr>
              <w:pStyle w:val="Compact"/>
            </w:pPr>
            <w:r>
              <w:t xml:space="preserve">Complemento del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Suplementación</w:t>
            </w:r>
          </w:p>
        </w:tc>
        <w:tc>
          <w:tcPr/>
          <w:p>
            <w:pPr>
              <w:pStyle w:val="Compact"/>
            </w:pPr>
            <w:r>
              <w:t xml:space="preserve">Recibe micronutrientes o hierro (sí/no, frecuencia)</w:t>
            </w:r>
          </w:p>
        </w:tc>
        <w:tc>
          <w:tcPr/>
          <w:p>
            <w:pPr>
              <w:pStyle w:val="Compact"/>
            </w:pPr>
            <w:r>
              <w:t xml:space="preserve">Intervención directa y modificable</w:t>
            </w:r>
          </w:p>
        </w:tc>
      </w:tr>
    </w:tbl>
    <w:bookmarkEnd w:id="18"/>
    <w:bookmarkStart w:id="19" w:name="Xea480f4cdf50012eed58a23ba12f3601238dacf"/>
    <w:p>
      <w:pPr>
        <w:pStyle w:val="Heading3"/>
      </w:pPr>
      <w:r>
        <w:t xml:space="preserve">Prioridad media — estado nutricional materno y servicios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Antropometría materna</w:t>
            </w:r>
          </w:p>
        </w:tc>
        <w:tc>
          <w:tcPr/>
          <w:p>
            <w:pPr>
              <w:pStyle w:val="Compact"/>
            </w:pPr>
            <w:r>
              <w:t xml:space="preserve">Talla de la madre (cm)</w:t>
            </w:r>
          </w:p>
        </w:tc>
        <w:tc>
          <w:tcPr/>
          <w:p>
            <w:pPr>
              <w:pStyle w:val="Compact"/>
            </w:pPr>
            <w:r>
              <w:t xml:space="preserve">Predictor consistente de retraso del crecimiento intergeneracional; resultó la variable más influyente en un modelo equivalente sobre datos DHS (Ndagijimana et al.,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Antropometría materna</w:t>
            </w:r>
          </w:p>
        </w:tc>
        <w:tc>
          <w:tcPr/>
          <w:p>
            <w:pPr>
              <w:pStyle w:val="Compact"/>
            </w:pPr>
            <w:r>
              <w:t xml:space="preserve">Peso / IMC de la madre</w:t>
            </w:r>
          </w:p>
        </w:tc>
        <w:tc>
          <w:tcPr/>
          <w:p>
            <w:pPr>
              <w:pStyle w:val="Compact"/>
            </w:pPr>
            <w:r>
              <w:t xml:space="preserve">Estado nutricional del hogar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salud</w:t>
            </w:r>
          </w:p>
        </w:tc>
        <w:tc>
          <w:tcPr/>
          <w:p>
            <w:pPr>
              <w:pStyle w:val="Compact"/>
            </w:pPr>
            <w:r>
              <w:t xml:space="preserve">Controles CRED al día (sí/no, número)</w:t>
            </w:r>
          </w:p>
        </w:tc>
        <w:tc>
          <w:tcPr/>
          <w:p>
            <w:pPr>
              <w:pStyle w:val="Compact"/>
            </w:pPr>
            <w:r>
              <w:t xml:space="preserve">Seguimiento del crecimiento en el sistema peruano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salud</w:t>
            </w:r>
          </w:p>
        </w:tc>
        <w:tc>
          <w:tcPr/>
          <w:p>
            <w:pPr>
              <w:pStyle w:val="Compact"/>
            </w:pPr>
            <w:r>
              <w:t xml:space="preserve">Esquema de vacunación completo para la edad (sí/no)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Proxy</w:t>
            </w:r>
            <w:r>
              <w:t xml:space="preserve"> </w:t>
            </w:r>
            <w:r>
              <w:t xml:space="preserve">de acceso efectivo a servicios</w:t>
            </w:r>
          </w:p>
        </w:tc>
      </w:tr>
    </w:tbl>
    <w:bookmarkEnd w:id="19"/>
    <w:bookmarkStart w:id="20" w:name="prioridad-media-contexto-social"/>
    <w:p>
      <w:pPr>
        <w:pStyle w:val="Heading3"/>
      </w:pPr>
      <w:r>
        <w:t xml:space="preserve">Prioridad media — contexto social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Etnicidad</w:t>
            </w:r>
          </w:p>
        </w:tc>
        <w:tc>
          <w:tcPr/>
          <w:p>
            <w:pPr>
              <w:pStyle w:val="Compact"/>
            </w:pPr>
            <w:r>
              <w:t xml:space="preserve">Lengua materna de la madre</w:t>
            </w:r>
          </w:p>
        </w:tc>
        <w:tc>
          <w:tcPr/>
          <w:p>
            <w:pPr>
              <w:pStyle w:val="Compact"/>
            </w:pPr>
            <w:r>
              <w:t xml:space="preserve">Marcador de exclusión estructural especialmente relevante en el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Seguridad alimentaria</w:t>
            </w:r>
          </w:p>
        </w:tc>
        <w:tc>
          <w:tcPr/>
          <w:p>
            <w:pPr>
              <w:pStyle w:val="Compact"/>
            </w:pPr>
            <w:r>
              <w:t xml:space="preserve">Escala de inseguridad alimentaria del hogar (ELCSA o similar)</w:t>
            </w:r>
          </w:p>
        </w:tc>
        <w:tc>
          <w:tcPr/>
          <w:p>
            <w:pPr>
              <w:pStyle w:val="Compact"/>
            </w:pPr>
            <w:r>
              <w:t xml:space="preserve">Acceso efectivo a alimentos, no solo capacidad económica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Cuidado</w:t>
            </w:r>
          </w:p>
        </w:tc>
        <w:tc>
          <w:tcPr/>
          <w:p>
            <w:pPr>
              <w:pStyle w:val="Compact"/>
            </w:pPr>
            <w:r>
              <w:t xml:space="preserve">Situación laboral de la madre / cuidador principal</w:t>
            </w:r>
          </w:p>
        </w:tc>
        <w:tc>
          <w:tcPr/>
          <w:p>
            <w:pPr>
              <w:pStyle w:val="Compact"/>
            </w:pPr>
            <w:r>
              <w:t xml:space="preserve">Tiempo disponible para prácticas de cuidado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Beneficiario de Juntos, Cuna Más, Qali Warma (sí/no)</w:t>
            </w:r>
          </w:p>
        </w:tc>
        <w:tc>
          <w:tcPr/>
          <w:p>
            <w:pPr>
              <w:pStyle w:val="Compact"/>
            </w:pPr>
            <w:r>
              <w:t xml:space="preserve">Permite evaluar cobertura frente a necesidad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4" w:name="qué-esperamos-de-esta-validación"/>
    <w:p>
      <w:pPr>
        <w:pStyle w:val="Heading2"/>
      </w:pPr>
      <w:r>
        <w:t xml:space="preserve">5. Qué esperamos de esta validación</w:t>
      </w:r>
    </w:p>
    <w:p>
      <w:pPr>
        <w:pStyle w:val="FirstParagraph"/>
      </w:pPr>
      <w:r>
        <w:t xml:space="preserve">Solicitamos la participación de</w:t>
      </w:r>
      <w:r>
        <w:t xml:space="preserve"> </w:t>
      </w:r>
      <w:r>
        <w:rPr>
          <w:b/>
          <w:bCs/>
        </w:rPr>
        <w:t xml:space="preserve">cinco especialistas</w:t>
      </w:r>
      <w:r>
        <w:t xml:space="preserve"> </w:t>
      </w:r>
      <w:r>
        <w:t xml:space="preserve">en nutrición, salud pública, epidemiología o</w:t>
      </w:r>
      <w:r>
        <w:t xml:space="preserve"> </w:t>
      </w:r>
      <w:r>
        <w:t xml:space="preserve">enfermería, idealmente con representación territorial (</w:t>
      </w:r>
      <w:r>
        <w:rPr>
          <w:b/>
          <w:bCs/>
        </w:rPr>
        <w:t xml:space="preserve">2 de costa, 2 de sierra, 1 de selva</w:t>
      </w:r>
      <w:r>
        <w:t xml:space="preserve">), para</w:t>
      </w:r>
      <w:r>
        <w:t xml:space="preserve"> </w:t>
      </w:r>
      <w:r>
        <w:t xml:space="preserve">dos procesos complementarios:</w:t>
      </w:r>
    </w:p>
    <w:bookmarkStart w:id="22" w:name="pertinencia"/>
    <w:p>
      <w:pPr>
        <w:pStyle w:val="Heading3"/>
      </w:pPr>
      <w:r>
        <w:t xml:space="preserve">5.1 Pertinencia</w:t>
      </w:r>
    </w:p>
    <w:p>
      <w:pPr>
        <w:pStyle w:val="FirstParagraph"/>
      </w:pPr>
      <w:r>
        <w:t xml:space="preserve">Valoración de la</w:t>
      </w:r>
      <w:r>
        <w:t xml:space="preserve"> </w:t>
      </w:r>
      <w:r>
        <w:rPr>
          <w:b/>
          <w:bCs/>
        </w:rPr>
        <w:t xml:space="preserve">utilidad percibida</w:t>
      </w:r>
      <w:r>
        <w:t xml:space="preserve"> </w:t>
      </w:r>
      <w:r>
        <w:t xml:space="preserve">del sistema mediante un instrumento estructurado que el</w:t>
      </w:r>
      <w:r>
        <w:t xml:space="preserve"> </w:t>
      </w:r>
      <w:r>
        <w:t xml:space="preserve">especialista completará tras una demostración del aplicativo. Se evalúa si la herramienta resulta útil,</w:t>
      </w:r>
      <w:r>
        <w:t xml:space="preserve"> </w:t>
      </w:r>
      <w:r>
        <w:t xml:space="preserve">comprensible y aplicable en la práctica real de focalización sanitaria, y qué limitaciones o variables</w:t>
      </w:r>
      <w:r>
        <w:t xml:space="preserve"> </w:t>
      </w:r>
      <w:r>
        <w:t xml:space="preserve">faltantes identifica desde su experiencia profesional.</w:t>
      </w:r>
    </w:p>
    <w:p>
      <w:pPr>
        <w:pStyle w:val="BodyText"/>
      </w:pPr>
      <w:r>
        <w:rPr>
          <w:i/>
          <w:iCs/>
        </w:rPr>
        <w:t xml:space="preserve">Modalidad:</w:t>
      </w:r>
      <w:r>
        <w:t xml:space="preserve"> </w:t>
      </w:r>
      <w:r>
        <w:t xml:space="preserve">sesión virtual, coordinada según disponibilidad. El equipo provee el protocolo, conduce la</w:t>
      </w:r>
      <w:r>
        <w:t xml:space="preserve"> </w:t>
      </w:r>
      <w:r>
        <w:t xml:space="preserve">demostración y registra la sesión.</w:t>
      </w:r>
    </w:p>
    <w:bookmarkEnd w:id="22"/>
    <w:bookmarkStart w:id="23" w:name="replicabilidad"/>
    <w:p>
      <w:pPr>
        <w:pStyle w:val="Heading3"/>
      </w:pPr>
      <w:r>
        <w:t xml:space="preserve">5.2 Replicabilidad</w:t>
      </w:r>
    </w:p>
    <w:p>
      <w:pPr>
        <w:pStyle w:val="FirstParagraph"/>
      </w:pPr>
      <w:r>
        <w:t xml:space="preserve">Contraste del modelo frente a</w:t>
      </w:r>
      <w:r>
        <w:t xml:space="preserve"> </w:t>
      </w:r>
      <w:r>
        <w:rPr>
          <w:b/>
          <w:bCs/>
        </w:rPr>
        <w:t xml:space="preserve">datos externos</w:t>
      </w:r>
      <w:r>
        <w:t xml:space="preserve"> </w:t>
      </w:r>
      <w:r>
        <w:t xml:space="preserve">distintos de la ENDES. El procedimiento consiste en que</w:t>
      </w:r>
      <w:r>
        <w:t xml:space="preserve"> </w:t>
      </w:r>
      <w:r>
        <w:t xml:space="preserve">el especialista aporte registros de su ámbito —incluyendo casos con y sin desnutrición diagnosticada—,</w:t>
      </w:r>
      <w:r>
        <w:t xml:space="preserve"> </w:t>
      </w:r>
      <w:r>
        <w:t xml:space="preserve">el sistema emita su estimación de riesgo, y se compare con el diagnóstico clínico conocido.</w:t>
      </w:r>
    </w:p>
    <w:p>
      <w:pPr>
        <w:pStyle w:val="BodyText"/>
      </w:pPr>
      <w:r>
        <w:t xml:space="preserve">Esto permite medir si el modelo mantiene su desempeño en una realidad distinta de aquella con la que fue</w:t>
      </w:r>
      <w:r>
        <w:t xml:space="preserve"> </w:t>
      </w:r>
      <w:r>
        <w:t xml:space="preserve">entrenado. Se requieren</w:t>
      </w:r>
      <w:r>
        <w:t xml:space="preserve"> </w:t>
      </w:r>
      <w:r>
        <w:rPr>
          <w:b/>
          <w:bCs/>
        </w:rPr>
        <w:t xml:space="preserve">datos crudos</w:t>
      </w:r>
      <w:r>
        <w:t xml:space="preserve"> </w:t>
      </w:r>
      <w:r>
        <w:t xml:space="preserve">(no reportes agregados), con las variables listadas en la</w:t>
      </w:r>
      <w:r>
        <w:t xml:space="preserve"> </w:t>
      </w:r>
      <w:r>
        <w:t xml:space="preserve">sección 3.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sideraciones-éticas"/>
    <w:p>
      <w:pPr>
        <w:pStyle w:val="Heading2"/>
      </w:pPr>
      <w:r>
        <w:t xml:space="preserve">6. Consideraciones éticas</w:t>
      </w:r>
    </w:p>
    <w:p>
      <w:pPr>
        <w:pStyle w:val="FirstParagraph"/>
      </w:pPr>
      <w:r>
        <w:t xml:space="preserve">Los datos con los que se construyó el modelo son de</w:t>
      </w:r>
      <w:r>
        <w:t xml:space="preserve"> </w:t>
      </w:r>
      <w:r>
        <w:rPr>
          <w:b/>
          <w:bCs/>
        </w:rPr>
        <w:t xml:space="preserve">acceso público y libre</w:t>
      </w:r>
      <w:r>
        <w:t xml:space="preserve"> </w:t>
      </w:r>
      <w:r>
        <w:t xml:space="preserve">(portal de microdatos del</w:t>
      </w:r>
      <w:r>
        <w:t xml:space="preserve"> </w:t>
      </w:r>
      <w:r>
        <w:t xml:space="preserve">INEI), por lo que su tratamiento no requirió aprobación de comité de ética.</w:t>
      </w:r>
    </w:p>
    <w:p>
      <w:pPr>
        <w:pStyle w:val="BodyText"/>
      </w:pPr>
      <w:r>
        <w:t xml:space="preserve">Para la fase de validación con datos institucionales, el equipo se compromete a tramitar los permisos</w:t>
      </w:r>
      <w:r>
        <w:t xml:space="preserve"> </w:t>
      </w:r>
      <w:r>
        <w:t xml:space="preserve">formales correspondientes y a someter el protocolo a comité de ética cuando la institución lo exija. Los</w:t>
      </w:r>
      <w:r>
        <w:t xml:space="preserve"> </w:t>
      </w:r>
      <w:r>
        <w:t xml:space="preserve">datos que se reciban se usarán exclusivamente con fines de validación técnica, de forma anonimizada, y</w:t>
      </w:r>
      <w:r>
        <w:t xml:space="preserve"> </w:t>
      </w:r>
      <w:r>
        <w:t xml:space="preserve">no serán publicados ni compartidos con terceros.</w:t>
      </w:r>
    </w:p>
    <w:p>
      <w:r>
        <w:pict>
          <v:rect style="width:0;height:1.5pt" o:hralign="center" o:hrstd="t" o:hr="t"/>
        </w:pict>
      </w:r>
    </w:p>
    <w:bookmarkEnd w:id="25"/>
    <w:bookmarkStart w:id="26" w:name="X391304481d104eba4e8178b9fcdf0d8c3b107bd"/>
    <w:p>
      <w:pPr>
        <w:pStyle w:val="Heading2"/>
      </w:pPr>
      <w:r>
        <w:t xml:space="preserve">7. Contribución esperada para los participantes</w:t>
      </w:r>
    </w:p>
    <w:p>
      <w:pPr>
        <w:pStyle w:val="FirstParagraph"/>
      </w:pPr>
      <w:r>
        <w:t xml:space="preserve">Los especialistas que participen serán reconocidos en el artículo científico resultante. Asimismo, el</w:t>
      </w:r>
      <w:r>
        <w:t xml:space="preserve"> </w:t>
      </w:r>
      <w:r>
        <w:t xml:space="preserve">equipo queda disponible para integrarse como soporte técnico en investigaciones posteriores que deseen</w:t>
      </w:r>
      <w:r>
        <w:t xml:space="preserve"> </w:t>
      </w:r>
      <w:r>
        <w:t xml:space="preserve">aplicar el modelo en estudios de campo, intervención o gestión sanitaria.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Contacto: equipo de investigación — EP Ingeniería de Sistemas, Universidad Peruana Unión.</w:t>
      </w:r>
    </w:p>
    <w:p>
      <w:r>
        <w:pict>
          <v:rect style="width:0;height:1.5pt" o:hralign="center" o:hrstd="t" o:hr="t"/>
        </w:pict>
      </w:r>
    </w:p>
    <w:bookmarkEnd w:id="26"/>
    <w:bookmarkStart w:id="27" w:name="referencias-citadas"/>
    <w:p>
      <w:pPr>
        <w:pStyle w:val="Heading2"/>
      </w:pPr>
      <w:r>
        <w:t xml:space="preserve">Referencias citadas</w:t>
      </w:r>
    </w:p>
    <w:p>
      <w:pPr>
        <w:pStyle w:val="Compact"/>
        <w:numPr>
          <w:ilvl w:val="0"/>
          <w:numId w:val="1002"/>
        </w:numPr>
      </w:pPr>
      <w:r>
        <w:t xml:space="preserve">Black, R. E., Victora, C. G., Walker, S. P.,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(2013). Maternal and child undernutrition and</w:t>
      </w:r>
      <w:r>
        <w:t xml:space="preserve"> </w:t>
      </w:r>
      <w:r>
        <w:t xml:space="preserve">overweight in low-income and middle-income countries.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382(9890), 427–451.</w:t>
      </w:r>
    </w:p>
    <w:p>
      <w:pPr>
        <w:pStyle w:val="Compact"/>
        <w:numPr>
          <w:ilvl w:val="0"/>
          <w:numId w:val="1002"/>
        </w:numPr>
      </w:pPr>
      <w:r>
        <w:t xml:space="preserve">Kaufman, S., Rosset, S., &amp; Perlich, C. (2011). Leakage in data mining: formulation, detection, and</w:t>
      </w:r>
      <w:r>
        <w:t xml:space="preserve"> </w:t>
      </w:r>
      <w:r>
        <w:t xml:space="preserve">avoidance.</w:t>
      </w:r>
      <w:r>
        <w:t xml:space="preserve"> </w:t>
      </w:r>
      <w:r>
        <w:rPr>
          <w:i/>
          <w:iCs/>
        </w:rPr>
        <w:t xml:space="preserve">Proceedings of the 17th ACM SIGKDD</w:t>
      </w:r>
      <w:r>
        <w:t xml:space="preserve">, 556–563.</w:t>
      </w:r>
    </w:p>
    <w:p>
      <w:pPr>
        <w:pStyle w:val="Compact"/>
        <w:numPr>
          <w:ilvl w:val="0"/>
          <w:numId w:val="1002"/>
        </w:numPr>
      </w:pPr>
      <w:r>
        <w:t xml:space="preserve">Ndagijimana, S., Kabano, I., Masabo, E., &amp; Ntaganda, J. M. (2025). Predicting stunting status among</w:t>
      </w:r>
      <w:r>
        <w:t xml:space="preserve"> </w:t>
      </w:r>
      <w:r>
        <w:t xml:space="preserve">under-5 children in Rwanda using neural network model.</w:t>
      </w:r>
      <w:r>
        <w:t xml:space="preserve"> </w:t>
      </w:r>
      <w:r>
        <w:rPr>
          <w:i/>
          <w:iCs/>
        </w:rPr>
        <w:t xml:space="preserve">F1000Research</w:t>
      </w:r>
      <w:r>
        <w:t xml:space="preserve">, 13, 128.</w:t>
      </w:r>
    </w:p>
    <w:p>
      <w:pPr>
        <w:pStyle w:val="Compact"/>
        <w:numPr>
          <w:ilvl w:val="0"/>
          <w:numId w:val="1002"/>
        </w:numPr>
      </w:pPr>
      <w:r>
        <w:t xml:space="preserve">Victora, C. G., Christian, P., Vidaletti, L. P.,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(2021). Revisiting maternal and child</w:t>
      </w:r>
      <w:r>
        <w:t xml:space="preserve"> </w:t>
      </w:r>
      <w:r>
        <w:t xml:space="preserve">undernutrition in low-income and middle-income countries.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397(10282), 1388–1399.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2026-09-18T00:36:20Z</dcterms:created>
  <dcterms:modified xsi:type="dcterms:W3CDTF">2026-09-18T00:36:20Z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