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Equipo:</w:t>
      </w:r>
      <w:r>
        <w:t xml:space="preserve"> </w:t>
      </w:r>
      <w:r>
        <w:t xml:space="preserve">Abel Guevara Huasco (abelguevara@upeu.edu.pe) · Verónica Vergara Rojas</w:t>
      </w:r>
      <w:r>
        <w:t xml:space="preserve"> </w:t>
      </w:r>
      <w:r>
        <w:t xml:space="preserve">(veronica.vergara@upeu.edu.pe) · Pamela Vallejos Cotrina (zulin.vallejos@upeu.edu.pe)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</w:t>
      </w:r>
      <w:r>
        <w:t xml:space="preserve">: dado el perfil de un hogar, estima la probabilidad de que el niño presente</w:t>
      </w:r>
      <w:r>
        <w:t xml:space="preserve"> </w:t>
      </w:r>
      <w:r>
        <w:t xml:space="preserve">desnutrición crónica, permitiendo priorizar a quién atender primero cuando el presupuesto no alcanza</w:t>
      </w:r>
      <w:r>
        <w:t xml:space="preserve"> </w:t>
      </w:r>
      <w:r>
        <w:t xml:space="preserve">para cubrir a toda la población.</w:t>
      </w:r>
    </w:p>
    <w:p>
      <w:pPr>
        <w:pStyle w:val="BodyText"/>
      </w:pPr>
      <w:r>
        <w:rPr>
          <w:b/>
          <w:bCs/>
        </w:rPr>
        <w:t xml:space="preserve">Qué datos necesita y cuáles no.</w:t>
      </w:r>
      <w:r>
        <w:t xml:space="preserve"> </w:t>
      </w:r>
      <w:r>
        <w:t xml:space="preserve">El modelo</w:t>
      </w:r>
      <w:r>
        <w:t xml:space="preserve"> </w:t>
      </w:r>
      <w:r>
        <w:rPr>
          <w:b/>
          <w:bCs/>
        </w:rPr>
        <w:t xml:space="preserve">no utiliza el peso ni la talla actuales del niño</w:t>
      </w:r>
      <w:r>
        <w:t xml:space="preserve">: esas</w:t>
      </w:r>
      <w:r>
        <w:t xml:space="preserve"> </w:t>
      </w:r>
      <w:r>
        <w:t xml:space="preserve">dos mediciones definen el diagnóstico, de modo que incluirlas convertiría la predicción en una</w:t>
      </w:r>
      <w:r>
        <w:t xml:space="preserve"> </w:t>
      </w:r>
      <w:r>
        <w:t xml:space="preserve">tautología. Sí emplea el</w:t>
      </w:r>
      <w:r>
        <w:t xml:space="preserve"> </w:t>
      </w:r>
      <w:r>
        <w:rPr>
          <w:b/>
          <w:bCs/>
        </w:rPr>
        <w:t xml:space="preserve">peso y el tamaño al nacer</w:t>
      </w:r>
      <w:r>
        <w:t xml:space="preserve">, que son antecedentes recogidos por entrevista o</w:t>
      </w:r>
      <w:r>
        <w:t xml:space="preserve"> </w:t>
      </w:r>
      <w:r>
        <w:t xml:space="preserve">disponibles en el carné de control.</w:t>
      </w:r>
    </w:p>
    <w:p>
      <w:pPr>
        <w:pStyle w:val="BodyText"/>
      </w:pPr>
      <w:r>
        <w:t xml:space="preserve">La única variable que exige un procedimiento de laboratorio es la</w:t>
      </w:r>
      <w:r>
        <w:t xml:space="preserve"> </w:t>
      </w:r>
      <w:r>
        <w:rPr>
          <w:b/>
          <w:bCs/>
        </w:rPr>
        <w:t xml:space="preserve">hemoglobina ajustada por altitud</w:t>
      </w:r>
      <w:r>
        <w:t xml:space="preserve">,</w:t>
      </w:r>
      <w:r>
        <w:t xml:space="preserve"> </w:t>
      </w:r>
      <w:r>
        <w:t xml:space="preserve">habitualmente disponible en el tamizaje de anemia de los controles CRED. El resto son respuestas de</w:t>
      </w:r>
      <w:r>
        <w:t xml:space="preserve"> </w:t>
      </w:r>
      <w:r>
        <w:t xml:space="preserve">encuesta sobre el hogar, la vivienda y la historia materna. En consecuencia, el sistema opera sobre</w:t>
      </w:r>
      <w:r>
        <w:t xml:space="preserve"> </w:t>
      </w:r>
      <w:r>
        <w:t xml:space="preserve">información que en su mayor parte puede obtenerse sin medir al niño, pero no es un instrumento</w:t>
      </w:r>
      <w:r>
        <w:t xml:space="preserve"> </w:t>
      </w:r>
      <w:r>
        <w:t xml:space="preserve">enteramente ajeno al registro clínico previo.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a partir del perfil</w:t>
      </w:r>
      <w:r>
        <w:t xml:space="preserve"> </w:t>
      </w:r>
      <w:r>
        <w:t xml:space="preserve">sociodemográfico del hogar y la historia materna, qué niños tienen mayor riesgo de desnutrición crónica</w:t>
      </w:r>
      <w:r>
        <w:t xml:space="preserve"> </w:t>
      </w:r>
      <w:r>
        <w:t xml:space="preserve">sin recurrir a la medición antropométrica que define el diagnóstico?</w:t>
      </w:r>
    </w:p>
    <w:p>
      <w:r>
        <w:pict>
          <v:rect style="width:0;height:1.5pt" o:hralign="center" o:hrstd="t" o:hr="t"/>
        </w:pict>
      </w:r>
    </w:p>
    <w:bookmarkEnd w:id="9"/>
    <w:bookmarkStart w:id="11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F1["&lt;b&gt;1.&lt;/b&gt; Comprensión del negocio"]</w:t>
      </w:r>
      <w:r>
        <w:br/>
      </w:r>
      <w:r>
        <w:rPr>
          <w:rStyle w:val="VerbatimChar"/>
        </w:rPr>
        <w:t xml:space="preserve">  F2["&lt;b&gt;2.&lt;/b&gt; Comprensión de los datos"]</w:t>
      </w:r>
      <w:r>
        <w:br/>
      </w:r>
      <w:r>
        <w:rPr>
          <w:rStyle w:val="VerbatimChar"/>
        </w:rPr>
        <w:t xml:space="preserve">  F3["&lt;b&gt;3.&lt;/b&gt; Preparación de los datos"]</w:t>
      </w:r>
      <w:r>
        <w:br/>
      </w:r>
      <w:r>
        <w:rPr>
          <w:rStyle w:val="VerbatimChar"/>
        </w:rPr>
        <w:t xml:space="preserve">  F4["&lt;b&gt;4.&lt;/b&gt; Modelado"]</w:t>
      </w:r>
      <w:r>
        <w:br/>
      </w:r>
      <w:r>
        <w:rPr>
          <w:rStyle w:val="VerbatimChar"/>
        </w:rPr>
        <w:t xml:space="preserve">  F5["&lt;b&gt;5.&lt;/b&gt; Evaluación"]</w:t>
      </w:r>
      <w:r>
        <w:br/>
      </w:r>
      <w:r>
        <w:rPr>
          <w:rStyle w:val="VerbatimChar"/>
        </w:rPr>
        <w:t xml:space="preserve">  F6["&lt;b&gt;6.&lt;/b&gt; Despliegue"]</w:t>
      </w:r>
      <w:r>
        <w:br/>
      </w:r>
      <w:r>
        <w:br/>
      </w:r>
      <w:r>
        <w:rPr>
          <w:rStyle w:val="VerbatimChar"/>
        </w:rPr>
        <w:t xml:space="preserve">  F1 --&gt; F2 --&gt; F3 --&gt; F4 --&gt; F5 --&gt; F6</w:t>
      </w:r>
      <w:r>
        <w:br/>
      </w:r>
      <w:r>
        <w:br/>
      </w:r>
      <w:r>
        <w:rPr>
          <w:rStyle w:val="VerbatimChar"/>
        </w:rPr>
        <w:t xml:space="preserve">  F2 -. "replantear el objetivo" .-&gt; F1</w:t>
      </w:r>
      <w:r>
        <w:br/>
      </w:r>
      <w:r>
        <w:rPr>
          <w:rStyle w:val="VerbatimChar"/>
        </w:rPr>
        <w:t xml:space="preserve">  F4 -. "faltan variables" .-&gt; F3</w:t>
      </w:r>
      <w:r>
        <w:br/>
      </w:r>
      <w:r>
        <w:rPr>
          <w:rStyle w:val="VerbatimChar"/>
        </w:rPr>
        <w:t xml:space="preserve">  F5 -. "no alcanza la meta" .-&gt; F4</w:t>
      </w:r>
      <w:r>
        <w:br/>
      </w:r>
      <w:r>
        <w:rPr>
          <w:rStyle w:val="VerbatimChar"/>
        </w:rPr>
        <w:t xml:space="preserve">  F6 -. "nuevas necesidades" .-&gt; F1</w:t>
      </w:r>
      <w:r>
        <w:br/>
      </w:r>
      <w:r>
        <w:br/>
      </w:r>
      <w:r>
        <w:rPr>
          <w:rStyle w:val="VerbatimChar"/>
        </w:rPr>
        <w:t xml:space="preserve">  classDef fase fill:#eef3f9,stroke:#003366,stroke-width:1.4px,color:#1a2530</w:t>
      </w:r>
      <w:r>
        <w:br/>
      </w:r>
      <w:r>
        <w:rPr>
          <w:rStyle w:val="VerbatimChar"/>
        </w:rPr>
        <w:t xml:space="preserve">  class F1,F2,F3,F4,F5,F6 fase</w:t>
      </w:r>
    </w:p>
    <w:p>
      <w:pPr>
        <w:pStyle w:val="FirstParagraph"/>
      </w:pPr>
      <w:r>
        <w:t xml:space="preserve">Las flechas continuas marcan el avance y las punteadas los</w:t>
      </w:r>
      <w:r>
        <w:t xml:space="preserve"> </w:t>
      </w:r>
      <w:r>
        <w:rPr>
          <w:b/>
          <w:bCs/>
        </w:rPr>
        <w:t xml:space="preserve">retornos</w:t>
      </w:r>
      <w:r>
        <w:t xml:space="preserve">: el proceso no es lineal, y</w:t>
      </w:r>
      <w:r>
        <w:t xml:space="preserve"> </w:t>
      </w:r>
      <w:r>
        <w:t xml:space="preserve">cada fase puede obligar a rehacer una anterior. Los dos retornos que más pesaron en este proyecto</w:t>
      </w:r>
      <w:r>
        <w:t xml:space="preserve"> </w:t>
      </w:r>
      <w:r>
        <w:t xml:space="preserve">fueron el de modelado a preparación —al detectar variables que exigían otra codificación— y el de</w:t>
      </w:r>
      <w:r>
        <w:t xml:space="preserve"> </w:t>
      </w:r>
      <w:r>
        <w:t xml:space="preserve">evaluación a modelado, al calibrar el umbral de decisión para alcanzar la sensibilidad requerida.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derivados, siguiendo el criterio de prevención de fuga de</w:t>
      </w:r>
      <w:r>
        <w:t xml:space="preserve"> </w:t>
      </w:r>
      <w:r>
        <w:t xml:space="preserve">información (Kaufman et al., 2011).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bookmarkStart w:id="10" w:name="resultados-actuales"/>
    <w:p>
      <w:pPr>
        <w:pStyle w:val="Heading3"/>
      </w:pPr>
      <w:r>
        <w:t xml:space="preserve">Resultados actuales</w:t>
      </w:r>
    </w:p>
    <w:p>
      <w:pPr>
        <w:pStyle w:val="FirstParagraph"/>
      </w:pPr>
      <w:r>
        <w:t xml:space="preserve">Entre seis algoritmos evaluados resultó campeón</w:t>
      </w:r>
      <w:r>
        <w:t xml:space="preserve"> </w:t>
      </w:r>
      <w:r>
        <w:rPr>
          <w:b/>
          <w:bCs/>
        </w:rPr>
        <w:t xml:space="preserve">LightGBM</w:t>
      </w:r>
      <w:r>
        <w:t xml:space="preserve">. La tabla traduce cada métrica a lo que</w:t>
      </w:r>
      <w:r>
        <w:t xml:space="preserve"> </w:t>
      </w:r>
      <w:r>
        <w:t xml:space="preserve">significa en la práctica: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(IC 95%)</w:t>
            </w:r>
          </w:p>
        </w:tc>
        <w:tc>
          <w:tcPr/>
          <w:p>
            <w:pPr>
              <w:pStyle w:val="Compact"/>
            </w:pPr>
            <w:r>
              <w:t xml:space="preserve">Qué significa en la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 de discriminación (AUC-ROC)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0.829</w:t>
            </w:r>
            <w:r>
              <w:t xml:space="preserve"> </w:t>
            </w:r>
            <w:r>
              <w:t xml:space="preserve">(0.827 – 0.832)</w:t>
            </w:r>
          </w:p>
        </w:tc>
        <w:tc>
          <w:tcPr/>
          <w:p>
            <w:pPr>
              <w:pStyle w:val="Compact"/>
            </w:pPr>
            <w:r>
              <w:t xml:space="preserve">Tomados al azar un niño con desnutrición crónica y otro sin ella, el sistema asigna mayor riesgo al primero en</w:t>
            </w:r>
            <w:r>
              <w:t xml:space="preserve"> </w:t>
            </w:r>
            <w:r>
              <w:rPr>
                <w:b/>
                <w:bCs/>
              </w:rPr>
              <w:t xml:space="preserve">83 de cada 100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Sensibilidad o cobertura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76.4%</w:t>
            </w:r>
            <w:r>
              <w:t xml:space="preserve"> </w:t>
            </w:r>
            <w:r>
              <w:t xml:space="preserve">(75.9% – 77.0%)</w:t>
            </w:r>
          </w:p>
        </w:tc>
        <w:tc>
          <w:tcPr/>
          <w:p>
            <w:pPr>
              <w:pStyle w:val="Compact"/>
            </w:pPr>
            <w:r>
              <w:t xml:space="preserve">De cada 100 niños que sí tienen desnutrición crónica, el sistema señala a</w:t>
            </w:r>
            <w:r>
              <w:t xml:space="preserve"> </w:t>
            </w:r>
            <w:r>
              <w:rPr>
                <w:b/>
                <w:bCs/>
              </w:rP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no detectados</w:t>
            </w:r>
          </w:p>
        </w:tc>
        <w:tc>
          <w:tcPr/>
          <w:p>
            <w:pPr>
              <w:pStyle w:val="Compact"/>
            </w:pPr>
            <w:r>
              <w:t xml:space="preserve">23.6%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de cada 100</w:t>
            </w:r>
            <w:r>
              <w:t xml:space="preserve"> </w:t>
            </w:r>
            <w:r>
              <w:t xml:space="preserve">niños afectados pasarían inadvertidos con el umbral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Precisión de la alerta</w:t>
            </w:r>
          </w:p>
        </w:tc>
        <w:tc>
          <w:tcPr/>
          <w:p>
            <w:pPr>
              <w:pStyle w:val="Compact"/>
            </w:pPr>
            <w:r>
              <w:t xml:space="preserve">36.4%</w:t>
            </w:r>
          </w:p>
        </w:tc>
        <w:tc>
          <w:tcPr/>
          <w:p>
            <w:pPr>
              <w:pStyle w:val="Compact"/>
            </w:pPr>
            <w:r>
              <w:t xml:space="preserve">De cada 100 niños señalados como riesgo,</w:t>
            </w:r>
            <w:r>
              <w:t xml:space="preserve"> </w:t>
            </w:r>
            <w:r>
              <w:rPr>
                <w:b/>
                <w:bCs/>
              </w:rPr>
              <w:t xml:space="preserve">36 lo confirman</w:t>
            </w:r>
            <w:r>
              <w:t xml:space="preserve">; los demás requieren verificación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el margen de error.</w:t>
      </w:r>
      <w:r>
        <w:t xml:space="preserve"> </w:t>
      </w:r>
      <w:r>
        <w:t xml:space="preserve">Los intervalos de confianza se estimaron con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</w:t>
      </w:r>
      <w:r>
        <w:t xml:space="preserve"> </w:t>
      </w:r>
      <w:r>
        <w:t xml:space="preserve">remuestreos. Su amplitud es inferior a medio punto porcentual, lo que indica que las cifras no dependen</w:t>
      </w:r>
      <w:r>
        <w:t xml:space="preserve"> </w:t>
      </w:r>
      <w:r>
        <w:t xml:space="preserve">de qué subconjunto de niños se use para evaluar: el desempeño es estable.</w:t>
      </w:r>
    </w:p>
    <w:p>
      <w:pPr>
        <w:pStyle w:val="BodyText"/>
      </w:pPr>
      <w:r>
        <w:rPr>
          <w:b/>
          <w:bCs/>
        </w:rPr>
        <w:t xml:space="preserve">Sobre el equilibrio entre cobertura y precisión.</w:t>
      </w:r>
      <w:r>
        <w:t xml:space="preserve"> </w:t>
      </w:r>
      <w:r>
        <w:t xml:space="preserve">El punto de corte es ajustable y los dos valores se</w:t>
      </w:r>
      <w:r>
        <w:t xml:space="preserve"> </w:t>
      </w:r>
      <w:r>
        <w:t xml:space="preserve">mueven en direcciones opuestas. Elevando la cobertura al 80% el sistema detecta más casos reales, pero</w:t>
      </w:r>
      <w:r>
        <w:t xml:space="preserve"> </w:t>
      </w:r>
      <w:r>
        <w:t xml:space="preserve">también emite más alertas que luego no se confirman. La decisión se tomó deliberadamente a favor de la</w:t>
      </w:r>
      <w:r>
        <w:t xml:space="preserve"> </w:t>
      </w:r>
      <w:r>
        <w:t xml:space="preserve">cobertura: en un esquema de priorización, dejar sin detectar a un niño con desnutrición es más costoso</w:t>
      </w:r>
      <w:r>
        <w:t xml:space="preserve"> </w:t>
      </w:r>
      <w:r>
        <w:t xml:space="preserve">que una visita de verificación innecesaria.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</w:p>
    <w:p>
      <w:pPr>
        <w:pStyle w:val="Compact"/>
        <w:numPr>
          <w:ilvl w:val="0"/>
          <w:numId w:val="1001"/>
        </w:numPr>
      </w:pPr>
      <w:r>
        <w:t xml:space="preserve">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FirstParagraph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2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2"/>
    <w:bookmarkStart w:id="13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3"/>
    <w:bookmarkStart w:id="14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−2.2 a 2.2 (aprox.)</w:t>
            </w:r>
          </w:p>
        </w:tc>
        <w:tc>
          <w:tcPr/>
          <w:p>
            <w:pPr>
              <w:pStyle w:val="Compact"/>
            </w:pPr>
            <w:r>
              <w:t xml:space="preserve">índice de riqueza del hogar, en desviaciones respecto a la media 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4"/>
    <w:bookmarkStart w:id="15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15"/>
    <w:bookmarkStart w:id="16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6"/>
    <w:bookmarkEnd w:id="17"/>
    <w:bookmarkStart w:id="21" w:name="variables-adicionales-deseables"/>
    <w:p>
      <w:pPr>
        <w:pStyle w:val="Heading2"/>
      </w:pPr>
      <w:r>
        <w:t xml:space="preserve">4.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 y que la serie de nutrición materno-infantil de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sistematiza</w:t>
      </w:r>
      <w:r>
        <w:t xml:space="preserve"> </w:t>
      </w:r>
      <w:r>
        <w:t xml:space="preserve">(Black et al., 2013; Victora et al., 2021).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18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18"/>
    <w:bookmarkStart w:id="19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intergeneracional; resultó la variable más influyente en un modelo equivalente sobre datos DHS (Ndagijimana et al.,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19"/>
    <w:bookmarkStart w:id="20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qué-esperamos-de-esta-validación"/>
    <w:p>
      <w:pPr>
        <w:pStyle w:val="Heading2"/>
      </w:pPr>
      <w:r>
        <w:t xml:space="preserve">5. Qué esperamos de esta validación</w:t>
      </w:r>
    </w:p>
    <w:p>
      <w:pPr>
        <w:pStyle w:val="FirstParagraph"/>
      </w:pPr>
      <w:r>
        <w:t xml:space="preserve">Solicitamos la participación de un</w:t>
      </w:r>
      <w:r>
        <w:t xml:space="preserve"> </w:t>
      </w:r>
      <w:r>
        <w:rPr>
          <w:b/>
          <w:bCs/>
        </w:rPr>
        <w:t xml:space="preserve">panel multidisciplinario de cinco profesionales</w:t>
      </w:r>
      <w:r>
        <w:t xml:space="preserve"> </w:t>
      </w:r>
      <w:r>
        <w:t xml:space="preserve">del ámbito</w:t>
      </w:r>
      <w:r>
        <w:t xml:space="preserve"> </w:t>
      </w:r>
      <w:r>
        <w:t xml:space="preserve">sanitario, con el siguiente perfil: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Nutricionistas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Médico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Enfermeros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Requisitos:</w:t>
      </w:r>
      <w:r>
        <w:t xml:space="preserve"> </w:t>
      </w:r>
      <w:r>
        <w:t xml:space="preserve">mínimo diez años de experiencia en área asistencial y grado de maestría en salud</w:t>
      </w:r>
      <w:r>
        <w:t xml:space="preserve"> </w:t>
      </w:r>
      <w:r>
        <w:t xml:space="preserve">pública o áreas afines.</w:t>
      </w:r>
    </w:p>
    <w:bookmarkStart w:id="22" w:name="pertinencia"/>
    <w:p>
      <w:pPr>
        <w:pStyle w:val="Heading3"/>
      </w:pPr>
      <w:r>
        <w:t xml:space="preserve">5.1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El instrumento se apoya en el Modelo de</w:t>
      </w:r>
      <w:r>
        <w:t xml:space="preserve"> </w:t>
      </w:r>
      <w:r>
        <w:t xml:space="preserve">Aceptación Tecnológica (Davis, 1989) y evalúa si la herramienta aporta información accionable para</w:t>
      </w:r>
      <w:r>
        <w:t xml:space="preserve"> </w:t>
      </w:r>
      <w:r>
        <w:t xml:space="preserve">priorizar la atención, qué limitaciones se identifican desde la experiencia clínica y qué variables</w:t>
      </w:r>
      <w:r>
        <w:t xml:space="preserve"> </w:t>
      </w:r>
      <w:r>
        <w:t xml:space="preserve">adicionales resultarían necesarias.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 única, de aproximadamente una hora. El equipo provee el protocolo, conduce</w:t>
      </w:r>
      <w:r>
        <w:t xml:space="preserve"> </w:t>
      </w:r>
      <w:r>
        <w:t xml:space="preserve">la demostración y registra la sesión.</w:t>
      </w:r>
    </w:p>
    <w:bookmarkEnd w:id="22"/>
    <w:bookmarkStart w:id="23" w:name="replicabilidad"/>
    <w:p>
      <w:pPr>
        <w:pStyle w:val="Heading3"/>
      </w:pPr>
      <w:r>
        <w:t xml:space="preserve">5.2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sideraciones-éticas"/>
    <w:p>
      <w:pPr>
        <w:pStyle w:val="Heading2"/>
      </w:pPr>
      <w:r>
        <w:t xml:space="preserve">6.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25"/>
    <w:bookmarkStart w:id="26" w:name="X391304481d104eba4e8178b9fcdf0d8c3b107bd"/>
    <w:p>
      <w:pPr>
        <w:pStyle w:val="Heading2"/>
      </w:pPr>
      <w:r>
        <w:t xml:space="preserve">7.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Abel Guevara Huasco — abelguevara@upeu.edu.pe</w:t>
      </w:r>
      <w:r>
        <w:t xml:space="preserve"> </w:t>
      </w:r>
      <w:r>
        <w:rPr>
          <w:i/>
          <w:iCs/>
        </w:rPr>
        <w:t xml:space="preserve">EP Ingeniería de Sistemas, Universidad Peruana Unión.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ias-citadas"/>
    <w:p>
      <w:pPr>
        <w:pStyle w:val="Heading2"/>
      </w:pPr>
      <w:r>
        <w:t xml:space="preserve">Referencias citadas</w:t>
      </w:r>
    </w:p>
    <w:p>
      <w:pPr>
        <w:pStyle w:val="Compact"/>
        <w:numPr>
          <w:ilvl w:val="0"/>
          <w:numId w:val="1002"/>
        </w:numPr>
      </w:pPr>
      <w:r>
        <w:t xml:space="preserve">Black, R. E., Victora, C. G., Walker, S.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 Maternal and child undernutrition and</w:t>
      </w:r>
      <w:r>
        <w:t xml:space="preserve"> </w:t>
      </w:r>
      <w:r>
        <w:t xml:space="preserve">overweight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382(9890), 427–451.</w:t>
      </w:r>
    </w:p>
    <w:p>
      <w:pPr>
        <w:pStyle w:val="Compact"/>
        <w:numPr>
          <w:ilvl w:val="0"/>
          <w:numId w:val="1002"/>
        </w:numPr>
      </w:pPr>
      <w:r>
        <w:t xml:space="preserve">Davis, F. D. (1989). Perceived usefulness, perceived ease of use, and user acceptance of information</w:t>
      </w:r>
      <w:r>
        <w:t xml:space="preserve"> </w:t>
      </w:r>
      <w:r>
        <w:t xml:space="preserve">technology.</w:t>
      </w:r>
      <w:r>
        <w:t xml:space="preserve"> </w:t>
      </w:r>
      <w:r>
        <w:rPr>
          <w:i/>
          <w:iCs/>
        </w:rPr>
        <w:t xml:space="preserve">MIS Quarterly</w:t>
      </w:r>
      <w:r>
        <w:t xml:space="preserve">, 13(3), 319–340.</w:t>
      </w:r>
    </w:p>
    <w:p>
      <w:pPr>
        <w:pStyle w:val="Compact"/>
        <w:numPr>
          <w:ilvl w:val="0"/>
          <w:numId w:val="1002"/>
        </w:numPr>
      </w:pPr>
      <w:r>
        <w:t xml:space="preserve">Kaufman, S., Rosset, S., &amp; Perlich, C. (2011). Leakage in data mining: formulation, detection, and</w:t>
      </w:r>
      <w:r>
        <w:t xml:space="preserve"> </w:t>
      </w:r>
      <w:r>
        <w:t xml:space="preserve">avoidance.</w:t>
      </w:r>
      <w:r>
        <w:t xml:space="preserve"> </w:t>
      </w:r>
      <w:r>
        <w:rPr>
          <w:i/>
          <w:iCs/>
        </w:rPr>
        <w:t xml:space="preserve">Proceedings of the 17th ACM SIGKDD</w:t>
      </w:r>
      <w:r>
        <w:t xml:space="preserve">, 556–563.</w:t>
      </w:r>
    </w:p>
    <w:p>
      <w:pPr>
        <w:pStyle w:val="Compact"/>
        <w:numPr>
          <w:ilvl w:val="0"/>
          <w:numId w:val="1002"/>
        </w:numPr>
      </w:pPr>
      <w:r>
        <w:t xml:space="preserve">Ndagijimana, S., Kabano, I., Masabo, E., &amp; Ntaganda, J. M. (2025). Predicting stunting status among</w:t>
      </w:r>
      <w:r>
        <w:t xml:space="preserve"> </w:t>
      </w:r>
      <w:r>
        <w:t xml:space="preserve">under-5 children in Rwanda using neural network model.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, 13, 128.</w:t>
      </w:r>
    </w:p>
    <w:p>
      <w:pPr>
        <w:pStyle w:val="Compact"/>
        <w:numPr>
          <w:ilvl w:val="0"/>
          <w:numId w:val="1002"/>
        </w:numPr>
      </w:pPr>
      <w:r>
        <w:t xml:space="preserve">Victora, C. G., Christian, P., Vidaletti, L.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(2021). Revisiting maternal and child</w:t>
      </w:r>
      <w:r>
        <w:t xml:space="preserve"> </w:t>
      </w:r>
      <w:r>
        <w:t xml:space="preserve">undernutrition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397(10282), 1388–1399.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2026-09-21T22:03:38Z</dcterms:created>
  <dcterms:modified xsi:type="dcterms:W3CDTF">2026-09-21T22:03:38Z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