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06669d68aaf3a98adc97ea2c3d84938ffcdbec2"/>
    <w:p>
      <w:pPr>
        <w:pStyle w:val="Heading1"/>
      </w:pPr>
      <w:r>
        <w:t xml:space="preserve">Protocolo de la sesión con el panel de especialistas</w:t>
      </w:r>
    </w:p>
    <w:p>
      <w:pPr>
        <w:pStyle w:val="FirstParagraph"/>
      </w:pPr>
      <w:r>
        <w:t xml:space="preserve">Guía interna del equipo para conducir la sesión de validación de pertinencia (tercer eje de la</w:t>
      </w:r>
      <w:r>
        <w:t xml:space="preserve"> </w:t>
      </w:r>
      <w:r>
        <w:t xml:space="preserve">metodología). Fija el orden, los tiempos y las reglas que aseguran que las respuestas del panel sean</w:t>
      </w:r>
      <w:r>
        <w:t xml:space="preserve"> </w:t>
      </w:r>
      <w:r>
        <w:t xml:space="preserve">comparables entre sí.</w:t>
      </w:r>
    </w:p>
    <w:p>
      <w:pPr>
        <w:pStyle w:val="BodyText"/>
      </w:pPr>
      <w:r>
        <w:rPr>
          <w:b/>
          <w:bCs/>
        </w:rPr>
        <w:t xml:space="preserve">Fecha:</w:t>
      </w:r>
      <w:r>
        <w:t xml:space="preserve"> </w:t>
      </w:r>
      <w:r>
        <w:t xml:space="preserve">miércoles 23 de septiembre de 2026, 7:45 p. m. ·</w:t>
      </w:r>
      <w:r>
        <w:t xml:space="preserve"> </w:t>
      </w:r>
      <w:r>
        <w:rPr>
          <w:b/>
          <w:bCs/>
        </w:rPr>
        <w:t xml:space="preserve">Duración prevista:</w:t>
      </w:r>
      <w:r>
        <w:t xml:space="preserve"> </w:t>
      </w:r>
      <w:r>
        <w:t xml:space="preserve">60 minutos</w:t>
      </w:r>
      <w:r>
        <w:t xml:space="preserve"> </w:t>
      </w:r>
      <w:r>
        <w:rPr>
          <w:b/>
          <w:bCs/>
        </w:rPr>
        <w:t xml:space="preserve">Participantes:</w:t>
      </w:r>
      <w:r>
        <w:t xml:space="preserve"> </w:t>
      </w:r>
      <w:r>
        <w:t xml:space="preserve">cinco especialistas (dos nutricionistas, un médico y dos enfermeros), el equipo de</w:t>
      </w:r>
      <w:r>
        <w:t xml:space="preserve"> </w:t>
      </w:r>
      <w:r>
        <w:t xml:space="preserve">investigación y, si asiste, el docente asesor.</w:t>
      </w:r>
    </w:p>
    <w:p>
      <w:r>
        <w:pict>
          <v:rect style="width:0;height:1.5pt" o:hralign="center" o:hrstd="t" o:hr="t"/>
        </w:pict>
      </w:r>
    </w:p>
    <w:bookmarkStart w:id="9" w:name="antes-de-la-sesión"/>
    <w:p>
      <w:pPr>
        <w:pStyle w:val="Heading2"/>
      </w:pPr>
      <w:r>
        <w:t xml:space="preserve">1. Antes de la sesión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Hecho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Probar el enlace de la videollamada y compartir pantalla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Levantar la aplicación (</w:t>
            </w:r>
            <w:r>
              <w:rPr>
                <w:rStyle w:val="VerbatimChar"/>
              </w:rPr>
              <w:t xml:space="preserve">streamlit run app/main.py</w:t>
            </w:r>
            <w:r>
              <w:t xml:space="preserve">) y probar un perfil completo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Abrir la presentación en PDF (</w:t>
            </w:r>
            <w:r>
              <w:rPr>
                <w:rStyle w:val="VerbatimChar"/>
              </w:rPr>
              <w:t xml:space="preserve">presentacion_panel_expertos.pdf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Tener a mano el enlace del formulario de Google y el PDF de la ficha como respaldo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Enviar el consentimiento informado (o confirmar que está en el formulario)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Preparar dos perfiles de ejemplo para la demostración: uno de riesgo alto y uno de riesgo bajo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Definir quién toma notas de las preguntas y comentarios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End w:id="9"/>
    <w:bookmarkStart w:id="10" w:name="roles"/>
    <w:p>
      <w:pPr>
        <w:pStyle w:val="Heading2"/>
      </w:pPr>
      <w:r>
        <w:t xml:space="preserve">2.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Moderación</w:t>
            </w:r>
          </w:p>
        </w:tc>
        <w:tc>
          <w:tcPr/>
          <w:p>
            <w:pPr>
              <w:pStyle w:val="Compact"/>
            </w:pPr>
            <w:r>
              <w:t xml:space="preserve">Abre, controla los tiempos y conduce la ronda de preguntas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Exposición</w:t>
            </w:r>
          </w:p>
        </w:tc>
        <w:tc>
          <w:tcPr/>
          <w:p>
            <w:pPr>
              <w:pStyle w:val="Compact"/>
            </w:pPr>
            <w:r>
              <w:t xml:space="preserve">Presenta las diapositivas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Demostración</w:t>
            </w:r>
          </w:p>
        </w:tc>
        <w:tc>
          <w:tcPr/>
          <w:p>
            <w:pPr>
              <w:pStyle w:val="Compact"/>
            </w:pPr>
            <w:r>
              <w:t xml:space="preserve">Opera la aplicación en pantalla compartida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</w:pPr>
            <w:r>
              <w:t xml:space="preserve">Anota preguntas, dudas y comentarios literales del panel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Una misma persona puede cubrir dos roles, salvo</w:t>
      </w:r>
      <w:r>
        <w:t xml:space="preserve"> </w:t>
      </w:r>
      <w:r>
        <w:rPr>
          <w:b/>
          <w:bCs/>
        </w:rPr>
        <w:t xml:space="preserve">registro</w:t>
      </w:r>
      <w:r>
        <w:t xml:space="preserve">, que debe estar libre para anotar.</w:t>
      </w:r>
    </w:p>
    <w:bookmarkEnd w:id="10"/>
    <w:bookmarkStart w:id="11" w:name="desarrollo"/>
    <w:p>
      <w:pPr>
        <w:pStyle w:val="Heading2"/>
      </w:pPr>
      <w:r>
        <w:t xml:space="preserve">3. Desarrollo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Min.</w:t>
            </w:r>
          </w:p>
        </w:tc>
        <w:tc>
          <w:tcPr/>
          <w:p>
            <w:pPr>
              <w:pStyle w:val="Compact"/>
            </w:pPr>
            <w:r>
              <w:t xml:space="preserve">Bloque</w:t>
            </w:r>
          </w:p>
        </w:tc>
        <w:tc>
          <w:tcPr/>
          <w:p>
            <w:pPr>
              <w:pStyle w:val="Compact"/>
            </w:pPr>
            <w:r>
              <w:t xml:space="preserve">Qué se hace</w:t>
            </w:r>
          </w:p>
        </w:tc>
        <w:tc>
          <w:tcPr/>
          <w:p>
            <w:pPr>
              <w:pStyle w:val="Compact"/>
            </w:pPr>
            <w:r>
              <w:t xml:space="preserve">Material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0–5</w:t>
            </w:r>
          </w:p>
        </w:tc>
        <w:tc>
          <w:tcPr/>
          <w:p>
            <w:pPr>
              <w:pStyle w:val="Compact"/>
            </w:pPr>
            <w:r>
              <w:t xml:space="preserve">Bienvenida</w:t>
            </w:r>
          </w:p>
        </w:tc>
        <w:tc>
          <w:tcPr/>
          <w:p>
            <w:pPr>
              <w:pStyle w:val="Compact"/>
            </w:pPr>
            <w:r>
              <w:t xml:space="preserve">Presentación del equipo y del objetivo de la sesión. Lectura breve del consentimiento y consulta sobre la grabación</w:t>
            </w:r>
          </w:p>
        </w:tc>
        <w:tc>
          <w:tcPr/>
          <w:p>
            <w:pPr>
              <w:pStyle w:val="Compact"/>
            </w:pPr>
            <w:r>
              <w:t xml:space="preserve">Consentimiento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5–20</w:t>
            </w:r>
          </w:p>
        </w:tc>
        <w:tc>
          <w:tcPr/>
          <w:p>
            <w:pPr>
              <w:pStyle w:val="Compact"/>
            </w:pPr>
            <w:r>
              <w:t xml:space="preserve">Exposición</w:t>
            </w:r>
          </w:p>
        </w:tc>
        <w:tc>
          <w:tcPr/>
          <w:p>
            <w:pPr>
              <w:pStyle w:val="Compact"/>
            </w:pPr>
            <w:r>
              <w:t xml:space="preserve">Diapositivas 1 a 6: problema, qué hace el sistema, datos, lo que aprendió el modelo, desempeño y límites</w:t>
            </w:r>
          </w:p>
        </w:tc>
        <w:tc>
          <w:tcPr/>
          <w:p>
            <w:pPr>
              <w:pStyle w:val="Compact"/>
            </w:pPr>
            <w:r>
              <w:t xml:space="preserve">Presentación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20–32</w:t>
            </w:r>
          </w:p>
        </w:tc>
        <w:tc>
          <w:tcPr/>
          <w:p>
            <w:pPr>
              <w:pStyle w:val="Compact"/>
            </w:pPr>
            <w:r>
              <w:t xml:space="preserve">Demostración</w:t>
            </w:r>
          </w:p>
        </w:tc>
        <w:tc>
          <w:tcPr/>
          <w:p>
            <w:pPr>
              <w:pStyle w:val="Compact"/>
            </w:pPr>
            <w:r>
              <w:t xml:space="preserve">Mapa de riesgo territorial y predictor individual con los dos perfiles de ejemplo</w:t>
            </w:r>
          </w:p>
        </w:tc>
        <w:tc>
          <w:tcPr/>
          <w:p>
            <w:pPr>
              <w:pStyle w:val="Compact"/>
            </w:pPr>
            <w:r>
              <w:t xml:space="preserve">Aplicación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32–45</w:t>
            </w:r>
          </w:p>
        </w:tc>
        <w:tc>
          <w:tcPr/>
          <w:p>
            <w:pPr>
              <w:pStyle w:val="Compact"/>
            </w:pPr>
            <w:r>
              <w:t xml:space="preserve">Preguntas</w:t>
            </w:r>
          </w:p>
        </w:tc>
        <w:tc>
          <w:tcPr/>
          <w:p>
            <w:pPr>
              <w:pStyle w:val="Compact"/>
            </w:pPr>
            <w:r>
              <w:t xml:space="preserve">Ronda abierta de aclaraciones. Se responde qué hace el sistema, no se opina sobre qué tan bueno 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45–57</w:t>
            </w:r>
          </w:p>
        </w:tc>
        <w:tc>
          <w:tcPr/>
          <w:p>
            <w:pPr>
              <w:pStyle w:val="Compact"/>
            </w:pPr>
            <w:r>
              <w:t xml:space="preserve">Ficha</w:t>
            </w:r>
          </w:p>
        </w:tc>
        <w:tc>
          <w:tcPr/>
          <w:p>
            <w:pPr>
              <w:pStyle w:val="Compact"/>
            </w:pPr>
            <w:r>
              <w:t xml:space="preserve">Envío del enlace por el chat. El equipo permanece conectado para resolver dudas de llenado</w:t>
            </w:r>
          </w:p>
        </w:tc>
        <w:tc>
          <w:tcPr/>
          <w:p>
            <w:pPr>
              <w:pStyle w:val="Compact"/>
            </w:pPr>
            <w:r>
              <w:t xml:space="preserve">Formulario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57–60</w:t>
            </w:r>
          </w:p>
        </w:tc>
        <w:tc>
          <w:tcPr/>
          <w:p>
            <w:pPr>
              <w:pStyle w:val="Compact"/>
            </w:pPr>
            <w:r>
              <w:t xml:space="preserve">Cierre</w:t>
            </w:r>
          </w:p>
        </w:tc>
        <w:tc>
          <w:tcPr/>
          <w:p>
            <w:pPr>
              <w:pStyle w:val="Compact"/>
            </w:pPr>
            <w:r>
              <w:t xml:space="preserve">Agradecimiento y aviso de cómo se usarán los resultados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1"/>
    <w:bookmarkStart w:id="12" w:name="reglas-para-no-sesgar-las-respuestas"/>
    <w:p>
      <w:pPr>
        <w:pStyle w:val="Heading2"/>
      </w:pPr>
      <w:r>
        <w:t xml:space="preserve">4. Reglas para no sesgar las respuestas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anticipar la valoración.</w:t>
      </w:r>
      <w:r>
        <w:t xml:space="preserve"> </w:t>
      </w:r>
      <w:r>
        <w:t xml:space="preserve">Evitar frases como</w:t>
      </w:r>
      <w:r>
        <w:t xml:space="preserve"> </w:t>
      </w:r>
      <w:r>
        <w:t xml:space="preserve">“es muy útil”</w:t>
      </w:r>
      <w:r>
        <w:t xml:space="preserve"> </w:t>
      </w:r>
      <w:r>
        <w:t xml:space="preserve">o</w:t>
      </w:r>
      <w:r>
        <w:t xml:space="preserve"> </w:t>
      </w:r>
      <w:r>
        <w:t xml:space="preserve">“es fácil de usar”</w:t>
      </w:r>
      <w:r>
        <w:t xml:space="preserve">. Describir lo</w:t>
      </w:r>
      <w:r>
        <w:t xml:space="preserve"> </w:t>
      </w:r>
      <w:r>
        <w:t xml:space="preserve">que hace el sistema y dejar que el panel juzgue.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Responder dudas, no argumentar.</w:t>
      </w:r>
      <w:r>
        <w:t xml:space="preserve"> </w:t>
      </w:r>
      <w:r>
        <w:t xml:space="preserve">Si un especialista objeta una limitación, se anota tal cual y</w:t>
      </w:r>
      <w:r>
        <w:t xml:space="preserve"> </w:t>
      </w:r>
      <w:r>
        <w:t xml:space="preserve">no se discute; es un dato para las preguntas abiertas.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Mismas explicaciones para todos.</w:t>
      </w:r>
      <w:r>
        <w:t xml:space="preserve"> </w:t>
      </w:r>
      <w:r>
        <w:t xml:space="preserve">Si surge una aclaración importante durante la ficha, se</w:t>
      </w:r>
      <w:r>
        <w:t xml:space="preserve"> </w:t>
      </w:r>
      <w:r>
        <w:t xml:space="preserve">comparte con todo el panel, no solo con quien preguntó.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Hemoglobina.</w:t>
      </w:r>
      <w:r>
        <w:t xml:space="preserve"> </w:t>
      </w:r>
      <w:r>
        <w:t xml:space="preserve">Si preguntan, informar lo medido: sin ese dato el modelo pasa de un AUC de 0.8295 a</w:t>
      </w:r>
      <w:r>
        <w:t xml:space="preserve"> </w:t>
      </w:r>
      <w:r>
        <w:t xml:space="preserve">0.8281 y la sensibilidad de 76.44% a 76.30%. No sugerir cómo responder el ítem K2.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Tiempo de la ficha.</w:t>
      </w:r>
      <w:r>
        <w:t xml:space="preserve"> </w:t>
      </w:r>
      <w:r>
        <w:t xml:space="preserve">No presionar; si alguien no termina en la sesión, puede completarla después</w:t>
      </w:r>
      <w:r>
        <w:t xml:space="preserve"> </w:t>
      </w:r>
      <w:r>
        <w:t xml:space="preserve">con el mismo enlace.</w:t>
      </w:r>
    </w:p>
    <w:bookmarkEnd w:id="12"/>
    <w:bookmarkStart w:id="13" w:name="X24ce44df771cbf36bfdae179092e3fd66e4c156"/>
    <w:p>
      <w:pPr>
        <w:pStyle w:val="Heading2"/>
      </w:pPr>
      <w:r>
        <w:t xml:space="preserve">5. Preguntas previsibles y respuesta sugerida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Pregunta</w:t>
            </w:r>
          </w:p>
        </w:tc>
        <w:tc>
          <w:tcPr/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¿El sistema diagnostica desnutrición?</w:t>
            </w:r>
          </w:p>
        </w:tc>
        <w:tc>
          <w:tcPr/>
          <w:p>
            <w:pPr>
              <w:pStyle w:val="Compact"/>
            </w:pPr>
            <w:r>
              <w:t xml:space="preserve">No. Estima el riesgo para priorizar a quién evaluar primero; el diagnóstico sigue siendo antropométrico y clínico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¿De dónde salen los datos?</w:t>
            </w:r>
          </w:p>
        </w:tc>
        <w:tc>
          <w:tcPr/>
          <w:p>
            <w:pPr>
              <w:pStyle w:val="Compact"/>
            </w:pPr>
            <w:r>
              <w:t xml:space="preserve">De la ENDES (INEI), 2007–2025: 304,271 registros de niños menores de cinco años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¿Qué tan confiable es?</w:t>
            </w:r>
          </w:p>
        </w:tc>
        <w:tc>
          <w:tcPr/>
          <w:p>
            <w:pPr>
              <w:pStyle w:val="Compact"/>
            </w:pPr>
            <w:r>
              <w:t xml:space="preserve">AUC-ROC de 0.83 con intervalo de confianza al 95% de [0.827, 0.832]. Con el umbral de triaje identifica a ocho de cada diez niños con desnutrición crónica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¿Por qué pide peso o talla si no mide al niño?</w:t>
            </w:r>
          </w:p>
        </w:tc>
        <w:tc>
          <w:tcPr/>
          <w:p>
            <w:pPr>
              <w:pStyle w:val="Compact"/>
            </w:pPr>
            <w:r>
              <w:t xml:space="preserve">Aclarar qué variables son del hogar y la madre, y cuáles requieren medir al niño (solo la hemoglobina exige un procedimiento)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¿Se puede usar ya en un establecimiento?</w:t>
            </w:r>
          </w:p>
        </w:tc>
        <w:tc>
          <w:tcPr/>
          <w:p>
            <w:pPr>
              <w:pStyle w:val="Compact"/>
            </w:pPr>
            <w:r>
              <w:t xml:space="preserve">Es una propuesta académica; su valoración sirve precisamente para decidir qué falta antes de una prueba piloto</w:t>
            </w:r>
          </w:p>
        </w:tc>
      </w:tr>
    </w:tbl>
    <w:bookmarkEnd w:id="13"/>
    <w:bookmarkStart w:id="14" w:name="después-de-la-sesión"/>
    <w:p>
      <w:pPr>
        <w:pStyle w:val="Heading2"/>
      </w:pPr>
      <w:r>
        <w:t xml:space="preserve">6. Después de la sesión</w:t>
      </w:r>
    </w:p>
    <w:p>
      <w:pPr>
        <w:pStyle w:val="Compact"/>
        <w:numPr>
          <w:ilvl w:val="0"/>
          <w:numId w:val="1002"/>
        </w:numPr>
      </w:pPr>
      <w:r>
        <w:t xml:space="preserve">Pasar en limpio las notas de registro el mismo día, separando preguntas, objeciones y sugerencias.</w:t>
      </w:r>
    </w:p>
    <w:p>
      <w:pPr>
        <w:pStyle w:val="Compact"/>
        <w:numPr>
          <w:ilvl w:val="0"/>
          <w:numId w:val="1002"/>
        </w:numPr>
      </w:pPr>
      <w:r>
        <w:t xml:space="preserve">Verificar en la hoja de respuestas que hay cinco filas completas y borrar las filas de prueba.</w:t>
      </w:r>
    </w:p>
    <w:p>
      <w:pPr>
        <w:pStyle w:val="Compact"/>
        <w:numPr>
          <w:ilvl w:val="0"/>
          <w:numId w:val="1002"/>
        </w:numPr>
      </w:pPr>
      <w:r>
        <w:t xml:space="preserve">Descargar la hoja como CSV para el análisis: mediana y rango intercuartílico por constructo,</w:t>
      </w:r>
      <w:r>
        <w:t xml:space="preserve"> </w:t>
      </w:r>
      <w:r>
        <w:t xml:space="preserve">porcentaje de acuerdo por ítem y análisis de contenido de las preguntas abiertas.</w:t>
      </w:r>
    </w:p>
    <w:p>
      <w:pPr>
        <w:pStyle w:val="Compact"/>
        <w:numPr>
          <w:ilvl w:val="0"/>
          <w:numId w:val="1002"/>
        </w:numPr>
      </w:pPr>
      <w:r>
        <w:t xml:space="preserve">Enviar un mensaje de agradecimiento a cada especialista.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2026-09-23T20:34:58Z</dcterms:created>
  <dcterms:modified xsi:type="dcterms:W3CDTF">2026-09-23T20:34:58Z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