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X65f67493c61caaa123f1f8d68ab7cc02703792a"/>
    <w:p>
      <w:pPr>
        <w:pStyle w:val="Heading1"/>
      </w:pPr>
      <w:r>
        <w:t xml:space="preserve">SOLICITUD DE VALIDACIÓN POR JUICIO DE EXPERTOS</w:t>
      </w:r>
    </w:p>
    <w:p>
      <w:pPr>
        <w:pStyle w:val="FirstParagraph"/>
      </w:pPr>
      <w:r>
        <w:rPr>
          <w:b/>
          <w:bCs/>
        </w:rPr>
        <w:t xml:space="preserve">Proyecto:</w:t>
      </w:r>
      <w:r>
        <w:t xml:space="preserve"> </w:t>
      </w:r>
      <w:r>
        <w:rPr>
          <w:i/>
          <w:iCs/>
        </w:rPr>
        <w:t xml:space="preserve">Modelo Predictivo de Riesgo de Desnutrición Crónica Infantil en el Perú mediante Machine Learning</w:t>
      </w:r>
    </w:p>
    <w:p>
      <w:pPr>
        <w:pStyle w:val="BodyText"/>
      </w:pPr>
      <w:r>
        <w:rPr>
          <w:b/>
          <w:bCs/>
        </w:rPr>
        <w:t xml:space="preserve">Institución:</w:t>
      </w:r>
      <w:r>
        <w:t xml:space="preserve"> </w:t>
      </w:r>
      <w:r>
        <w:t xml:space="preserve">Universidad Peruana Unión (UPeU) — Facultad de Ingeniería y Arquitectura, EP Ingeniería de Sistemas</w:t>
      </w:r>
      <w:r>
        <w:t xml:space="preserve"> </w:t>
      </w:r>
      <w:r>
        <w:rPr>
          <w:b/>
          <w:bCs/>
        </w:rPr>
        <w:t xml:space="preserve">Asignatura:</w:t>
      </w:r>
      <w:r>
        <w:t xml:space="preserve"> </w:t>
      </w:r>
      <w:r>
        <w:t xml:space="preserve">Investigación V (Ciclo X – 2026-II) ·</w:t>
      </w:r>
      <w:r>
        <w:t xml:space="preserve"> </w:t>
      </w:r>
      <w:r>
        <w:rPr>
          <w:b/>
          <w:bCs/>
        </w:rPr>
        <w:t xml:space="preserve">Docente:</w:t>
      </w:r>
      <w:r>
        <w:t xml:space="preserve"> </w:t>
      </w:r>
      <w:r>
        <w:t xml:space="preserve">Mg. Nemias Saboya Rios</w:t>
      </w:r>
      <w:r>
        <w:t xml:space="preserve"> </w:t>
      </w:r>
      <w:r>
        <w:rPr>
          <w:b/>
          <w:bCs/>
        </w:rPr>
        <w:t xml:space="preserve">Equipo:</w:t>
      </w:r>
      <w:r>
        <w:t xml:space="preserve"> </w:t>
      </w:r>
      <w:r>
        <w:t xml:space="preserve">Abel Guevara Huasco · Verónica Vergara Rojas · Pamela Vallejos Cotrina</w:t>
      </w:r>
    </w:p>
    <w:p>
      <w:r>
        <w:pict>
          <v:rect style="width:0;height:1.5pt" o:hralign="center" o:hrstd="t" o:hr="t"/>
        </w:pict>
      </w:r>
    </w:p>
    <w:bookmarkStart w:id="9" w:name="objetivo"/>
    <w:p>
      <w:pPr>
        <w:pStyle w:val="Heading2"/>
      </w:pPr>
      <w:r>
        <w:t xml:space="preserve">1. Objetivo</w:t>
      </w:r>
    </w:p>
    <w:p>
      <w:pPr>
        <w:pStyle w:val="FirstParagraph"/>
      </w:pPr>
      <w:r>
        <w:t xml:space="preserve">Predecir el</w:t>
      </w:r>
      <w:r>
        <w:t xml:space="preserve"> </w:t>
      </w:r>
      <w:r>
        <w:rPr>
          <w:b/>
          <w:bCs/>
        </w:rPr>
        <w:t xml:space="preserve">perfil de riesgo de desnutrición crónica infantil</w:t>
      </w:r>
      <w:r>
        <w:t xml:space="preserve"> </w:t>
      </w:r>
      <w:r>
        <w:t xml:space="preserve">en menores de 5 años a partir de</w:t>
      </w:r>
      <w:r>
        <w:t xml:space="preserve"> </w:t>
      </w:r>
      <w:r>
        <w:t xml:space="preserve">variables sociodemográficas, del hogar y de salud materna recogidas por encuesta, con el fin de</w:t>
      </w:r>
      <w:r>
        <w:t xml:space="preserve"> </w:t>
      </w:r>
      <w:r>
        <w:rPr>
          <w:b/>
          <w:bCs/>
        </w:rPr>
        <w:t xml:space="preserve">orientar la focalización de recursos</w:t>
      </w:r>
      <w:r>
        <w:t xml:space="preserve"> </w:t>
      </w:r>
      <w:r>
        <w:t xml:space="preserve">en salud pública.</w:t>
      </w:r>
    </w:p>
    <w:p>
      <w:pPr>
        <w:pStyle w:val="BodyText"/>
      </w:pPr>
      <w:r>
        <w:t xml:space="preserve">El sistema</w:t>
      </w:r>
      <w:r>
        <w:t xml:space="preserve"> </w:t>
      </w:r>
      <w:r>
        <w:rPr>
          <w:b/>
          <w:bCs/>
        </w:rPr>
        <w:t xml:space="preserve">no reemplaza el diagnóstico clínico ni la medición antropométrica</w:t>
      </w:r>
      <w:r>
        <w:t xml:space="preserve">. Funciona como una</w:t>
      </w:r>
      <w:r>
        <w:t xml:space="preserve"> </w:t>
      </w:r>
      <w:r>
        <w:t xml:space="preserve">herramienta de</w:t>
      </w:r>
      <w:r>
        <w:t xml:space="preserve"> </w:t>
      </w:r>
      <w:r>
        <w:rPr>
          <w:b/>
          <w:bCs/>
        </w:rPr>
        <w:t xml:space="preserve">triaje previo</w:t>
      </w:r>
      <w:r>
        <w:t xml:space="preserve">: dado el perfil de un hogar, estima la probabilidad de que el niño</w:t>
      </w:r>
      <w:r>
        <w:t xml:space="preserve"> </w:t>
      </w:r>
      <w:r>
        <w:t xml:space="preserve">presente desnutrición crónica, permitiendo priorizar a quién visitar primero cuando el presupuesto no</w:t>
      </w:r>
      <w:r>
        <w:t xml:space="preserve"> </w:t>
      </w:r>
      <w:r>
        <w:t xml:space="preserve">alcanza para cubrir a toda la población.</w:t>
      </w:r>
    </w:p>
    <w:p>
      <w:pPr>
        <w:pStyle w:val="BodyText"/>
      </w:pPr>
      <w:r>
        <w:rPr>
          <w:b/>
          <w:bCs/>
        </w:rPr>
        <w:t xml:space="preserve">Pregunta de investigación:</w:t>
      </w:r>
      <w:r>
        <w:t xml:space="preserve"> </w:t>
      </w:r>
      <w:r>
        <w:t xml:space="preserve">¿Puede un modelo de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 </w:t>
      </w:r>
      <w:r>
        <w:t xml:space="preserve">identificar, con datos de</w:t>
      </w:r>
      <w:r>
        <w:t xml:space="preserve"> </w:t>
      </w:r>
      <w:r>
        <w:t xml:space="preserve">encuesta de hogar, qué niños tienen mayor riesgo de desnutrición crónica antes de que un agente de</w:t>
      </w:r>
      <w:r>
        <w:t xml:space="preserve"> </w:t>
      </w:r>
      <w:r>
        <w:t xml:space="preserve">salud llegue al domicilio?</w:t>
      </w:r>
    </w:p>
    <w:p>
      <w:r>
        <w:pict>
          <v:rect style="width:0;height:1.5pt" o:hralign="center" o:hrstd="t" o:hr="t"/>
        </w:pict>
      </w:r>
    </w:p>
    <w:bookmarkEnd w:id="9"/>
    <w:bookmarkStart w:id="10" w:name="método"/>
    <w:p>
      <w:pPr>
        <w:pStyle w:val="Heading2"/>
      </w:pPr>
      <w:r>
        <w:t xml:space="preserve">2. Método</w:t>
      </w:r>
    </w:p>
    <w:p>
      <w:pPr>
        <w:pStyle w:val="FirstParagraph"/>
      </w:pPr>
      <w:r>
        <w:t xml:space="preserve">Se siguió</w:t>
      </w:r>
      <w:r>
        <w:t xml:space="preserve"> </w:t>
      </w:r>
      <w:r>
        <w:rPr>
          <w:b/>
          <w:bCs/>
        </w:rPr>
        <w:t xml:space="preserve">CRISP-DM</w:t>
      </w:r>
      <w:r>
        <w:t xml:space="preserve"> </w:t>
      </w:r>
      <w:r>
        <w:t xml:space="preserve">(</w:t>
      </w:r>
      <w:r>
        <w:rPr>
          <w:i/>
          <w:iCs/>
        </w:rPr>
        <w:t xml:space="preserve">Cross-Industry Standard Process for Data Mining</w:t>
      </w:r>
      <w:r>
        <w:t xml:space="preserve">), estándar de la industria</w:t>
      </w:r>
      <w:r>
        <w:t xml:space="preserve"> </w:t>
      </w:r>
      <w:r>
        <w:t xml:space="preserve">para proyectos de ciencia de datos, organizado en seis fases:</w:t>
      </w:r>
    </w:p>
    <w:p>
      <w:pPr>
        <w:pStyle w:val="SourceCode"/>
      </w:pPr>
      <w:r>
        <w:rPr>
          <w:rStyle w:val="VerbatimChar"/>
        </w:rPr>
        <w:t xml:space="preserve">1. Comprensión    2. Comprensión    3. Preparación</w:t>
      </w:r>
      <w:r>
        <w:br/>
      </w:r>
      <w:r>
        <w:rPr>
          <w:rStyle w:val="VerbatimChar"/>
        </w:rPr>
        <w:t xml:space="preserve">   del Negocio   →   de los Datos  →   de los Datos</w:t>
      </w:r>
      <w:r>
        <w:br/>
      </w:r>
      <w:r>
        <w:rPr>
          <w:rStyle w:val="VerbatimChar"/>
        </w:rPr>
        <w:t xml:space="preserve">                                            ↓</w:t>
      </w:r>
      <w:r>
        <w:br/>
      </w:r>
      <w:r>
        <w:rPr>
          <w:rStyle w:val="VerbatimChar"/>
        </w:rPr>
        <w:t xml:space="preserve">6. Despliegue  ←  5. Evaluación   ←   4. Modelado</w:t>
      </w:r>
      <w:r>
        <w:br/>
      </w:r>
      <w:r>
        <w:rPr>
          <w:rStyle w:val="VerbatimChar"/>
        </w:rPr>
        <w:t xml:space="preserve">   (aplicativo)     (explicabilidad)     (algoritmos)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Aspecto</w:t>
            </w:r>
          </w:p>
        </w:tc>
        <w:tc>
          <w:tcPr/>
          <w:p>
            <w:pPr>
              <w:pStyle w:val="Compact"/>
            </w:pPr>
            <w:r>
              <w:t xml:space="preserve">Definición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Fuente</w:t>
            </w:r>
          </w:p>
        </w:tc>
        <w:tc>
          <w:tcPr/>
          <w:p>
            <w:pPr>
              <w:pStyle w:val="Compact"/>
            </w:pPr>
            <w:r>
              <w:t xml:space="preserve">ENDES — INEI (Encuesta Demográfica y de Salud Familiar), datos públicos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Periodo</w:t>
            </w:r>
          </w:p>
        </w:tc>
        <w:tc>
          <w:tcPr/>
          <w:p>
            <w:pPr>
              <w:pStyle w:val="Compact"/>
            </w:pPr>
            <w:r>
              <w:t xml:space="preserve">2007 – 2025 (19 años)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Muestra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304,271 niños</w:t>
            </w:r>
            <w:r>
              <w:t xml:space="preserve"> </w:t>
            </w:r>
            <w:r>
              <w:t xml:space="preserve">menores de 5 años con antropometría válida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Variable objetivo</w:t>
            </w:r>
          </w:p>
        </w:tc>
        <w:tc>
          <w:tcPr/>
          <w:p>
            <w:pPr>
              <w:pStyle w:val="Compact"/>
            </w:pPr>
            <w:r>
              <w:t xml:space="preserve">Desnutrición crónica: Z-score Talla/Edad (</w:t>
            </w:r>
            <w:r>
              <w:rPr>
                <w:rStyle w:val="VerbatimChar"/>
              </w:rPr>
              <w:t xml:space="preserve">HC70</w:t>
            </w:r>
            <w:r>
              <w:t xml:space="preserve">) &lt; −2 DE, estándar OMS / KPI 4 del INEI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Prevalencia</w:t>
            </w:r>
          </w:p>
        </w:tc>
        <w:tc>
          <w:tcPr/>
          <w:p>
            <w:pPr>
              <w:pStyle w:val="Compact"/>
            </w:pPr>
            <w:r>
              <w:t xml:space="preserve">15.8%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Tipo de problema</w:t>
            </w:r>
          </w:p>
        </w:tc>
        <w:tc>
          <w:tcPr/>
          <w:p>
            <w:pPr>
              <w:pStyle w:val="Compact"/>
            </w:pPr>
            <w:r>
              <w:t xml:space="preserve">Clasificación binaria supervisada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Validación</w:t>
            </w:r>
          </w:p>
        </w:tc>
        <w:tc>
          <w:tcPr/>
          <w:p>
            <w:pPr>
              <w:pStyle w:val="Compact"/>
            </w:pPr>
            <w:r>
              <w:t xml:space="preserve">Validación cruzada estratificada 5-</w:t>
            </w:r>
            <w:r>
              <w:rPr>
                <w:i/>
                <w:iCs/>
              </w:rPr>
              <w:t xml:space="preserve">fold</w:t>
            </w:r>
            <w:r>
              <w:t xml:space="preserve"> </w:t>
            </w:r>
            <w:r>
              <w:t xml:space="preserve">con ponderación muestral del INEI (</w:t>
            </w:r>
            <w:r>
              <w:rPr>
                <w:rStyle w:val="VerbatimChar"/>
              </w:rPr>
              <w:t xml:space="preserve">HV005</w:t>
            </w:r>
            <w:r>
              <w:t xml:space="preserve">)</w:t>
            </w:r>
          </w:p>
        </w:tc>
      </w:tr>
    </w:tbl>
    <w:p>
      <w:pPr>
        <w:pStyle w:val="BodyText"/>
      </w:pPr>
      <w:r>
        <w:rPr>
          <w:b/>
          <w:bCs/>
        </w:rPr>
        <w:t xml:space="preserve">Decisión metodológica central:</w:t>
      </w:r>
      <w:r>
        <w:t xml:space="preserve"> </w:t>
      </w:r>
      <w:r>
        <w:t xml:space="preserve">se</w:t>
      </w:r>
      <w:r>
        <w:t xml:space="preserve"> </w:t>
      </w:r>
      <w:r>
        <w:rPr>
          <w:b/>
          <w:bCs/>
        </w:rPr>
        <w:t xml:space="preserve">excluyeron deliberadamente el peso y la talla directos del</w:t>
      </w:r>
      <w:r>
        <w:rPr>
          <w:b/>
          <w:bCs/>
        </w:rPr>
        <w:t xml:space="preserve"> </w:t>
      </w:r>
      <w:r>
        <w:rPr>
          <w:b/>
          <w:bCs/>
        </w:rPr>
        <w:t xml:space="preserve">niño</w:t>
      </w:r>
      <w:r>
        <w:t xml:space="preserve"> </w:t>
      </w:r>
      <w:r>
        <w:t xml:space="preserve">(</w:t>
      </w:r>
      <w:r>
        <w:rPr>
          <w:rStyle w:val="VerbatimChar"/>
        </w:rPr>
        <w:t xml:space="preserve">HC2</w:t>
      </w:r>
      <w:r>
        <w:t xml:space="preserve">,</w:t>
      </w:r>
      <w:r>
        <w:t xml:space="preserve"> </w:t>
      </w:r>
      <w:r>
        <w:rPr>
          <w:rStyle w:val="VerbatimChar"/>
        </w:rPr>
        <w:t xml:space="preserve">HC3</w:t>
      </w:r>
      <w:r>
        <w:t xml:space="preserve">) y los Z-scores derivados, siguiendo el criterio de prevención de fuga de</w:t>
      </w:r>
      <w:r>
        <w:t xml:space="preserve"> </w:t>
      </w:r>
      <w:r>
        <w:t xml:space="preserve">información (Kaufman et al., 2011). Si el modelo conociera la talla, el diagnóstico sería</w:t>
      </w:r>
      <w:r>
        <w:t xml:space="preserve"> </w:t>
      </w:r>
      <w:r>
        <w:t xml:space="preserve">trivial y no habría predicción. El modelo aprende únicamente de variables</w:t>
      </w:r>
      <w:r>
        <w:t xml:space="preserve"> </w:t>
      </w:r>
      <w:r>
        <w:rPr>
          <w:i/>
          <w:iCs/>
        </w:rPr>
        <w:t xml:space="preserve">no obvias</w:t>
      </w:r>
      <w:r>
        <w:t xml:space="preserve"> </w:t>
      </w:r>
      <w:r>
        <w:t xml:space="preserve">—condiciones del</w:t>
      </w:r>
      <w:r>
        <w:t xml:space="preserve"> </w:t>
      </w:r>
      <w:r>
        <w:t xml:space="preserve">hogar, historia materna y entorno— que la encuesta puede recoger sin medir al niño.</w:t>
      </w:r>
    </w:p>
    <w:p>
      <w:pPr>
        <w:pStyle w:val="BodyText"/>
      </w:pPr>
      <w:r>
        <w:rPr>
          <w:b/>
          <w:bCs/>
        </w:rPr>
        <w:t xml:space="preserve">Resultados actuales:</w:t>
      </w:r>
      <w:r>
        <w:t xml:space="preserve"> </w:t>
      </w:r>
      <w:r>
        <w:t xml:space="preserve">LightGBM resultó el algoritmo campeón entre seis evaluados, con</w:t>
      </w:r>
      <w:r>
        <w:t xml:space="preserve"> </w:t>
      </w:r>
      <w:r>
        <w:rPr>
          <w:b/>
          <w:bCs/>
        </w:rPr>
        <w:t xml:space="preserve">AUC-ROC 0.8294</w:t>
      </w:r>
      <w:r>
        <w:t xml:space="preserve"> </w:t>
      </w:r>
      <w:r>
        <w:t xml:space="preserve">(IC 95%: 0.8267 – 0.8324) y</w:t>
      </w:r>
      <w:r>
        <w:t xml:space="preserve"> </w:t>
      </w:r>
      <w:r>
        <w:rPr>
          <w:b/>
          <w:bCs/>
        </w:rPr>
        <w:t xml:space="preserve">sensibilidad 76.43%</w:t>
      </w:r>
      <w:r>
        <w:t xml:space="preserve"> </w:t>
      </w:r>
      <w:r>
        <w:t xml:space="preserve">(IC 95%: 75.88% – 76.98%),</w:t>
      </w:r>
      <w:r>
        <w:t xml:space="preserve"> </w:t>
      </w:r>
      <w:r>
        <w:t xml:space="preserve">verificados mediante</w:t>
      </w:r>
      <w:r>
        <w:t xml:space="preserve"> </w:t>
      </w:r>
      <w:r>
        <w:rPr>
          <w:i/>
          <w:iCs/>
        </w:rPr>
        <w:t xml:space="preserve">bootstrap</w:t>
      </w:r>
      <w:r>
        <w:t xml:space="preserve"> </w:t>
      </w:r>
      <w:r>
        <w:t xml:space="preserve">de 1,000 repeticiones. El umbral de decisión es ajustable: elevando la</w:t>
      </w:r>
      <w:r>
        <w:t xml:space="preserve"> </w:t>
      </w:r>
      <w:r>
        <w:t xml:space="preserve">sensibilidad a ≥ 80% el sistema detecta más casos reales a costa de más falsos positivos, criterio</w:t>
      </w:r>
      <w:r>
        <w:t xml:space="preserve"> </w:t>
      </w:r>
      <w:r>
        <w:t xml:space="preserve">deliberado en triaje preventivo, donde no detectar a un niño desnutrido es más costoso que una visita</w:t>
      </w:r>
      <w:r>
        <w:t xml:space="preserve"> </w:t>
      </w:r>
      <w:r>
        <w:t xml:space="preserve">de verificación innecesaria.</w:t>
      </w:r>
    </w:p>
    <w:p>
      <w:r>
        <w:pict>
          <v:rect style="width:0;height:1.5pt" o:hralign="center" o:hrstd="t" o:hr="t"/>
        </w:pict>
      </w:r>
    </w:p>
    <w:bookmarkEnd w:id="10"/>
    <w:bookmarkStart w:id="16" w:name="variables-que-intervienen-45"/>
    <w:p>
      <w:pPr>
        <w:pStyle w:val="Heading2"/>
      </w:pPr>
      <w:r>
        <w:t xml:space="preserve">3. Variables que intervienen (45)</w:t>
      </w:r>
    </w:p>
    <w:p>
      <w:pPr>
        <w:pStyle w:val="FirstParagraph"/>
      </w:pPr>
      <w:r>
        <w:t xml:space="preserve">Estas son las variables que el modelo utiliza actualmente, agrupadas por dominio.</w:t>
      </w:r>
      <w:r>
        <w:t xml:space="preserve"> </w:t>
      </w:r>
      <w:r>
        <w:rPr>
          <w:b/>
          <w:bCs/>
        </w:rPr>
        <w:t xml:space="preserve">Son las que</w:t>
      </w:r>
      <w:r>
        <w:rPr>
          <w:b/>
          <w:bCs/>
        </w:rPr>
        <w:t xml:space="preserve"> </w:t>
      </w:r>
      <w:r>
        <w:rPr>
          <w:b/>
          <w:bCs/>
        </w:rPr>
        <w:t xml:space="preserve">solicitamos encontrar en cualquier conjunto de datos externo con el que se desee contrastar el</w:t>
      </w:r>
      <w:r>
        <w:rPr>
          <w:b/>
          <w:bCs/>
        </w:rPr>
        <w:t xml:space="preserve"> </w:t>
      </w:r>
      <w:r>
        <w:rPr>
          <w:b/>
          <w:bCs/>
        </w:rPr>
        <w:t xml:space="preserve">sistema.</w:t>
      </w:r>
    </w:p>
    <w:bookmarkStart w:id="11" w:name="a.-niño-4"/>
    <w:p>
      <w:pPr>
        <w:pStyle w:val="Heading3"/>
      </w:pPr>
      <w:r>
        <w:t xml:space="preserve">A. Niño (4)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Código ENDES</w:t>
            </w:r>
          </w:p>
        </w:tc>
        <w:tc>
          <w:tcPr/>
          <w:p>
            <w:pPr>
              <w:pStyle w:val="Compact"/>
            </w:pPr>
            <w:r>
              <w:t xml:space="preserve">Variable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HC1</w:t>
            </w:r>
          </w:p>
        </w:tc>
        <w:tc>
          <w:tcPr/>
          <w:p>
            <w:pPr>
              <w:pStyle w:val="Compact"/>
            </w:pPr>
            <w:r>
              <w:t xml:space="preserve">Edad en meses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HC27</w:t>
            </w:r>
          </w:p>
        </w:tc>
        <w:tc>
          <w:tcPr/>
          <w:p>
            <w:pPr>
              <w:pStyle w:val="Compact"/>
            </w:pPr>
            <w:r>
              <w:t xml:space="preserve">Sexo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HC56</w:t>
            </w:r>
          </w:p>
        </w:tc>
        <w:tc>
          <w:tcPr/>
          <w:p>
            <w:pPr>
              <w:pStyle w:val="Compact"/>
            </w:pPr>
            <w:r>
              <w:t xml:space="preserve">Hemoglobina ajustada por altitud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HC63</w:t>
            </w:r>
          </w:p>
        </w:tc>
        <w:tc>
          <w:tcPr/>
          <w:p>
            <w:pPr>
              <w:pStyle w:val="Compact"/>
            </w:pPr>
            <w:r>
              <w:t xml:space="preserve">Intervalo respecto al nacimiento anterior</w:t>
            </w:r>
          </w:p>
        </w:tc>
      </w:tr>
    </w:tbl>
    <w:bookmarkEnd w:id="11"/>
    <w:bookmarkStart w:id="12" w:name="b.-salud-materna-embarazo-y-lactancia-13"/>
    <w:p>
      <w:pPr>
        <w:pStyle w:val="Heading3"/>
      </w:pPr>
      <w:r>
        <w:t xml:space="preserve">B. Salud materna, embarazo y lactancia (13)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Código</w:t>
            </w:r>
          </w:p>
        </w:tc>
        <w:tc>
          <w:tcPr/>
          <w:p>
            <w:pPr>
              <w:pStyle w:val="Compact"/>
            </w:pPr>
            <w:r>
              <w:t xml:space="preserve">Variable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M13</w:t>
            </w:r>
          </w:p>
        </w:tc>
        <w:tc>
          <w:tcPr/>
          <w:p>
            <w:pPr>
              <w:pStyle w:val="Compact"/>
            </w:pPr>
            <w:r>
              <w:t xml:space="preserve">Mes de gestación del primer control prenatal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M14</w:t>
            </w:r>
          </w:p>
        </w:tc>
        <w:tc>
          <w:tcPr/>
          <w:p>
            <w:pPr>
              <w:pStyle w:val="Compact"/>
            </w:pPr>
            <w:r>
              <w:t xml:space="preserve">Número de visitas prenatales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m15</w:t>
            </w:r>
          </w:p>
        </w:tc>
        <w:tc>
          <w:tcPr/>
          <w:p>
            <w:pPr>
              <w:pStyle w:val="Compact"/>
            </w:pPr>
            <w:r>
              <w:t xml:space="preserve">Lugar del parto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M17</w:t>
            </w:r>
          </w:p>
        </w:tc>
        <w:tc>
          <w:tcPr/>
          <w:p>
            <w:pPr>
              <w:pStyle w:val="Compact"/>
            </w:pPr>
            <w:r>
              <w:t xml:space="preserve">Parto por cesárea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M18</w:t>
            </w:r>
          </w:p>
        </w:tc>
        <w:tc>
          <w:tcPr/>
          <w:p>
            <w:pPr>
              <w:pStyle w:val="Compact"/>
            </w:pPr>
            <w:r>
              <w:t xml:space="preserve">Tamaño del niño al nacer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m19</w:t>
            </w:r>
          </w:p>
        </w:tc>
        <w:tc>
          <w:tcPr/>
          <w:p>
            <w:pPr>
              <w:pStyle w:val="Compact"/>
            </w:pPr>
            <w:r>
              <w:t xml:space="preserve">Peso al nacer (kg)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M4</w:t>
            </w:r>
          </w:p>
        </w:tc>
        <w:tc>
          <w:tcPr/>
          <w:p>
            <w:pPr>
              <w:pStyle w:val="Compact"/>
            </w:pPr>
            <w:r>
              <w:t xml:space="preserve">Duración de la lactancia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m34</w:t>
            </w:r>
          </w:p>
        </w:tc>
        <w:tc>
          <w:tcPr/>
          <w:p>
            <w:pPr>
              <w:pStyle w:val="Compact"/>
            </w:pPr>
            <w:r>
              <w:t xml:space="preserve">Horas hasta el inicio de la lactancia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M46</w:t>
            </w:r>
          </w:p>
        </w:tc>
        <w:tc>
          <w:tcPr/>
          <w:p>
            <w:pPr>
              <w:pStyle w:val="Compact"/>
            </w:pPr>
            <w:r>
              <w:t xml:space="preserve">Días que tomó hierro en el embarazo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M54</w:t>
            </w:r>
          </w:p>
        </w:tc>
        <w:tc>
          <w:tcPr/>
          <w:p>
            <w:pPr>
              <w:pStyle w:val="Compact"/>
            </w:pPr>
            <w:r>
              <w:t xml:space="preserve">Vitamina A en los primeros 2 meses post parto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M55G</w:t>
            </w:r>
          </w:p>
        </w:tc>
        <w:tc>
          <w:tcPr/>
          <w:p>
            <w:pPr>
              <w:pStyle w:val="Compact"/>
            </w:pPr>
            <w:r>
              <w:t xml:space="preserve">Fórmula para bebés en los primeros 3 días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M60</w:t>
            </w:r>
          </w:p>
        </w:tc>
        <w:tc>
          <w:tcPr/>
          <w:p>
            <w:pPr>
              <w:pStyle w:val="Compact"/>
            </w:pPr>
            <w:r>
              <w:t xml:space="preserve">Antiparasitarios durante el embarazo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HC62</w:t>
            </w:r>
          </w:p>
        </w:tc>
        <w:tc>
          <w:tcPr/>
          <w:p>
            <w:pPr>
              <w:pStyle w:val="Compact"/>
            </w:pPr>
            <w:r>
              <w:t xml:space="preserve">Año más alto de educación de la madre</w:t>
            </w:r>
          </w:p>
        </w:tc>
      </w:tr>
    </w:tbl>
    <w:bookmarkEnd w:id="12"/>
    <w:bookmarkStart w:id="13" w:name="c.-hogar-y-nivel-socioeconómico-7"/>
    <w:p>
      <w:pPr>
        <w:pStyle w:val="Heading3"/>
      </w:pPr>
      <w:r>
        <w:t xml:space="preserve">C. Hogar y nivel socioeconómico (7)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Código</w:t>
            </w:r>
          </w:p>
        </w:tc>
        <w:tc>
          <w:tcPr/>
          <w:p>
            <w:pPr>
              <w:pStyle w:val="Compact"/>
            </w:pPr>
            <w:r>
              <w:t xml:space="preserve">Variable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HV271</w:t>
            </w:r>
          </w:p>
        </w:tc>
        <w:tc>
          <w:tcPr/>
          <w:p>
            <w:pPr>
              <w:pStyle w:val="Compact"/>
            </w:pPr>
            <w:r>
              <w:t xml:space="preserve">Índice de riqueza del hogar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HV012</w:t>
            </w:r>
          </w:p>
        </w:tc>
        <w:tc>
          <w:tcPr/>
          <w:p>
            <w:pPr>
              <w:pStyle w:val="Compact"/>
            </w:pPr>
            <w:r>
              <w:t xml:space="preserve">Miembros habituales del hogar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HV014</w:t>
            </w:r>
          </w:p>
        </w:tc>
        <w:tc>
          <w:tcPr/>
          <w:p>
            <w:pPr>
              <w:pStyle w:val="Compact"/>
            </w:pPr>
            <w:r>
              <w:t xml:space="preserve">Niños menores de 5 años en el hogar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HV219</w:t>
            </w:r>
          </w:p>
        </w:tc>
        <w:tc>
          <w:tcPr/>
          <w:p>
            <w:pPr>
              <w:pStyle w:val="Compact"/>
            </w:pPr>
            <w:r>
              <w:t xml:space="preserve">Sexo del jefe del hogar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HV220</w:t>
            </w:r>
          </w:p>
        </w:tc>
        <w:tc>
          <w:tcPr/>
          <w:p>
            <w:pPr>
              <w:pStyle w:val="Compact"/>
            </w:pPr>
            <w:r>
              <w:t xml:space="preserve">Edad del jefe del hogar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HV102</w:t>
            </w:r>
          </w:p>
        </w:tc>
        <w:tc>
          <w:tcPr/>
          <w:p>
            <w:pPr>
              <w:pStyle w:val="Compact"/>
            </w:pPr>
            <w:r>
              <w:t xml:space="preserve">Residente habitual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HV025</w:t>
            </w:r>
          </w:p>
        </w:tc>
        <w:tc>
          <w:tcPr/>
          <w:p>
            <w:pPr>
              <w:pStyle w:val="Compact"/>
            </w:pPr>
            <w:r>
              <w:t xml:space="preserve">Área de residencia (urbano / rural)</w:t>
            </w:r>
          </w:p>
        </w:tc>
      </w:tr>
    </w:tbl>
    <w:bookmarkEnd w:id="13"/>
    <w:bookmarkStart w:id="14" w:name="d.-agua-saneamiento-e-higiene-wash-10"/>
    <w:p>
      <w:pPr>
        <w:pStyle w:val="Heading3"/>
      </w:pPr>
      <w:r>
        <w:t xml:space="preserve">D. Agua, saneamiento e higiene — WASH (10)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Código</w:t>
            </w:r>
          </w:p>
        </w:tc>
        <w:tc>
          <w:tcPr/>
          <w:p>
            <w:pPr>
              <w:pStyle w:val="Compact"/>
            </w:pPr>
            <w:r>
              <w:t xml:space="preserve">Variable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HV204</w:t>
            </w:r>
          </w:p>
        </w:tc>
        <w:tc>
          <w:tcPr/>
          <w:p>
            <w:pPr>
              <w:pStyle w:val="Compact"/>
            </w:pPr>
            <w:r>
              <w:t xml:space="preserve">Tiempo de viaje a la fuente de agua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HV225</w:t>
            </w:r>
          </w:p>
        </w:tc>
        <w:tc>
          <w:tcPr/>
          <w:p>
            <w:pPr>
              <w:pStyle w:val="Compact"/>
            </w:pPr>
            <w:r>
              <w:t xml:space="preserve">Comparte servicio higiénico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HV234</w:t>
            </w:r>
          </w:p>
        </w:tc>
        <w:tc>
          <w:tcPr/>
          <w:p>
            <w:pPr>
              <w:pStyle w:val="Compact"/>
            </w:pPr>
            <w:r>
              <w:t xml:space="preserve">Prueba de yodo en la sal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HV237</w:t>
            </w:r>
          </w:p>
        </w:tc>
        <w:tc>
          <w:tcPr/>
          <w:p>
            <w:pPr>
              <w:pStyle w:val="Compact"/>
            </w:pPr>
            <w:r>
              <w:t xml:space="preserve">Tratamiento del agua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HV237A</w:t>
            </w:r>
          </w:p>
        </w:tc>
        <w:tc>
          <w:tcPr/>
          <w:p>
            <w:pPr>
              <w:pStyle w:val="Compact"/>
            </w:pPr>
            <w:r>
              <w:t xml:space="preserve">Tratamiento del agua: hervir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HV237G</w:t>
            </w:r>
          </w:p>
        </w:tc>
        <w:tc>
          <w:tcPr/>
          <w:p>
            <w:pPr>
              <w:pStyle w:val="Compact"/>
            </w:pPr>
            <w:r>
              <w:t xml:space="preserve">Consumo de agua embotellada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SH42</w:t>
            </w:r>
          </w:p>
        </w:tc>
        <w:tc>
          <w:tcPr/>
          <w:p>
            <w:pPr>
              <w:pStyle w:val="Compact"/>
            </w:pPr>
            <w:r>
              <w:t xml:space="preserve">Disponibilidad de agua todo el día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SH48</w:t>
            </w:r>
          </w:p>
        </w:tc>
        <w:tc>
          <w:tcPr/>
          <w:p>
            <w:pPr>
              <w:pStyle w:val="Compact"/>
            </w:pPr>
            <w:r>
              <w:t xml:space="preserve">Conserva agua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SH49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SH50</w:t>
            </w:r>
          </w:p>
        </w:tc>
        <w:tc>
          <w:tcPr/>
          <w:p>
            <w:pPr>
              <w:pStyle w:val="Compact"/>
            </w:pPr>
            <w:r>
              <w:t xml:space="preserve">Tipo de recipiente y si lo usa con tapa</w:t>
            </w:r>
          </w:p>
        </w:tc>
      </w:tr>
    </w:tbl>
    <w:bookmarkEnd w:id="14"/>
    <w:bookmarkStart w:id="15" w:name="e.-vivienda-y-entorno-11"/>
    <w:p>
      <w:pPr>
        <w:pStyle w:val="Heading3"/>
      </w:pPr>
      <w:r>
        <w:t xml:space="preserve">E. Vivienda y entorno (11)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Código</w:t>
            </w:r>
          </w:p>
        </w:tc>
        <w:tc>
          <w:tcPr/>
          <w:p>
            <w:pPr>
              <w:pStyle w:val="Compact"/>
            </w:pPr>
            <w:r>
              <w:t xml:space="preserve">Variable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HV040</w:t>
            </w:r>
          </w:p>
        </w:tc>
        <w:tc>
          <w:tcPr/>
          <w:p>
            <w:pPr>
              <w:pStyle w:val="Compact"/>
            </w:pPr>
            <w:r>
              <w:t xml:space="preserve">Altitud del conglomerado (msnm)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HV216</w:t>
            </w:r>
          </w:p>
        </w:tc>
        <w:tc>
          <w:tcPr/>
          <w:p>
            <w:pPr>
              <w:pStyle w:val="Compact"/>
            </w:pPr>
            <w:r>
              <w:t xml:space="preserve">Habitaciones para dormir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SH71</w:t>
            </w:r>
          </w:p>
        </w:tc>
        <w:tc>
          <w:tcPr/>
          <w:p>
            <w:pPr>
              <w:pStyle w:val="Compact"/>
            </w:pPr>
            <w:r>
              <w:t xml:space="preserve">Número de habitaciones del hogar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HV240</w:t>
            </w:r>
          </w:p>
        </w:tc>
        <w:tc>
          <w:tcPr/>
          <w:p>
            <w:pPr>
              <w:pStyle w:val="Compact"/>
            </w:pPr>
            <w:r>
              <w:t xml:space="preserve">Tiene chimenea o campana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HV242</w:t>
            </w:r>
          </w:p>
        </w:tc>
        <w:tc>
          <w:tcPr/>
          <w:p>
            <w:pPr>
              <w:pStyle w:val="Compact"/>
            </w:pPr>
            <w:r>
              <w:t xml:space="preserve">Cuarto separado para cocinar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SH63</w:t>
            </w:r>
          </w:p>
        </w:tc>
        <w:tc>
          <w:tcPr/>
          <w:p>
            <w:pPr>
              <w:pStyle w:val="Compact"/>
            </w:pPr>
            <w:r>
              <w:t xml:space="preserve">Otro tipo de combustible para cocinar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SH70</w:t>
            </w:r>
          </w:p>
        </w:tc>
        <w:tc>
          <w:tcPr/>
          <w:p>
            <w:pPr>
              <w:pStyle w:val="Compact"/>
            </w:pPr>
            <w:r>
              <w:t xml:space="preserve">Fuente de luz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SH76B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SH76C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SH76D</w:t>
            </w:r>
          </w:p>
        </w:tc>
        <w:tc>
          <w:tcPr/>
          <w:p>
            <w:pPr>
              <w:pStyle w:val="Compact"/>
            </w:pPr>
            <w:r>
              <w:t xml:space="preserve">Ventanas con cristal / de madera / con malla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SH77F</w:t>
            </w:r>
          </w:p>
        </w:tc>
        <w:tc>
          <w:tcPr/>
          <w:p>
            <w:pPr>
              <w:pStyle w:val="Compact"/>
            </w:pPr>
            <w:r>
              <w:t xml:space="preserve">Otro tipo de transporte</w:t>
            </w:r>
          </w:p>
        </w:tc>
      </w:tr>
    </w:tbl>
    <w:p>
      <w:pPr>
        <w:pStyle w:val="BlockText"/>
      </w:pPr>
      <w:r>
        <w:rPr>
          <w:b/>
          <w:bCs/>
        </w:rPr>
        <w:t xml:space="preserve">Nota:</w:t>
      </w:r>
      <w:r>
        <w:t xml:space="preserve"> </w:t>
      </w:r>
      <w:r>
        <w:t xml:space="preserve">el conjunto es ampliable. El</w:t>
      </w:r>
      <w:r>
        <w:t xml:space="preserve"> </w:t>
      </w:r>
      <w:r>
        <w:rPr>
          <w:i/>
          <w:iCs/>
        </w:rPr>
        <w:t xml:space="preserve">dataset</w:t>
      </w:r>
      <w:r>
        <w:t xml:space="preserve"> </w:t>
      </w:r>
      <w:r>
        <w:t xml:space="preserve">original contiene más de 180 variables, de las cuales</w:t>
      </w:r>
      <w:r>
        <w:t xml:space="preserve"> </w:t>
      </w:r>
      <w:r>
        <w:t xml:space="preserve">se retuvieron 45 por criterios estadísticos. Si los especialistas consideran relevante alguna</w:t>
      </w:r>
      <w:r>
        <w:t xml:space="preserve"> </w:t>
      </w:r>
      <w:r>
        <w:t xml:space="preserve">dimensión no cubierta —consumo dietético, morbilidad reciente, vacunación, antropometría materna—</w:t>
      </w:r>
      <w:r>
        <w:t xml:space="preserve"> </w:t>
      </w:r>
      <w:r>
        <w:t xml:space="preserve">puede incorporarse siempre que exista en la fuente de datos.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2" w:name="especificación-de-campos"/>
    <w:p>
      <w:pPr>
        <w:pStyle w:val="Heading2"/>
      </w:pPr>
      <w:r>
        <w:t xml:space="preserve">4. Especificación de campos</w:t>
      </w:r>
    </w:p>
    <w:p>
      <w:pPr>
        <w:pStyle w:val="FirstParagraph"/>
      </w:pPr>
      <w:r>
        <w:t xml:space="preserve">Esta tabla define</w:t>
      </w:r>
      <w:r>
        <w:t xml:space="preserve"> </w:t>
      </w:r>
      <w:r>
        <w:rPr>
          <w:b/>
          <w:bCs/>
        </w:rPr>
        <w:t xml:space="preserve">cómo debe venir codificada cada variable</w:t>
      </w:r>
      <w:r>
        <w:t xml:space="preserve"> </w:t>
      </w:r>
      <w:r>
        <w:t xml:space="preserve">en un conjunto de datos externo. El</w:t>
      </w:r>
      <w:r>
        <w:t xml:space="preserve"> </w:t>
      </w:r>
      <w:r>
        <w:t xml:space="preserve">modelo compara valores de forma literal: una categoría escrita de otra manera (</w:t>
      </w:r>
      <w:r>
        <w:rPr>
          <w:rStyle w:val="VerbatimChar"/>
        </w:rPr>
        <w:t xml:space="preserve">"URBANO"</w:t>
      </w:r>
      <w:r>
        <w:t xml:space="preserve"> </w:t>
      </w:r>
      <w:r>
        <w:t xml:space="preserve">en lugar de</w:t>
      </w:r>
      <w:r>
        <w:t xml:space="preserve"> </w:t>
      </w:r>
      <w:r>
        <w:rPr>
          <w:rStyle w:val="VerbatimChar"/>
        </w:rPr>
        <w:t xml:space="preserve">"Urbano"</w:t>
      </w:r>
      <w:r>
        <w:t xml:space="preserve">, o</w:t>
      </w:r>
      <w:r>
        <w:t xml:space="preserve"> </w:t>
      </w:r>
      <w:r>
        <w:rPr>
          <w:rStyle w:val="VerbatimChar"/>
        </w:rPr>
        <w:t xml:space="preserve">1</w:t>
      </w:r>
      <w:r>
        <w:t xml:space="preserve">/</w:t>
      </w:r>
      <w:r>
        <w:rPr>
          <w:rStyle w:val="VerbatimChar"/>
        </w:rPr>
        <w:t xml:space="preserve">0</w:t>
      </w:r>
      <w:r>
        <w:t xml:space="preserve"> </w:t>
      </w:r>
      <w:r>
        <w:t xml:space="preserve">en lugar de</w:t>
      </w:r>
      <w:r>
        <w:t xml:space="preserve"> </w:t>
      </w:r>
      <w:r>
        <w:rPr>
          <w:rStyle w:val="VerbatimChar"/>
        </w:rPr>
        <w:t xml:space="preserve">"Si"</w:t>
      </w:r>
      <w:r>
        <w:t xml:space="preserve">/</w:t>
      </w:r>
      <w:r>
        <w:rPr>
          <w:rStyle w:val="VerbatimChar"/>
        </w:rPr>
        <w:t xml:space="preserve">"No"</w:t>
      </w:r>
      <w:r>
        <w:t xml:space="preserve">) no produce un error visible, sino una predicción</w:t>
      </w:r>
      <w:r>
        <w:t xml:space="preserve"> </w:t>
      </w:r>
      <w:r>
        <w:t xml:space="preserve">degradada en silencio. Por eso el formato importa tanto como la variable misma.</w:t>
      </w:r>
    </w:p>
    <w:p>
      <w:pPr>
        <w:pStyle w:val="BodyText"/>
      </w:pPr>
      <w:r>
        <w:rPr>
          <w:b/>
          <w:bCs/>
        </w:rPr>
        <w:t xml:space="preserve">Convenciones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Categórica nominal</w:t>
      </w:r>
      <w:r>
        <w:t xml:space="preserve">: texto, exactamente uno de los valores listados. No hay orden entre ellos.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Categórica ordinal</w:t>
      </w:r>
      <w:r>
        <w:t xml:space="preserve">: texto, con orden implícito (de mayor a menor, según se lista).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Binaria</w:t>
      </w:r>
      <w:r>
        <w:t xml:space="preserve">: texto,</w:t>
      </w:r>
      <w:r>
        <w:t xml:space="preserve"> </w:t>
      </w:r>
      <w:r>
        <w:rPr>
          <w:rStyle w:val="VerbatimChar"/>
        </w:rPr>
        <w:t xml:space="preserve">Sí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No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Numérica</w:t>
      </w:r>
      <w:r>
        <w:t xml:space="preserve">: magnitud real, en la unidad indicada. Aquí el número</w:t>
      </w:r>
      <w:r>
        <w:t xml:space="preserve"> </w:t>
      </w:r>
      <w:r>
        <w:rPr>
          <w:b/>
          <w:bCs/>
        </w:rPr>
        <w:t xml:space="preserve">sí</w:t>
      </w:r>
      <w:r>
        <w:t xml:space="preserve"> </w:t>
      </w:r>
      <w:r>
        <w:t xml:space="preserve">representa una cantidad.</w:t>
      </w:r>
      <w:r>
        <w:t xml:space="preserve"> </w:t>
      </w:r>
      <w:r>
        <w:t xml:space="preserve">- Un campo ausente debe dejarse</w:t>
      </w:r>
      <w:r>
        <w:t xml:space="preserve"> </w:t>
      </w:r>
      <w:r>
        <w:rPr>
          <w:b/>
          <w:bCs/>
        </w:rPr>
        <w:t xml:space="preserve">vacío</w:t>
      </w:r>
      <w:r>
        <w:t xml:space="preserve">, nunca rellenarse con 0, 999 o</w:t>
      </w:r>
      <w:r>
        <w:t xml:space="preserve"> </w:t>
      </w:r>
      <w:r>
        <w:t xml:space="preserve">“NA”</w:t>
      </w:r>
      <w:r>
        <w:t xml:space="preserve">: el modelo maneja</w:t>
      </w:r>
      <w:r>
        <w:t xml:space="preserve"> </w:t>
      </w:r>
      <w:r>
        <w:t xml:space="preserve">valores faltantes de forma nativa y cada variable tolera el porcentaje de vacíos que se indica.</w:t>
      </w:r>
    </w:p>
    <w:p>
      <w:pPr>
        <w:pStyle w:val="BodyText"/>
      </w:pPr>
      <w:r>
        <w:t xml:space="preserve">Las categorías se entregan</w:t>
      </w:r>
      <w:r>
        <w:t xml:space="preserve"> </w:t>
      </w:r>
      <w:r>
        <w:rPr>
          <w:b/>
          <w:bCs/>
        </w:rPr>
        <w:t xml:space="preserve">en texto, no en código numérico</w:t>
      </w:r>
      <w:r>
        <w:t xml:space="preserve">. El</w:t>
      </w:r>
      <w:r>
        <w:t xml:space="preserve"> </w:t>
      </w:r>
      <w:r>
        <w:rPr>
          <w:rStyle w:val="VerbatimChar"/>
        </w:rPr>
        <w:t xml:space="preserve">1</w:t>
      </w:r>
      <w:r>
        <w:t xml:space="preserve"> </w:t>
      </w:r>
      <w:r>
        <w:t xml:space="preserve">de una variable nominal no es</w:t>
      </w:r>
      <w:r>
        <w:t xml:space="preserve"> </w:t>
      </w:r>
      <w:r>
        <w:t xml:space="preserve">una cantidad sino una etiqueta arbitraria, y su significado cambia entre ediciones de la encuesta: es</w:t>
      </w:r>
      <w:r>
        <w:t xml:space="preserve"> </w:t>
      </w:r>
      <w:r>
        <w:t xml:space="preserve">preferible escribir</w:t>
      </w:r>
      <w:r>
        <w:t xml:space="preserve"> </w:t>
      </w:r>
      <w:r>
        <w:rPr>
          <w:rStyle w:val="VerbatimChar"/>
        </w:rPr>
        <w:t xml:space="preserve">Electricidad</w:t>
      </w:r>
      <w:r>
        <w:t xml:space="preserve"> </w:t>
      </w:r>
      <w:r>
        <w:t xml:space="preserve">antes que</w:t>
      </w:r>
      <w:r>
        <w:t xml:space="preserve"> </w:t>
      </w:r>
      <w:r>
        <w:rPr>
          <w:rStyle w:val="VerbatimChar"/>
        </w:rPr>
        <w:t xml:space="preserve">1</w:t>
      </w:r>
      <w:r>
        <w:t xml:space="preserve">. Si el sistema de origen almacena códigos, basta con</w:t>
      </w:r>
      <w:r>
        <w:t xml:space="preserve"> </w:t>
      </w:r>
      <w:r>
        <w:t xml:space="preserve">adjuntar su diccionario de valores.</w:t>
      </w:r>
    </w:p>
    <w:bookmarkStart w:id="17" w:name="niño"/>
    <w:p>
      <w:pPr>
        <w:pStyle w:val="Heading3"/>
      </w:pPr>
      <w:r>
        <w:t xml:space="preserve">Niño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85"/>
        <w:gridCol w:w="1485"/>
        <w:gridCol w:w="1485"/>
        <w:gridCol w:w="1485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Código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Valores admitidos</w:t>
            </w:r>
          </w:p>
        </w:tc>
        <w:tc>
          <w:tcPr/>
          <w:p>
            <w:pPr>
              <w:pStyle w:val="Compact"/>
            </w:pPr>
            <w:r>
              <w:t xml:space="preserve">Unidad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% nulos tolerado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HC1</w:t>
            </w:r>
          </w:p>
        </w:tc>
        <w:tc>
          <w:tcPr/>
          <w:p>
            <w:pPr>
              <w:pStyle w:val="Compact"/>
            </w:pPr>
            <w:r>
              <w:t xml:space="preserve">Numérica</w:t>
            </w:r>
          </w:p>
        </w:tc>
        <w:tc>
          <w:tcPr/>
          <w:p>
            <w:pPr>
              <w:pStyle w:val="Compact"/>
            </w:pPr>
            <w:r>
              <w:t xml:space="preserve">0 – 59</w:t>
            </w:r>
          </w:p>
        </w:tc>
        <w:tc>
          <w:tcPr/>
          <w:p>
            <w:pPr>
              <w:pStyle w:val="Compact"/>
            </w:pPr>
            <w:r>
              <w:t xml:space="preserve">meses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HC27</w:t>
            </w:r>
          </w:p>
        </w:tc>
        <w:tc>
          <w:tcPr/>
          <w:p>
            <w:pPr>
              <w:pStyle w:val="Compact"/>
            </w:pPr>
            <w:r>
              <w:t xml:space="preserve">Categórica nominal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Hombre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Mujer</w:t>
            </w:r>
          </w:p>
        </w:tc>
        <w:tc>
          <w:tcPr/>
          <w:p>
            <w:pPr>
              <w:pStyle w:val="Compact"/>
            </w:pPr>
            <w:r>
              <w:t xml:space="preserve">sexo del niño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HC56</w:t>
            </w:r>
          </w:p>
        </w:tc>
        <w:tc>
          <w:tcPr/>
          <w:p>
            <w:pPr>
              <w:pStyle w:val="Compact"/>
            </w:pPr>
            <w:r>
              <w:t xml:space="preserve">Numérica</w:t>
            </w:r>
          </w:p>
        </w:tc>
        <w:tc>
          <w:tcPr/>
          <w:p>
            <w:pPr>
              <w:pStyle w:val="Compact"/>
            </w:pPr>
            <w:r>
              <w:t xml:space="preserve">4 – 20 (hemoglobina ajustada)</w:t>
            </w:r>
          </w:p>
        </w:tc>
        <w:tc>
          <w:tcPr/>
          <w:p>
            <w:pPr>
              <w:pStyle w:val="Compact"/>
            </w:pPr>
            <w:r>
              <w:t xml:space="preserve">g/dL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HC63</w:t>
            </w:r>
          </w:p>
        </w:tc>
        <w:tc>
          <w:tcPr/>
          <w:p>
            <w:pPr>
              <w:pStyle w:val="Compact"/>
            </w:pPr>
            <w:r>
              <w:t xml:space="preserve">Numérica</w:t>
            </w:r>
          </w:p>
        </w:tc>
        <w:tc>
          <w:tcPr/>
          <w:p>
            <w:pPr>
              <w:pStyle w:val="Compact"/>
            </w:pPr>
            <w:r>
              <w:t xml:space="preserve">7 – 388</w:t>
            </w:r>
          </w:p>
        </w:tc>
        <w:tc>
          <w:tcPr/>
          <w:p>
            <w:pPr>
              <w:pStyle w:val="Compact"/>
            </w:pPr>
            <w:r>
              <w:t xml:space="preserve">meses desde el parto anterior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36.3</w:t>
            </w:r>
          </w:p>
        </w:tc>
      </w:tr>
    </w:tbl>
    <w:bookmarkEnd w:id="17"/>
    <w:bookmarkStart w:id="18" w:name="salud-materna-embarazo-y-lactancia"/>
    <w:p>
      <w:pPr>
        <w:pStyle w:val="Heading3"/>
      </w:pPr>
      <w:r>
        <w:t xml:space="preserve">Salud materna, embarazo y lactancia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85"/>
        <w:gridCol w:w="1485"/>
        <w:gridCol w:w="1485"/>
        <w:gridCol w:w="1485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Código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Valores admitidos</w:t>
            </w:r>
          </w:p>
        </w:tc>
        <w:tc>
          <w:tcPr/>
          <w:p>
            <w:pPr>
              <w:pStyle w:val="Compact"/>
            </w:pPr>
            <w:r>
              <w:t xml:space="preserve">Unidad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% nulos tolerado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M13</w:t>
            </w:r>
          </w:p>
        </w:tc>
        <w:tc>
          <w:tcPr/>
          <w:p>
            <w:pPr>
              <w:pStyle w:val="Compact"/>
            </w:pPr>
            <w:r>
              <w:t xml:space="preserve">Numérica</w:t>
            </w:r>
          </w:p>
        </w:tc>
        <w:tc>
          <w:tcPr/>
          <w:p>
            <w:pPr>
              <w:pStyle w:val="Compact"/>
            </w:pPr>
            <w:r>
              <w:t xml:space="preserve">0 – 9</w:t>
            </w:r>
          </w:p>
        </w:tc>
        <w:tc>
          <w:tcPr/>
          <w:p>
            <w:pPr>
              <w:pStyle w:val="Compact"/>
            </w:pPr>
            <w:r>
              <w:t xml:space="preserve">mes de gestación del 1.er control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19.7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M14</w:t>
            </w:r>
          </w:p>
        </w:tc>
        <w:tc>
          <w:tcPr/>
          <w:p>
            <w:pPr>
              <w:pStyle w:val="Compact"/>
            </w:pPr>
            <w:r>
              <w:t xml:space="preserve">Numérica</w:t>
            </w:r>
          </w:p>
        </w:tc>
        <w:tc>
          <w:tcPr/>
          <w:p>
            <w:pPr>
              <w:pStyle w:val="Compact"/>
            </w:pPr>
            <w:r>
              <w:t xml:space="preserve">0 – 20</w:t>
            </w:r>
          </w:p>
        </w:tc>
        <w:tc>
          <w:tcPr/>
          <w:p>
            <w:pPr>
              <w:pStyle w:val="Compact"/>
            </w:pPr>
            <w:r>
              <w:t xml:space="preserve">número de visitas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18.6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m15</w:t>
            </w:r>
          </w:p>
        </w:tc>
        <w:tc>
          <w:tcPr/>
          <w:p>
            <w:pPr>
              <w:pStyle w:val="Compact"/>
            </w:pPr>
            <w:r>
              <w:t xml:space="preserve">Categórica nominal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Institucional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Domiciliario</w:t>
            </w:r>
          </w:p>
        </w:tc>
        <w:tc>
          <w:tcPr/>
          <w:p>
            <w:pPr>
              <w:pStyle w:val="Compact"/>
            </w:pPr>
            <w:r>
              <w:t xml:space="preserve">lugar del parto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M17</w:t>
            </w:r>
          </w:p>
        </w:tc>
        <w:tc>
          <w:tcPr/>
          <w:p>
            <w:pPr>
              <w:pStyle w:val="Compact"/>
            </w:pPr>
            <w:r>
              <w:t xml:space="preserve">Binaria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Sí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¿el parto fue por cesárea?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M18</w:t>
            </w:r>
          </w:p>
        </w:tc>
        <w:tc>
          <w:tcPr/>
          <w:p>
            <w:pPr>
              <w:pStyle w:val="Compact"/>
            </w:pPr>
            <w:r>
              <w:t xml:space="preserve">Categórica ordinal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Muy grande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Grande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Mediano (normal)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Pequeño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Muy pequeño</w:t>
            </w:r>
          </w:p>
        </w:tc>
        <w:tc>
          <w:tcPr/>
          <w:p>
            <w:pPr>
              <w:pStyle w:val="Compact"/>
            </w:pPr>
            <w:r>
              <w:t xml:space="preserve">tamaño percibido al nacer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m19</w:t>
            </w:r>
          </w:p>
        </w:tc>
        <w:tc>
          <w:tcPr/>
          <w:p>
            <w:pPr>
              <w:pStyle w:val="Compact"/>
            </w:pPr>
            <w:r>
              <w:t xml:space="preserve">Numérica</w:t>
            </w:r>
          </w:p>
        </w:tc>
        <w:tc>
          <w:tcPr/>
          <w:p>
            <w:pPr>
              <w:pStyle w:val="Compact"/>
            </w:pPr>
            <w:r>
              <w:t xml:space="preserve">0.5 – 6.0</w:t>
            </w:r>
          </w:p>
        </w:tc>
        <w:tc>
          <w:tcPr/>
          <w:p>
            <w:pPr>
              <w:pStyle w:val="Compact"/>
            </w:pPr>
            <w:r>
              <w:t xml:space="preserve">kilogramos (decimal)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M4</w:t>
            </w:r>
          </w:p>
        </w:tc>
        <w:tc>
          <w:tcPr/>
          <w:p>
            <w:pPr>
              <w:pStyle w:val="Compact"/>
            </w:pPr>
            <w:r>
              <w:t xml:space="preserve">Numérica</w:t>
            </w:r>
          </w:p>
        </w:tc>
        <w:tc>
          <w:tcPr/>
          <w:p>
            <w:pPr>
              <w:pStyle w:val="Compact"/>
            </w:pPr>
            <w:r>
              <w:t xml:space="preserve">0 – 59</w:t>
            </w:r>
          </w:p>
        </w:tc>
        <w:tc>
          <w:tcPr/>
          <w:p>
            <w:pPr>
              <w:pStyle w:val="Compact"/>
            </w:pPr>
            <w:r>
              <w:t xml:space="preserve">meses de lactancia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m34</w:t>
            </w:r>
          </w:p>
        </w:tc>
        <w:tc>
          <w:tcPr/>
          <w:p>
            <w:pPr>
              <w:pStyle w:val="Compact"/>
            </w:pPr>
            <w:r>
              <w:t xml:space="preserve">Numérica</w:t>
            </w:r>
          </w:p>
        </w:tc>
        <w:tc>
          <w:tcPr/>
          <w:p>
            <w:pPr>
              <w:pStyle w:val="Compact"/>
            </w:pPr>
            <w:r>
              <w:t xml:space="preserve">0 – 2352</w:t>
            </w:r>
          </w:p>
        </w:tc>
        <w:tc>
          <w:tcPr/>
          <w:p>
            <w:pPr>
              <w:pStyle w:val="Compact"/>
            </w:pPr>
            <w:r>
              <w:t xml:space="preserve">horas hasta iniciar lactancia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M46</w:t>
            </w:r>
          </w:p>
        </w:tc>
        <w:tc>
          <w:tcPr/>
          <w:p>
            <w:pPr>
              <w:pStyle w:val="Compact"/>
            </w:pPr>
            <w:r>
              <w:t xml:space="preserve">Numérica</w:t>
            </w:r>
          </w:p>
        </w:tc>
        <w:tc>
          <w:tcPr/>
          <w:p>
            <w:pPr>
              <w:pStyle w:val="Compact"/>
            </w:pPr>
            <w:r>
              <w:t xml:space="preserve">0 – 364</w:t>
            </w:r>
          </w:p>
        </w:tc>
        <w:tc>
          <w:tcPr/>
          <w:p>
            <w:pPr>
              <w:pStyle w:val="Compact"/>
            </w:pPr>
            <w:r>
              <w:t xml:space="preserve">días que tomó hierro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18.7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M54</w:t>
            </w:r>
          </w:p>
        </w:tc>
        <w:tc>
          <w:tcPr/>
          <w:p>
            <w:pPr>
              <w:pStyle w:val="Compact"/>
            </w:pPr>
            <w:r>
              <w:t xml:space="preserve">Binaria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Sí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vitamina A en los 2 meses post parto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19.7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M55G</w:t>
            </w:r>
          </w:p>
        </w:tc>
        <w:tc>
          <w:tcPr/>
          <w:p>
            <w:pPr>
              <w:pStyle w:val="Compact"/>
            </w:pPr>
            <w:r>
              <w:t xml:space="preserve">Binaria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Sí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fórmula en los 3 primeros días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M60</w:t>
            </w:r>
          </w:p>
        </w:tc>
        <w:tc>
          <w:tcPr/>
          <w:p>
            <w:pPr>
              <w:pStyle w:val="Compact"/>
            </w:pPr>
            <w:r>
              <w:t xml:space="preserve">Binaria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Sí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antiparasitarios durante el embarazo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19.9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HC62</w:t>
            </w:r>
          </w:p>
        </w:tc>
        <w:tc>
          <w:tcPr/>
          <w:p>
            <w:pPr>
              <w:pStyle w:val="Compact"/>
            </w:pPr>
            <w:r>
              <w:t xml:space="preserve">Numérica</w:t>
            </w:r>
          </w:p>
        </w:tc>
        <w:tc>
          <w:tcPr/>
          <w:p>
            <w:pPr>
              <w:pStyle w:val="Compact"/>
            </w:pPr>
            <w:r>
              <w:t xml:space="preserve">0 – 9</w:t>
            </w:r>
          </w:p>
        </w:tc>
        <w:tc>
          <w:tcPr/>
          <w:p>
            <w:pPr>
              <w:pStyle w:val="Compact"/>
            </w:pPr>
            <w:r>
              <w:t xml:space="preserve">años de educación aprobados por la madre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4.8</w:t>
            </w:r>
          </w:p>
        </w:tc>
      </w:tr>
    </w:tbl>
    <w:bookmarkEnd w:id="18"/>
    <w:bookmarkStart w:id="19" w:name="hogar-y-nivel-socioeconómico"/>
    <w:p>
      <w:pPr>
        <w:pStyle w:val="Heading3"/>
      </w:pPr>
      <w:r>
        <w:t xml:space="preserve">Hogar y nivel socioeconómico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85"/>
        <w:gridCol w:w="1485"/>
        <w:gridCol w:w="1485"/>
        <w:gridCol w:w="1485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Código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Valores admitidos</w:t>
            </w:r>
          </w:p>
        </w:tc>
        <w:tc>
          <w:tcPr/>
          <w:p>
            <w:pPr>
              <w:pStyle w:val="Compact"/>
            </w:pPr>
            <w:r>
              <w:t xml:space="preserve">Unidad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% nulos tolerado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HV271</w:t>
            </w:r>
          </w:p>
        </w:tc>
        <w:tc>
          <w:tcPr/>
          <w:p>
            <w:pPr>
              <w:pStyle w:val="Compact"/>
            </w:pPr>
            <w:r>
              <w:t xml:space="preserve">Numérica</w:t>
            </w:r>
          </w:p>
        </w:tc>
        <w:tc>
          <w:tcPr/>
          <w:p>
            <w:pPr>
              <w:pStyle w:val="Compact"/>
            </w:pPr>
            <w:r>
              <w:t xml:space="preserve">−215987 a 205316</w:t>
            </w:r>
          </w:p>
        </w:tc>
        <w:tc>
          <w:tcPr/>
          <w:p>
            <w:pPr>
              <w:pStyle w:val="Compact"/>
            </w:pPr>
            <w:r>
              <w:t xml:space="preserve">índice de riqueza (escala INEI ×10⁵)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HV012</w:t>
            </w:r>
          </w:p>
        </w:tc>
        <w:tc>
          <w:tcPr/>
          <w:p>
            <w:pPr>
              <w:pStyle w:val="Compact"/>
            </w:pPr>
            <w:r>
              <w:t xml:space="preserve">Numérica</w:t>
            </w:r>
          </w:p>
        </w:tc>
        <w:tc>
          <w:tcPr/>
          <w:p>
            <w:pPr>
              <w:pStyle w:val="Compact"/>
            </w:pPr>
            <w:r>
              <w:t xml:space="preserve">0 – 25</w:t>
            </w:r>
          </w:p>
        </w:tc>
        <w:tc>
          <w:tcPr/>
          <w:p>
            <w:pPr>
              <w:pStyle w:val="Compact"/>
            </w:pPr>
            <w:r>
              <w:t xml:space="preserve">personas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HV014</w:t>
            </w:r>
          </w:p>
        </w:tc>
        <w:tc>
          <w:tcPr/>
          <w:p>
            <w:pPr>
              <w:pStyle w:val="Compact"/>
            </w:pPr>
            <w:r>
              <w:t xml:space="preserve">Numérica</w:t>
            </w:r>
          </w:p>
        </w:tc>
        <w:tc>
          <w:tcPr/>
          <w:p>
            <w:pPr>
              <w:pStyle w:val="Compact"/>
            </w:pPr>
            <w:r>
              <w:t xml:space="preserve">0 – 10</w:t>
            </w:r>
          </w:p>
        </w:tc>
        <w:tc>
          <w:tcPr/>
          <w:p>
            <w:pPr>
              <w:pStyle w:val="Compact"/>
            </w:pPr>
            <w:r>
              <w:t xml:space="preserve">niños menores de 5 años en el hogar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HV219</w:t>
            </w:r>
          </w:p>
        </w:tc>
        <w:tc>
          <w:tcPr/>
          <w:p>
            <w:pPr>
              <w:pStyle w:val="Compact"/>
            </w:pPr>
            <w:r>
              <w:t xml:space="preserve">Categórica nominal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Masculino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Femenino</w:t>
            </w:r>
          </w:p>
        </w:tc>
        <w:tc>
          <w:tcPr/>
          <w:p>
            <w:pPr>
              <w:pStyle w:val="Compact"/>
            </w:pPr>
            <w:r>
              <w:t xml:space="preserve">sexo del jefe del hogar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HV220</w:t>
            </w:r>
          </w:p>
        </w:tc>
        <w:tc>
          <w:tcPr/>
          <w:p>
            <w:pPr>
              <w:pStyle w:val="Compact"/>
            </w:pPr>
            <w:r>
              <w:t xml:space="preserve">Numérica</w:t>
            </w:r>
          </w:p>
        </w:tc>
        <w:tc>
          <w:tcPr/>
          <w:p>
            <w:pPr>
              <w:pStyle w:val="Compact"/>
            </w:pPr>
            <w:r>
              <w:t xml:space="preserve">12 – 97</w:t>
            </w:r>
          </w:p>
        </w:tc>
        <w:tc>
          <w:tcPr/>
          <w:p>
            <w:pPr>
              <w:pStyle w:val="Compact"/>
            </w:pPr>
            <w:r>
              <w:t xml:space="preserve">años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HV102</w:t>
            </w:r>
          </w:p>
        </w:tc>
        <w:tc>
          <w:tcPr/>
          <w:p>
            <w:pPr>
              <w:pStyle w:val="Compact"/>
            </w:pPr>
            <w:r>
              <w:t xml:space="preserve">Binaria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Sí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residente habitual del hogar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HV025</w:t>
            </w:r>
          </w:p>
        </w:tc>
        <w:tc>
          <w:tcPr/>
          <w:p>
            <w:pPr>
              <w:pStyle w:val="Compact"/>
            </w:pPr>
            <w:r>
              <w:t xml:space="preserve">Categórica nominal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Urbano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Rural</w:t>
            </w:r>
          </w:p>
        </w:tc>
        <w:tc>
          <w:tcPr/>
          <w:p>
            <w:pPr>
              <w:pStyle w:val="Compact"/>
            </w:pPr>
            <w:r>
              <w:t xml:space="preserve">área de residencia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</w:tr>
    </w:tbl>
    <w:bookmarkEnd w:id="19"/>
    <w:bookmarkStart w:id="20" w:name="agua-saneamiento-e-higiene-wash"/>
    <w:p>
      <w:pPr>
        <w:pStyle w:val="Heading3"/>
      </w:pPr>
      <w:r>
        <w:t xml:space="preserve">Agua, saneamiento e higiene (WASH)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85"/>
        <w:gridCol w:w="1485"/>
        <w:gridCol w:w="1485"/>
        <w:gridCol w:w="1485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Código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Valores admitidos</w:t>
            </w:r>
          </w:p>
        </w:tc>
        <w:tc>
          <w:tcPr/>
          <w:p>
            <w:pPr>
              <w:pStyle w:val="Compact"/>
            </w:pPr>
            <w:r>
              <w:t xml:space="preserve">Unidad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% nulos tolerado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HV204</w:t>
            </w:r>
          </w:p>
        </w:tc>
        <w:tc>
          <w:tcPr/>
          <w:p>
            <w:pPr>
              <w:pStyle w:val="Compact"/>
            </w:pPr>
            <w:r>
              <w:t xml:space="preserve">Numérica</w:t>
            </w:r>
          </w:p>
        </w:tc>
        <w:tc>
          <w:tcPr/>
          <w:p>
            <w:pPr>
              <w:pStyle w:val="Compact"/>
            </w:pPr>
            <w:r>
              <w:t xml:space="preserve">0 – 600</w:t>
            </w:r>
          </w:p>
        </w:tc>
        <w:tc>
          <w:tcPr/>
          <w:p>
            <w:pPr>
              <w:pStyle w:val="Compact"/>
            </w:pPr>
            <w:r>
              <w:t xml:space="preserve">minutos hasta la fuente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HV225</w:t>
            </w:r>
          </w:p>
        </w:tc>
        <w:tc>
          <w:tcPr/>
          <w:p>
            <w:pPr>
              <w:pStyle w:val="Compact"/>
            </w:pPr>
            <w:r>
              <w:t xml:space="preserve">Binaria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Sí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¿comparte servicio higiénico?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HV234</w:t>
            </w:r>
          </w:p>
        </w:tc>
        <w:tc>
          <w:tcPr/>
          <w:p>
            <w:pPr>
              <w:pStyle w:val="Compact"/>
            </w:pPr>
            <w:r>
              <w:t xml:space="preserve">Numérica</w:t>
            </w:r>
          </w:p>
        </w:tc>
        <w:tc>
          <w:tcPr/>
          <w:p>
            <w:pPr>
              <w:pStyle w:val="Compact"/>
            </w:pPr>
            <w:r>
              <w:t xml:space="preserve">0, 7, 15, 30</w:t>
            </w:r>
          </w:p>
        </w:tc>
        <w:tc>
          <w:tcPr/>
          <w:p>
            <w:pPr>
              <w:pStyle w:val="Compact"/>
            </w:pPr>
            <w:r>
              <w:t xml:space="preserve">yodo en sal (ppm por colorimetría)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HV237</w:t>
            </w:r>
          </w:p>
        </w:tc>
        <w:tc>
          <w:tcPr/>
          <w:p>
            <w:pPr>
              <w:pStyle w:val="Compact"/>
            </w:pPr>
            <w:r>
              <w:t xml:space="preserve">Binaria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Sí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¿trata el agua?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HV237A</w:t>
            </w:r>
          </w:p>
        </w:tc>
        <w:tc>
          <w:tcPr/>
          <w:p>
            <w:pPr>
              <w:pStyle w:val="Compact"/>
            </w:pPr>
            <w:r>
              <w:t xml:space="preserve">Binaria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Sí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¿hierve el agua?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HV237G</w:t>
            </w:r>
          </w:p>
        </w:tc>
        <w:tc>
          <w:tcPr/>
          <w:p>
            <w:pPr>
              <w:pStyle w:val="Compact"/>
            </w:pPr>
            <w:r>
              <w:t xml:space="preserve">Binaria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Sí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¿consume agua embotellada?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SH42</w:t>
            </w:r>
          </w:p>
        </w:tc>
        <w:tc>
          <w:tcPr/>
          <w:p>
            <w:pPr>
              <w:pStyle w:val="Compact"/>
            </w:pPr>
            <w:r>
              <w:t xml:space="preserve">Binaria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Sí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¿dispone de agua todo el día?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20.4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SH48</w:t>
            </w:r>
          </w:p>
        </w:tc>
        <w:tc>
          <w:tcPr/>
          <w:p>
            <w:pPr>
              <w:pStyle w:val="Compact"/>
            </w:pPr>
            <w:r>
              <w:t xml:space="preserve">Binaria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Sí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¿conserva agua?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SH49</w:t>
            </w:r>
          </w:p>
        </w:tc>
        <w:tc>
          <w:tcPr/>
          <w:p>
            <w:pPr>
              <w:pStyle w:val="Compact"/>
            </w:pPr>
            <w:r>
              <w:t xml:space="preserve">Categórica nominal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Olla, tetera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Balde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Jarra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Bidón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Otro</w:t>
            </w:r>
          </w:p>
        </w:tc>
        <w:tc>
          <w:tcPr/>
          <w:p>
            <w:pPr>
              <w:pStyle w:val="Compact"/>
            </w:pPr>
            <w:r>
              <w:t xml:space="preserve">recipiente donde conserva el agua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20.4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SH50</w:t>
            </w:r>
          </w:p>
        </w:tc>
        <w:tc>
          <w:tcPr/>
          <w:p>
            <w:pPr>
              <w:pStyle w:val="Compact"/>
            </w:pPr>
            <w:r>
              <w:t xml:space="preserve">Binaria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Sí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¿usa el recipiente con tapa?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19.3</w:t>
            </w:r>
          </w:p>
        </w:tc>
      </w:tr>
    </w:tbl>
    <w:bookmarkEnd w:id="20"/>
    <w:bookmarkStart w:id="21" w:name="vivienda-y-entorno"/>
    <w:p>
      <w:pPr>
        <w:pStyle w:val="Heading3"/>
      </w:pPr>
      <w:r>
        <w:t xml:space="preserve">Vivienda y entorno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85"/>
        <w:gridCol w:w="1485"/>
        <w:gridCol w:w="1485"/>
        <w:gridCol w:w="1485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Código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Valores admitidos</w:t>
            </w:r>
          </w:p>
        </w:tc>
        <w:tc>
          <w:tcPr/>
          <w:p>
            <w:pPr>
              <w:pStyle w:val="Compact"/>
            </w:pPr>
            <w:r>
              <w:t xml:space="preserve">Unidad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% nulos tolerado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HV040</w:t>
            </w:r>
          </w:p>
        </w:tc>
        <w:tc>
          <w:tcPr/>
          <w:p>
            <w:pPr>
              <w:pStyle w:val="Compact"/>
            </w:pPr>
            <w:r>
              <w:t xml:space="preserve">Numérica</w:t>
            </w:r>
          </w:p>
        </w:tc>
        <w:tc>
          <w:tcPr/>
          <w:p>
            <w:pPr>
              <w:pStyle w:val="Compact"/>
            </w:pPr>
            <w:r>
              <w:t xml:space="preserve">0 – 5053</w:t>
            </w:r>
          </w:p>
        </w:tc>
        <w:tc>
          <w:tcPr/>
          <w:p>
            <w:pPr>
              <w:pStyle w:val="Compact"/>
            </w:pPr>
            <w:r>
              <w:t xml:space="preserve">metros sobre el nivel del mar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HV216</w:t>
            </w:r>
          </w:p>
        </w:tc>
        <w:tc>
          <w:tcPr/>
          <w:p>
            <w:pPr>
              <w:pStyle w:val="Compact"/>
            </w:pPr>
            <w:r>
              <w:t xml:space="preserve">Numérica</w:t>
            </w:r>
          </w:p>
        </w:tc>
        <w:tc>
          <w:tcPr/>
          <w:p>
            <w:pPr>
              <w:pStyle w:val="Compact"/>
            </w:pPr>
            <w:r>
              <w:t xml:space="preserve">0 – 14</w:t>
            </w:r>
          </w:p>
        </w:tc>
        <w:tc>
          <w:tcPr/>
          <w:p>
            <w:pPr>
              <w:pStyle w:val="Compact"/>
            </w:pPr>
            <w:r>
              <w:t xml:space="preserve">habitaciones para dormir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HV240</w:t>
            </w:r>
          </w:p>
        </w:tc>
        <w:tc>
          <w:tcPr/>
          <w:p>
            <w:pPr>
              <w:pStyle w:val="Compact"/>
            </w:pPr>
            <w:r>
              <w:t xml:space="preserve">Categórica nominal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Ni chimenea ni campana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Tubo de lámpara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Capucha</w:t>
            </w:r>
          </w:p>
        </w:tc>
        <w:tc>
          <w:tcPr/>
          <w:p>
            <w:pPr>
              <w:pStyle w:val="Compact"/>
            </w:pPr>
            <w:r>
              <w:t xml:space="preserve">extracción de humo en la cocina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55.9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HV242</w:t>
            </w:r>
          </w:p>
        </w:tc>
        <w:tc>
          <w:tcPr/>
          <w:p>
            <w:pPr>
              <w:pStyle w:val="Compact"/>
            </w:pPr>
            <w:r>
              <w:t xml:space="preserve">Binaria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Sí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¿cuarto separado para cocinar?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SH63</w:t>
            </w:r>
          </w:p>
        </w:tc>
        <w:tc>
          <w:tcPr/>
          <w:p>
            <w:pPr>
              <w:pStyle w:val="Compact"/>
            </w:pPr>
            <w:r>
              <w:t xml:space="preserve">Binaria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Sí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¿usa otro combustible para cocinar?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SH70</w:t>
            </w:r>
          </w:p>
        </w:tc>
        <w:tc>
          <w:tcPr/>
          <w:p>
            <w:pPr>
              <w:pStyle w:val="Compact"/>
            </w:pPr>
            <w:r>
              <w:t xml:space="preserve">Categórica nominal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Electricidad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GLP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Gas natural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Kerosene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Velas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Batería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Otro</w:t>
            </w:r>
          </w:p>
        </w:tc>
        <w:tc>
          <w:tcPr/>
          <w:p>
            <w:pPr>
              <w:pStyle w:val="Compact"/>
            </w:pPr>
            <w:r>
              <w:t xml:space="preserve">tipo de alumbrado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SH71</w:t>
            </w:r>
          </w:p>
        </w:tc>
        <w:tc>
          <w:tcPr/>
          <w:p>
            <w:pPr>
              <w:pStyle w:val="Compact"/>
            </w:pPr>
            <w:r>
              <w:t xml:space="preserve">Numérica</w:t>
            </w:r>
          </w:p>
        </w:tc>
        <w:tc>
          <w:tcPr/>
          <w:p>
            <w:pPr>
              <w:pStyle w:val="Compact"/>
            </w:pPr>
            <w:r>
              <w:t xml:space="preserve">1 – 30</w:t>
            </w:r>
          </w:p>
        </w:tc>
        <w:tc>
          <w:tcPr/>
          <w:p>
            <w:pPr>
              <w:pStyle w:val="Compact"/>
            </w:pPr>
            <w:r>
              <w:t xml:space="preserve">habitaciones del hogar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SH76B</w:t>
            </w:r>
          </w:p>
        </w:tc>
        <w:tc>
          <w:tcPr/>
          <w:p>
            <w:pPr>
              <w:pStyle w:val="Compact"/>
            </w:pPr>
            <w:r>
              <w:t xml:space="preserve">Binaria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Sí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ventanas con cristal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16.2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SH76C</w:t>
            </w:r>
          </w:p>
        </w:tc>
        <w:tc>
          <w:tcPr/>
          <w:p>
            <w:pPr>
              <w:pStyle w:val="Compact"/>
            </w:pPr>
            <w:r>
              <w:t xml:space="preserve">Binaria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Sí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ventanas de madera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16.2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SH76D</w:t>
            </w:r>
          </w:p>
        </w:tc>
        <w:tc>
          <w:tcPr/>
          <w:p>
            <w:pPr>
              <w:pStyle w:val="Compact"/>
            </w:pPr>
            <w:r>
              <w:t xml:space="preserve">Binaria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Sí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ventanas con malla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16.2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SH77F</w:t>
            </w:r>
          </w:p>
        </w:tc>
        <w:tc>
          <w:tcPr/>
          <w:p>
            <w:pPr>
              <w:pStyle w:val="Compact"/>
            </w:pPr>
            <w:r>
              <w:t xml:space="preserve">Binaria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Sí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otro tipo de transporte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</w:tr>
    </w:tbl>
    <w:p>
      <w:pPr>
        <w:pStyle w:val="BlockText"/>
      </w:pPr>
      <w:r>
        <w:rPr>
          <w:b/>
          <w:bCs/>
        </w:rPr>
        <w:t xml:space="preserve">Advertencia sobre la codificación heredada.</w:t>
      </w:r>
      <w:r>
        <w:t xml:space="preserve"> </w:t>
      </w:r>
      <w:r>
        <w:t xml:space="preserve">Las tres irregularidades que siguen provienen de la</w:t>
      </w:r>
      <w:r>
        <w:t xml:space="preserve"> </w:t>
      </w:r>
      <w:r>
        <w:t xml:space="preserve">propia ENDES y se conservaron para no alterar la fuente; se señalan aquí porque condicionan el</w:t>
      </w:r>
      <w:r>
        <w:t xml:space="preserve"> </w:t>
      </w:r>
      <w:r>
        <w:t xml:space="preserve">formato de entrega: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Si</w:t>
      </w:r>
      <w:r>
        <w:rPr>
          <w:b/>
          <w:bCs/>
        </w:rPr>
        <w:t xml:space="preserve"> </w:t>
      </w:r>
      <w:r>
        <w:rPr>
          <w:b/>
          <w:bCs/>
        </w:rPr>
        <w:t xml:space="preserve">frente 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Sí</w:t>
      </w:r>
      <w:r>
        <w:rPr>
          <w:b/>
          <w:bCs/>
        </w:rPr>
        <w:t xml:space="preserve">.</w:t>
      </w:r>
      <w:r>
        <w:t xml:space="preserve"> </w:t>
      </w:r>
      <w:r>
        <w:t xml:space="preserve">Internamente unas variables llevan tilde y otras no, según el módulo de</w:t>
      </w:r>
      <w:r>
        <w:t xml:space="preserve"> </w:t>
      </w:r>
      <w:r>
        <w:t xml:space="preserve">origen. Para la entrega esto es indiferente: basta escribir</w:t>
      </w:r>
      <w:r>
        <w:t xml:space="preserve"> </w:t>
      </w:r>
      <w:r>
        <w:rPr>
          <w:rStyle w:val="VerbatimChar"/>
        </w:rPr>
        <w:t xml:space="preserve">Sí</w:t>
      </w:r>
      <w:r>
        <w:t xml:space="preserve"> </w:t>
      </w:r>
      <w:r>
        <w:t xml:space="preserve">de forma uniforme.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Binarias en dos formatos internos.</w:t>
      </w:r>
      <w:r>
        <w:t xml:space="preserve"> </w:t>
      </w:r>
      <w:r>
        <w:rPr>
          <w:rStyle w:val="VerbatimChar"/>
        </w:rPr>
        <w:t xml:space="preserve">M17</w:t>
      </w:r>
      <w:r>
        <w:t xml:space="preserve">,</w:t>
      </w:r>
      <w:r>
        <w:t xml:space="preserve"> </w:t>
      </w:r>
      <w:r>
        <w:rPr>
          <w:rStyle w:val="VerbatimChar"/>
        </w:rPr>
        <w:t xml:space="preserve">M54</w:t>
      </w:r>
      <w:r>
        <w:t xml:space="preserve">,</w:t>
      </w:r>
      <w:r>
        <w:t xml:space="preserve"> </w:t>
      </w:r>
      <w:r>
        <w:rPr>
          <w:rStyle w:val="VerbatimChar"/>
        </w:rPr>
        <w:t xml:space="preserve">M55G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M60</w:t>
      </w:r>
      <w:r>
        <w:t xml:space="preserve"> </w:t>
      </w:r>
      <w:r>
        <w:t xml:space="preserve">viajan como</w:t>
      </w:r>
      <w:r>
        <w:t xml:space="preserve"> </w:t>
      </w:r>
      <w:r>
        <w:rPr>
          <w:rStyle w:val="VerbatimChar"/>
        </w:rPr>
        <w:t xml:space="preserve">1</w:t>
      </w:r>
      <w:r>
        <w:t xml:space="preserve">/</w:t>
      </w:r>
      <w:r>
        <w:rPr>
          <w:rStyle w:val="VerbatimChar"/>
        </w:rPr>
        <w:t xml:space="preserve">0</w:t>
      </w:r>
      <w:r>
        <w:t xml:space="preserve"> </w:t>
      </w:r>
      <w:r>
        <w:t xml:space="preserve">dentro del</w:t>
      </w:r>
      <w:r>
        <w:t xml:space="preserve"> </w:t>
      </w:r>
      <w:r>
        <w:t xml:space="preserve">sistema, mientras que el resto de las dicotómicas usan texto. Para la entrega basta con</w:t>
      </w:r>
      <w:r>
        <w:t xml:space="preserve"> </w:t>
      </w:r>
      <w:r>
        <w:rPr>
          <w:rStyle w:val="VerbatimChar"/>
        </w:rPr>
        <w:t xml:space="preserve">Sí</w:t>
      </w:r>
      <w:r>
        <w:t xml:space="preserve">/</w:t>
      </w:r>
      <w:r>
        <w:rPr>
          <w:rStyle w:val="VerbatimChar"/>
        </w:rPr>
        <w:t xml:space="preserve">No</w:t>
      </w:r>
      <w:r>
        <w:t xml:space="preserve"> </w:t>
      </w:r>
      <w:r>
        <w:t xml:space="preserve">en todas: la homologación corre por cuenta del equipo.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Códigos especiales.</w:t>
      </w:r>
      <w:r>
        <w:t xml:space="preserve"> </w:t>
      </w:r>
      <w:r>
        <w:t xml:space="preserve">Internamente</w:t>
      </w:r>
      <w:r>
        <w:t xml:space="preserve"> </w:t>
      </w:r>
      <w:r>
        <w:rPr>
          <w:rStyle w:val="VerbatimChar"/>
        </w:rPr>
        <w:t xml:space="preserve">SH49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SH70</w:t>
      </w:r>
      <w:r>
        <w:t xml:space="preserve"> </w:t>
      </w:r>
      <w:r>
        <w:t xml:space="preserve">reservan 96, 98 y 99 para</w:t>
      </w:r>
      <w:r>
        <w:t xml:space="preserve"> </w:t>
      </w:r>
      <w:r>
        <w:rPr>
          <w:i/>
          <w:iCs/>
        </w:rPr>
        <w:t xml:space="preserve">otro</w:t>
      </w:r>
      <w:r>
        <w:t xml:space="preserve"> </w:t>
      </w:r>
      <w:r>
        <w:t xml:space="preserve">y</w:t>
      </w:r>
      <w:r>
        <w:t xml:space="preserve"> </w:t>
      </w:r>
      <w:r>
        <w:rPr>
          <w:i/>
          <w:iCs/>
        </w:rPr>
        <w:t xml:space="preserve">no</w:t>
      </w:r>
      <w:r>
        <w:rPr>
          <w:i/>
          <w:iCs/>
        </w:rPr>
        <w:t xml:space="preserve"> </w:t>
      </w:r>
      <w:r>
        <w:rPr>
          <w:i/>
          <w:iCs/>
        </w:rPr>
        <w:t xml:space="preserve">sabe</w:t>
      </w:r>
      <w:r>
        <w:t xml:space="preserve">. Al entregarse como texto esto deja de ser un problema: escriba</w:t>
      </w:r>
      <w:r>
        <w:t xml:space="preserve"> </w:t>
      </w:r>
      <w:r>
        <w:rPr>
          <w:rStyle w:val="VerbatimChar"/>
        </w:rPr>
        <w:t xml:space="preserve">Otro</w:t>
      </w:r>
      <w:r>
        <w:t xml:space="preserve"> </w:t>
      </w:r>
      <w:r>
        <w:t xml:space="preserve">cuando corresponda y</w:t>
      </w:r>
      <w:r>
        <w:t xml:space="preserve"> </w:t>
      </w:r>
      <w:r>
        <w:t xml:space="preserve">deje la celda</w:t>
      </w:r>
      <w:r>
        <w:t xml:space="preserve"> </w:t>
      </w:r>
      <w:r>
        <w:rPr>
          <w:b/>
          <w:bCs/>
        </w:rPr>
        <w:t xml:space="preserve">vacía</w:t>
      </w:r>
      <w:r>
        <w:t xml:space="preserve"> </w:t>
      </w:r>
      <w:r>
        <w:t xml:space="preserve">cuando el dato no se pudo obtener.</w:t>
      </w:r>
    </w:p>
    <w:p>
      <w:pPr>
        <w:pStyle w:val="BlockText"/>
      </w:pPr>
      <w:r>
        <w:t xml:space="preserve">Si el conjunto de datos externo emplea otra codificación, basta con entregarlo acompañado de su</w:t>
      </w:r>
      <w:r>
        <w:t xml:space="preserve"> </w:t>
      </w:r>
      <w:r>
        <w:t xml:space="preserve">diccionario de valores: el equipo se encarga de la homologación.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6" w:name="variables-adicionales-deseables"/>
    <w:p>
      <w:pPr>
        <w:pStyle w:val="Heading2"/>
      </w:pPr>
      <w:r>
        <w:t xml:space="preserve">5. Variables adicionales deseables</w:t>
      </w:r>
    </w:p>
    <w:p>
      <w:pPr>
        <w:pStyle w:val="FirstParagraph"/>
      </w:pPr>
      <w:r>
        <w:t xml:space="preserve">Las 45 variables anteriores son las que el modelo</w:t>
      </w:r>
      <w:r>
        <w:t xml:space="preserve"> </w:t>
      </w:r>
      <w:r>
        <w:rPr>
          <w:b/>
          <w:bCs/>
        </w:rPr>
        <w:t xml:space="preserve">usa hoy</w:t>
      </w:r>
      <w:r>
        <w:t xml:space="preserve"> </w:t>
      </w:r>
      <w:r>
        <w:t xml:space="preserve">y constituyen el mínimo necesario para</w:t>
      </w:r>
      <w:r>
        <w:t xml:space="preserve"> </w:t>
      </w:r>
      <w:r>
        <w:t xml:space="preserve">contrastarlo. Las que siguen</w:t>
      </w:r>
      <w:r>
        <w:t xml:space="preserve"> </w:t>
      </w:r>
      <w:r>
        <w:rPr>
          <w:b/>
          <w:bCs/>
        </w:rPr>
        <w:t xml:space="preserve">no están en el modelo actual</w:t>
      </w:r>
      <w:r>
        <w:t xml:space="preserve"> </w:t>
      </w:r>
      <w:r>
        <w:t xml:space="preserve">y se solicitan porque la literatura</w:t>
      </w:r>
      <w:r>
        <w:t xml:space="preserve"> </w:t>
      </w:r>
      <w:r>
        <w:t xml:space="preserve">epidemiológica las identifica como determinantes de la desnutrición crónica que la ENDES no permite</w:t>
      </w:r>
      <w:r>
        <w:t xml:space="preserve"> </w:t>
      </w:r>
      <w:r>
        <w:t xml:space="preserve">cubrir con suficiente completitud.</w:t>
      </w:r>
    </w:p>
    <w:p>
      <w:pPr>
        <w:pStyle w:val="BodyText"/>
      </w:pPr>
      <w:r>
        <w:t xml:space="preserve">Su inclusión es</w:t>
      </w:r>
      <w:r>
        <w:t xml:space="preserve"> </w:t>
      </w:r>
      <w:r>
        <w:rPr>
          <w:b/>
          <w:bCs/>
        </w:rPr>
        <w:t xml:space="preserve">opcional</w:t>
      </w:r>
      <w:r>
        <w:t xml:space="preserve">: el sistema funciona sin ellas. Pero cada dimensión que el conjunto de</w:t>
      </w:r>
      <w:r>
        <w:t xml:space="preserve"> </w:t>
      </w:r>
      <w:r>
        <w:t xml:space="preserve">datos externo pueda aportar abre la posibilidad de una versión mejorada del modelo, y su ausencia es</w:t>
      </w:r>
      <w:r>
        <w:t xml:space="preserve"> </w:t>
      </w:r>
      <w:r>
        <w:t xml:space="preserve">hoy una limitación declarada del estudio.</w:t>
      </w:r>
    </w:p>
    <w:p>
      <w:pPr>
        <w:pStyle w:val="BodyText"/>
      </w:pPr>
      <w:r>
        <w:t xml:space="preserve">El marco de referencia es el</w:t>
      </w:r>
      <w:r>
        <w:t xml:space="preserve"> </w:t>
      </w:r>
      <w:r>
        <w:rPr>
          <w:b/>
          <w:bCs/>
        </w:rPr>
        <w:t xml:space="preserve">modelo conceptual de UNICEF</w:t>
      </w:r>
      <w:r>
        <w:t xml:space="preserve"> </w:t>
      </w:r>
      <w:r>
        <w:t xml:space="preserve">sobre desnutrición infantil, que ordena</w:t>
      </w:r>
      <w:r>
        <w:t xml:space="preserve"> </w:t>
      </w:r>
      <w:r>
        <w:t xml:space="preserve">las causas en tres niveles y que la serie de nutrición materno-infantil de</w:t>
      </w:r>
      <w:r>
        <w:t xml:space="preserve"> </w:t>
      </w:r>
      <w:r>
        <w:rPr>
          <w:i/>
          <w:iCs/>
        </w:rPr>
        <w:t xml:space="preserve">The Lancet</w:t>
      </w:r>
      <w:r>
        <w:t xml:space="preserve"> </w:t>
      </w:r>
      <w:r>
        <w:t xml:space="preserve">sistematiza</w:t>
      </w:r>
      <w:r>
        <w:t xml:space="preserve"> </w:t>
      </w:r>
      <w:r>
        <w:t xml:space="preserve">(Black et al., 2013; Victora et al., 2021). El modelo actual cubre bien los niveles básico y subyacente —pobreza,</w:t>
      </w:r>
      <w:r>
        <w:t xml:space="preserve"> </w:t>
      </w:r>
      <w:r>
        <w:t xml:space="preserve">educación, agua y saneamiento, vivienda— pero tiene un vacío en el</w:t>
      </w:r>
      <w:r>
        <w:t xml:space="preserve"> </w:t>
      </w:r>
      <w:r>
        <w:rPr>
          <w:b/>
          <w:bCs/>
        </w:rPr>
        <w:t xml:space="preserve">nivel inmediato</w:t>
      </w:r>
      <w:r>
        <w:t xml:space="preserve">, que es</w:t>
      </w:r>
      <w:r>
        <w:t xml:space="preserve"> </w:t>
      </w:r>
      <w:r>
        <w:t xml:space="preserve">precisamente donde actúa la intervención nutricional.</w:t>
      </w:r>
    </w:p>
    <w:bookmarkStart w:id="23" w:name="Xa28ccaee8b3810007f607d5dc6ef3df53e6a5a3"/>
    <w:p>
      <w:pPr>
        <w:pStyle w:val="Heading3"/>
      </w:pPr>
      <w:r>
        <w:t xml:space="preserve">Prioridad alta — nivel inmediato (el vacío principal)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Dimensión</w:t>
            </w:r>
          </w:p>
        </w:tc>
        <w:tc>
          <w:tcPr/>
          <w:p>
            <w:pPr>
              <w:pStyle w:val="Compact"/>
            </w:pPr>
            <w:r>
              <w:t xml:space="preserve">Campo sugerido</w:t>
            </w:r>
          </w:p>
        </w:tc>
        <w:tc>
          <w:tcPr/>
          <w:p>
            <w:pPr>
              <w:pStyle w:val="Compact"/>
            </w:pPr>
            <w:r>
              <w:t xml:space="preserve">Por qué importa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Morbilidad reciente</w:t>
            </w:r>
          </w:p>
        </w:tc>
        <w:tc>
          <w:tcPr/>
          <w:p>
            <w:pPr>
              <w:pStyle w:val="Compact"/>
            </w:pPr>
            <w:r>
              <w:t xml:space="preserve">Episodios de diarrea en las últimas 2 semanas (sí/no)</w:t>
            </w:r>
          </w:p>
        </w:tc>
        <w:tc>
          <w:tcPr/>
          <w:p>
            <w:pPr>
              <w:pStyle w:val="Compact"/>
            </w:pPr>
            <w:r>
              <w:t xml:space="preserve">Vía infecciosa hacia la malabsorción de nutrientes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Morbilidad reciente</w:t>
            </w:r>
          </w:p>
        </w:tc>
        <w:tc>
          <w:tcPr/>
          <w:p>
            <w:pPr>
              <w:pStyle w:val="Compact"/>
            </w:pPr>
            <w:r>
              <w:t xml:space="preserve">Infección respiratoria aguda en las últimas 2 semanas (sí/no)</w:t>
            </w:r>
          </w:p>
        </w:tc>
        <w:tc>
          <w:tcPr/>
          <w:p>
            <w:pPr>
              <w:pStyle w:val="Compact"/>
            </w:pPr>
            <w:r>
              <w:t xml:space="preserve">Impacto directo sobre el estado nutricional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Ingesta</w:t>
            </w:r>
          </w:p>
        </w:tc>
        <w:tc>
          <w:tcPr/>
          <w:p>
            <w:pPr>
              <w:pStyle w:val="Compact"/>
            </w:pPr>
            <w:r>
              <w:t xml:space="preserve">Diversidad dietética mínima (número de grupos de alimentos en 24 h)</w:t>
            </w:r>
          </w:p>
        </w:tc>
        <w:tc>
          <w:tcPr/>
          <w:p>
            <w:pPr>
              <w:pStyle w:val="Compact"/>
            </w:pPr>
            <w:r>
              <w:t xml:space="preserve">Indicador OMS de calidad de la alimentación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Ingesta</w:t>
            </w:r>
          </w:p>
        </w:tc>
        <w:tc>
          <w:tcPr/>
          <w:p>
            <w:pPr>
              <w:pStyle w:val="Compact"/>
            </w:pPr>
            <w:r>
              <w:t xml:space="preserve">Frecuencia mínima de comidas según edad</w:t>
            </w:r>
          </w:p>
        </w:tc>
        <w:tc>
          <w:tcPr/>
          <w:p>
            <w:pPr>
              <w:pStyle w:val="Compact"/>
            </w:pPr>
            <w:r>
              <w:t xml:space="preserve">Complemento del anterior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Suplementación</w:t>
            </w:r>
          </w:p>
        </w:tc>
        <w:tc>
          <w:tcPr/>
          <w:p>
            <w:pPr>
              <w:pStyle w:val="Compact"/>
            </w:pPr>
            <w:r>
              <w:t xml:space="preserve">Recibe micronutrientes o hierro (sí/no, frecuencia)</w:t>
            </w:r>
          </w:p>
        </w:tc>
        <w:tc>
          <w:tcPr/>
          <w:p>
            <w:pPr>
              <w:pStyle w:val="Compact"/>
            </w:pPr>
            <w:r>
              <w:t xml:space="preserve">Intervención directa y modificable</w:t>
            </w:r>
          </w:p>
        </w:tc>
      </w:tr>
    </w:tbl>
    <w:bookmarkEnd w:id="23"/>
    <w:bookmarkStart w:id="24" w:name="Xea480f4cdf50012eed58a23ba12f3601238dacf"/>
    <w:p>
      <w:pPr>
        <w:pStyle w:val="Heading3"/>
      </w:pPr>
      <w:r>
        <w:t xml:space="preserve">Prioridad media — estado nutricional materno y servicios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Dimensión</w:t>
            </w:r>
          </w:p>
        </w:tc>
        <w:tc>
          <w:tcPr/>
          <w:p>
            <w:pPr>
              <w:pStyle w:val="Compact"/>
            </w:pPr>
            <w:r>
              <w:t xml:space="preserve">Campo sugerido</w:t>
            </w:r>
          </w:p>
        </w:tc>
        <w:tc>
          <w:tcPr/>
          <w:p>
            <w:pPr>
              <w:pStyle w:val="Compact"/>
            </w:pPr>
            <w:r>
              <w:t xml:space="preserve">Por qué importa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Antropometría materna</w:t>
            </w:r>
          </w:p>
        </w:tc>
        <w:tc>
          <w:tcPr/>
          <w:p>
            <w:pPr>
              <w:pStyle w:val="Compact"/>
            </w:pPr>
            <w:r>
              <w:t xml:space="preserve">Talla de la madre (cm)</w:t>
            </w:r>
          </w:p>
        </w:tc>
        <w:tc>
          <w:tcPr/>
          <w:p>
            <w:pPr>
              <w:pStyle w:val="Compact"/>
            </w:pPr>
            <w:r>
              <w:t xml:space="preserve">Predictor consistente de retraso del crecimiento intergeneracional; resultó la variable más influyente en un modelo equivalente sobre datos DHS (Ndagijimana et al., 2025)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Antropometría materna</w:t>
            </w:r>
          </w:p>
        </w:tc>
        <w:tc>
          <w:tcPr/>
          <w:p>
            <w:pPr>
              <w:pStyle w:val="Compact"/>
            </w:pPr>
            <w:r>
              <w:t xml:space="preserve">Peso / IMC de la madre</w:t>
            </w:r>
          </w:p>
        </w:tc>
        <w:tc>
          <w:tcPr/>
          <w:p>
            <w:pPr>
              <w:pStyle w:val="Compact"/>
            </w:pPr>
            <w:r>
              <w:t xml:space="preserve">Estado nutricional del hogar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Servicios de salud</w:t>
            </w:r>
          </w:p>
        </w:tc>
        <w:tc>
          <w:tcPr/>
          <w:p>
            <w:pPr>
              <w:pStyle w:val="Compact"/>
            </w:pPr>
            <w:r>
              <w:t xml:space="preserve">Controles CRED al día (sí/no, número)</w:t>
            </w:r>
          </w:p>
        </w:tc>
        <w:tc>
          <w:tcPr/>
          <w:p>
            <w:pPr>
              <w:pStyle w:val="Compact"/>
            </w:pPr>
            <w:r>
              <w:t xml:space="preserve">Seguimiento del crecimiento en el sistema peruano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Servicios de salud</w:t>
            </w:r>
          </w:p>
        </w:tc>
        <w:tc>
          <w:tcPr/>
          <w:p>
            <w:pPr>
              <w:pStyle w:val="Compact"/>
            </w:pPr>
            <w:r>
              <w:t xml:space="preserve">Esquema de vacunación completo para la edad (sí/no)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Proxy</w:t>
            </w:r>
            <w:r>
              <w:t xml:space="preserve"> </w:t>
            </w:r>
            <w:r>
              <w:t xml:space="preserve">de acceso efectivo a servicios</w:t>
            </w:r>
          </w:p>
        </w:tc>
      </w:tr>
    </w:tbl>
    <w:bookmarkEnd w:id="24"/>
    <w:bookmarkStart w:id="25" w:name="prioridad-media-contexto-social"/>
    <w:p>
      <w:pPr>
        <w:pStyle w:val="Heading3"/>
      </w:pPr>
      <w:r>
        <w:t xml:space="preserve">Prioridad media — contexto social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Dimensión</w:t>
            </w:r>
          </w:p>
        </w:tc>
        <w:tc>
          <w:tcPr/>
          <w:p>
            <w:pPr>
              <w:pStyle w:val="Compact"/>
            </w:pPr>
            <w:r>
              <w:t xml:space="preserve">Campo sugerido</w:t>
            </w:r>
          </w:p>
        </w:tc>
        <w:tc>
          <w:tcPr/>
          <w:p>
            <w:pPr>
              <w:pStyle w:val="Compact"/>
            </w:pPr>
            <w:r>
              <w:t xml:space="preserve">Por qué importa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Etnicidad</w:t>
            </w:r>
          </w:p>
        </w:tc>
        <w:tc>
          <w:tcPr/>
          <w:p>
            <w:pPr>
              <w:pStyle w:val="Compact"/>
            </w:pPr>
            <w:r>
              <w:t xml:space="preserve">Lengua materna de la madre</w:t>
            </w:r>
          </w:p>
        </w:tc>
        <w:tc>
          <w:tcPr/>
          <w:p>
            <w:pPr>
              <w:pStyle w:val="Compact"/>
            </w:pPr>
            <w:r>
              <w:t xml:space="preserve">Marcador de exclusión estructural especialmente relevante en el Perú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Seguridad alimentaria</w:t>
            </w:r>
          </w:p>
        </w:tc>
        <w:tc>
          <w:tcPr/>
          <w:p>
            <w:pPr>
              <w:pStyle w:val="Compact"/>
            </w:pPr>
            <w:r>
              <w:t xml:space="preserve">Escala de inseguridad alimentaria del hogar (ELCSA o similar)</w:t>
            </w:r>
          </w:p>
        </w:tc>
        <w:tc>
          <w:tcPr/>
          <w:p>
            <w:pPr>
              <w:pStyle w:val="Compact"/>
            </w:pPr>
            <w:r>
              <w:t xml:space="preserve">Acceso efectivo a alimentos, no solo capacidad económica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Cuidado</w:t>
            </w:r>
          </w:p>
        </w:tc>
        <w:tc>
          <w:tcPr/>
          <w:p>
            <w:pPr>
              <w:pStyle w:val="Compact"/>
            </w:pPr>
            <w:r>
              <w:t xml:space="preserve">Situación laboral de la madre / cuidador principal</w:t>
            </w:r>
          </w:p>
        </w:tc>
        <w:tc>
          <w:tcPr/>
          <w:p>
            <w:pPr>
              <w:pStyle w:val="Compact"/>
            </w:pPr>
            <w:r>
              <w:t xml:space="preserve">Tiempo disponible para prácticas de cuidado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Programas sociales</w:t>
            </w:r>
          </w:p>
        </w:tc>
        <w:tc>
          <w:tcPr/>
          <w:p>
            <w:pPr>
              <w:pStyle w:val="Compact"/>
            </w:pPr>
            <w:r>
              <w:t xml:space="preserve">Beneficiario de Juntos, Cuna Más, Qali Warma (sí/no)</w:t>
            </w:r>
          </w:p>
        </w:tc>
        <w:tc>
          <w:tcPr/>
          <w:p>
            <w:pPr>
              <w:pStyle w:val="Compact"/>
            </w:pPr>
            <w:r>
              <w:t xml:space="preserve">Permite evaluar cobertura frente a necesidad</w:t>
            </w:r>
          </w:p>
        </w:tc>
      </w:tr>
    </w:tbl>
    <w:p>
      <w:pPr>
        <w:pStyle w:val="BlockText"/>
      </w:pPr>
      <w:r>
        <w:rPr>
          <w:b/>
          <w:bCs/>
        </w:rPr>
        <w:t xml:space="preserve">Sobre el formato.</w:t>
      </w:r>
      <w:r>
        <w:t xml:space="preserve"> </w:t>
      </w:r>
      <w:r>
        <w:t xml:space="preserve">Estas variables no requieren la codificación estricta de la sección 4, ya</w:t>
      </w:r>
      <w:r>
        <w:t xml:space="preserve"> </w:t>
      </w:r>
      <w:r>
        <w:t xml:space="preserve">que aún no forman parte del modelo. Basta con entregarlas tal como estén registradas, acompañadas de</w:t>
      </w:r>
      <w:r>
        <w:t xml:space="preserve"> </w:t>
      </w:r>
      <w:r>
        <w:t xml:space="preserve">su diccionario de valores. El equipo se encarga de homologarlas.</w:t>
      </w:r>
    </w:p>
    <w:p>
      <w:pPr>
        <w:pStyle w:val="BlockText"/>
      </w:pPr>
      <w:r>
        <w:rPr>
          <w:b/>
          <w:bCs/>
        </w:rPr>
        <w:t xml:space="preserve">Una aclaración necesaria.</w:t>
      </w:r>
      <w:r>
        <w:t xml:space="preserve"> </w:t>
      </w:r>
      <w:r>
        <w:t xml:space="preserve">Las variables de morbilidad reciente (diarrea, IRA) son causas</w:t>
      </w:r>
      <w:r>
        <w:t xml:space="preserve"> </w:t>
      </w:r>
      <w:r>
        <w:t xml:space="preserve">inmediatas, pero también son</w:t>
      </w:r>
      <w:r>
        <w:t xml:space="preserve"> </w:t>
      </w:r>
      <w:r>
        <w:rPr>
          <w:i/>
          <w:iCs/>
        </w:rPr>
        <w:t xml:space="preserve">concurrentes</w:t>
      </w:r>
      <w:r>
        <w:t xml:space="preserve"> </w:t>
      </w:r>
      <w:r>
        <w:t xml:space="preserve">con el desenlace: si un agente de salud ya sabe que el</w:t>
      </w:r>
      <w:r>
        <w:t xml:space="preserve"> </w:t>
      </w:r>
      <w:r>
        <w:t xml:space="preserve">niño tuvo diarrea, es porque hubo contacto previo con el sistema. Por eso se solicitan para</w:t>
      </w:r>
      <w:r>
        <w:t xml:space="preserve"> </w:t>
      </w:r>
      <w:r>
        <w:rPr>
          <w:b/>
          <w:bCs/>
        </w:rPr>
        <w:t xml:space="preserve">análisis explicativo</w:t>
      </w:r>
      <w:r>
        <w:t xml:space="preserve"> </w:t>
      </w:r>
      <w:r>
        <w:t xml:space="preserve">y para una eventual versión del modelo orientada a seguimiento, no</w:t>
      </w:r>
      <w:r>
        <w:t xml:space="preserve"> </w:t>
      </w:r>
      <w:r>
        <w:t xml:space="preserve">necesariamente para el triaje anticipado, cuyo valor reside justamente en operar sin visita previa.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9" w:name="qué-esperamos-de-esta-validación"/>
    <w:p>
      <w:pPr>
        <w:pStyle w:val="Heading2"/>
      </w:pPr>
      <w:r>
        <w:t xml:space="preserve">6. Qué esperamos de esta validación</w:t>
      </w:r>
    </w:p>
    <w:p>
      <w:pPr>
        <w:pStyle w:val="FirstParagraph"/>
      </w:pPr>
      <w:r>
        <w:t xml:space="preserve">Solicitamos la participación de</w:t>
      </w:r>
      <w:r>
        <w:t xml:space="preserve"> </w:t>
      </w:r>
      <w:r>
        <w:rPr>
          <w:b/>
          <w:bCs/>
        </w:rPr>
        <w:t xml:space="preserve">cinco especialistas</w:t>
      </w:r>
      <w:r>
        <w:t xml:space="preserve"> </w:t>
      </w:r>
      <w:r>
        <w:t xml:space="preserve">en nutrición, salud pública, epidemiología o</w:t>
      </w:r>
      <w:r>
        <w:t xml:space="preserve"> </w:t>
      </w:r>
      <w:r>
        <w:t xml:space="preserve">enfermería, idealmente con representación territorial (</w:t>
      </w:r>
      <w:r>
        <w:rPr>
          <w:b/>
          <w:bCs/>
        </w:rPr>
        <w:t xml:space="preserve">2 de costa, 2 de sierra, 1 de selva</w:t>
      </w:r>
      <w:r>
        <w:t xml:space="preserve">), para</w:t>
      </w:r>
      <w:r>
        <w:t xml:space="preserve"> </w:t>
      </w:r>
      <w:r>
        <w:t xml:space="preserve">dos procesos complementarios:</w:t>
      </w:r>
    </w:p>
    <w:bookmarkStart w:id="27" w:name="pertinencia"/>
    <w:p>
      <w:pPr>
        <w:pStyle w:val="Heading3"/>
      </w:pPr>
      <w:r>
        <w:t xml:space="preserve">6.1 Pertinencia</w:t>
      </w:r>
    </w:p>
    <w:p>
      <w:pPr>
        <w:pStyle w:val="FirstParagraph"/>
      </w:pPr>
      <w:r>
        <w:t xml:space="preserve">Valoración de la</w:t>
      </w:r>
      <w:r>
        <w:t xml:space="preserve"> </w:t>
      </w:r>
      <w:r>
        <w:rPr>
          <w:b/>
          <w:bCs/>
        </w:rPr>
        <w:t xml:space="preserve">utilidad percibida</w:t>
      </w:r>
      <w:r>
        <w:t xml:space="preserve"> </w:t>
      </w:r>
      <w:r>
        <w:t xml:space="preserve">del sistema mediante un instrumento estructurado que el</w:t>
      </w:r>
      <w:r>
        <w:t xml:space="preserve"> </w:t>
      </w:r>
      <w:r>
        <w:t xml:space="preserve">especialista completará tras una demostración del aplicativo. Se evalúa si la herramienta resulta útil,</w:t>
      </w:r>
      <w:r>
        <w:t xml:space="preserve"> </w:t>
      </w:r>
      <w:r>
        <w:t xml:space="preserve">comprensible y aplicable en la práctica real de focalización sanitaria, y qué limitaciones o variables</w:t>
      </w:r>
      <w:r>
        <w:t xml:space="preserve"> </w:t>
      </w:r>
      <w:r>
        <w:t xml:space="preserve">faltantes identifica desde su experiencia profesional.</w:t>
      </w:r>
    </w:p>
    <w:p>
      <w:pPr>
        <w:pStyle w:val="BodyText"/>
      </w:pPr>
      <w:r>
        <w:rPr>
          <w:i/>
          <w:iCs/>
        </w:rPr>
        <w:t xml:space="preserve">Modalidad:</w:t>
      </w:r>
      <w:r>
        <w:t xml:space="preserve"> </w:t>
      </w:r>
      <w:r>
        <w:t xml:space="preserve">sesión virtual, coordinada según disponibilidad. El equipo provee el protocolo, conduce la</w:t>
      </w:r>
      <w:r>
        <w:t xml:space="preserve"> </w:t>
      </w:r>
      <w:r>
        <w:t xml:space="preserve">demostración y registra la sesión.</w:t>
      </w:r>
    </w:p>
    <w:bookmarkEnd w:id="27"/>
    <w:bookmarkStart w:id="28" w:name="replicabilidad"/>
    <w:p>
      <w:pPr>
        <w:pStyle w:val="Heading3"/>
      </w:pPr>
      <w:r>
        <w:t xml:space="preserve">6.2 Replicabilidad</w:t>
      </w:r>
    </w:p>
    <w:p>
      <w:pPr>
        <w:pStyle w:val="FirstParagraph"/>
      </w:pPr>
      <w:r>
        <w:t xml:space="preserve">Contraste del modelo frente a</w:t>
      </w:r>
      <w:r>
        <w:t xml:space="preserve"> </w:t>
      </w:r>
      <w:r>
        <w:rPr>
          <w:b/>
          <w:bCs/>
        </w:rPr>
        <w:t xml:space="preserve">datos externos</w:t>
      </w:r>
      <w:r>
        <w:t xml:space="preserve"> </w:t>
      </w:r>
      <w:r>
        <w:t xml:space="preserve">distintos de la ENDES. El procedimiento consiste en que</w:t>
      </w:r>
      <w:r>
        <w:t xml:space="preserve"> </w:t>
      </w:r>
      <w:r>
        <w:t xml:space="preserve">el especialista aporte registros de su ámbito —incluyendo casos con y sin desnutrición diagnosticada—,</w:t>
      </w:r>
      <w:r>
        <w:t xml:space="preserve"> </w:t>
      </w:r>
      <w:r>
        <w:t xml:space="preserve">el sistema emita su estimación de riesgo, y se compare con el diagnóstico clínico conocido.</w:t>
      </w:r>
    </w:p>
    <w:p>
      <w:pPr>
        <w:pStyle w:val="BodyText"/>
      </w:pPr>
      <w:r>
        <w:t xml:space="preserve">Esto permite medir si el modelo mantiene su desempeño en una realidad distinta de aquella con la que fue</w:t>
      </w:r>
      <w:r>
        <w:t xml:space="preserve"> </w:t>
      </w:r>
      <w:r>
        <w:t xml:space="preserve">entrenado. Se requieren</w:t>
      </w:r>
      <w:r>
        <w:t xml:space="preserve"> </w:t>
      </w:r>
      <w:r>
        <w:rPr>
          <w:b/>
          <w:bCs/>
        </w:rPr>
        <w:t xml:space="preserve">datos crudos</w:t>
      </w:r>
      <w:r>
        <w:t xml:space="preserve"> </w:t>
      </w:r>
      <w:r>
        <w:t xml:space="preserve">(no reportes agregados), con las variables listadas en la</w:t>
      </w:r>
      <w:r>
        <w:t xml:space="preserve"> </w:t>
      </w:r>
      <w:r>
        <w:t xml:space="preserve">sección 3.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consideraciones-éticas"/>
    <w:p>
      <w:pPr>
        <w:pStyle w:val="Heading2"/>
      </w:pPr>
      <w:r>
        <w:t xml:space="preserve">7. Consideraciones éticas</w:t>
      </w:r>
    </w:p>
    <w:p>
      <w:pPr>
        <w:pStyle w:val="FirstParagraph"/>
      </w:pPr>
      <w:r>
        <w:t xml:space="preserve">Los datos con los que se construyó el modelo son de</w:t>
      </w:r>
      <w:r>
        <w:t xml:space="preserve"> </w:t>
      </w:r>
      <w:r>
        <w:rPr>
          <w:b/>
          <w:bCs/>
        </w:rPr>
        <w:t xml:space="preserve">acceso público y libre</w:t>
      </w:r>
      <w:r>
        <w:t xml:space="preserve"> </w:t>
      </w:r>
      <w:r>
        <w:t xml:space="preserve">(portal de microdatos del</w:t>
      </w:r>
      <w:r>
        <w:t xml:space="preserve"> </w:t>
      </w:r>
      <w:r>
        <w:t xml:space="preserve">INEI), por lo que su tratamiento no requirió aprobación de comité de ética.</w:t>
      </w:r>
    </w:p>
    <w:p>
      <w:pPr>
        <w:pStyle w:val="BodyText"/>
      </w:pPr>
      <w:r>
        <w:t xml:space="preserve">Para la fase de validación con datos institucionales, el equipo se compromete a tramitar los permisos</w:t>
      </w:r>
      <w:r>
        <w:t xml:space="preserve"> </w:t>
      </w:r>
      <w:r>
        <w:t xml:space="preserve">formales correspondientes y a someter el protocolo a comité de ética cuando la institución lo exija. Los</w:t>
      </w:r>
      <w:r>
        <w:t xml:space="preserve"> </w:t>
      </w:r>
      <w:r>
        <w:t xml:space="preserve">datos que se reciban se usarán exclusivamente con fines de validación técnica, de forma anonimizada, y</w:t>
      </w:r>
      <w:r>
        <w:t xml:space="preserve"> </w:t>
      </w:r>
      <w:r>
        <w:t xml:space="preserve">no serán publicados ni compartidos con terceros.</w:t>
      </w:r>
    </w:p>
    <w:p>
      <w:r>
        <w:pict>
          <v:rect style="width:0;height:1.5pt" o:hralign="center" o:hrstd="t" o:hr="t"/>
        </w:pict>
      </w:r>
    </w:p>
    <w:bookmarkEnd w:id="30"/>
    <w:bookmarkStart w:id="31" w:name="X391304481d104eba4e8178b9fcdf0d8c3b107bd"/>
    <w:p>
      <w:pPr>
        <w:pStyle w:val="Heading2"/>
      </w:pPr>
      <w:r>
        <w:t xml:space="preserve">8. Contribución esperada para los participantes</w:t>
      </w:r>
    </w:p>
    <w:p>
      <w:pPr>
        <w:pStyle w:val="FirstParagraph"/>
      </w:pPr>
      <w:r>
        <w:t xml:space="preserve">Los especialistas que participen serán reconocidos en el artículo científico resultante. Asimismo, el</w:t>
      </w:r>
      <w:r>
        <w:t xml:space="preserve"> </w:t>
      </w:r>
      <w:r>
        <w:t xml:space="preserve">equipo queda disponible para integrarse como soporte técnico en investigaciones posteriores que deseen</w:t>
      </w:r>
      <w:r>
        <w:t xml:space="preserve"> </w:t>
      </w:r>
      <w:r>
        <w:t xml:space="preserve">aplicar el modelo en estudios de campo, intervención o gestión sanitaria.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Contacto: equipo de investigación — EP Ingeniería de Sistemas, Universidad Peruana Unión.</w:t>
      </w:r>
    </w:p>
    <w:p>
      <w:r>
        <w:pict>
          <v:rect style="width:0;height:1.5pt" o:hralign="center" o:hrstd="t" o:hr="t"/>
        </w:pict>
      </w:r>
    </w:p>
    <w:bookmarkEnd w:id="31"/>
    <w:bookmarkStart w:id="32" w:name="referencias-citadas"/>
    <w:p>
      <w:pPr>
        <w:pStyle w:val="Heading2"/>
      </w:pPr>
      <w:r>
        <w:t xml:space="preserve">Referencias citadas</w:t>
      </w:r>
    </w:p>
    <w:p>
      <w:pPr>
        <w:pStyle w:val="Compact"/>
        <w:numPr>
          <w:ilvl w:val="0"/>
          <w:numId w:val="1002"/>
        </w:numPr>
      </w:pPr>
      <w:r>
        <w:t xml:space="preserve">Black, R. E., Victora, C. G., Walker, S. P.,</w:t>
      </w:r>
      <w:r>
        <w:t xml:space="preserve"> </w:t>
      </w:r>
      <w:r>
        <w:rPr>
          <w:i/>
          <w:iCs/>
        </w:rPr>
        <w:t xml:space="preserve">et al.</w:t>
      </w:r>
      <w:r>
        <w:t xml:space="preserve"> </w:t>
      </w:r>
      <w:r>
        <w:t xml:space="preserve">(2013). Maternal and child undernutrition and</w:t>
      </w:r>
      <w:r>
        <w:t xml:space="preserve"> </w:t>
      </w:r>
      <w:r>
        <w:t xml:space="preserve">overweight in low-income and middle-income countries.</w:t>
      </w:r>
      <w:r>
        <w:t xml:space="preserve"> </w:t>
      </w:r>
      <w:r>
        <w:rPr>
          <w:i/>
          <w:iCs/>
        </w:rPr>
        <w:t xml:space="preserve">The Lancet</w:t>
      </w:r>
      <w:r>
        <w:t xml:space="preserve">, 382(9890), 427–451.</w:t>
      </w:r>
    </w:p>
    <w:p>
      <w:pPr>
        <w:pStyle w:val="Compact"/>
        <w:numPr>
          <w:ilvl w:val="0"/>
          <w:numId w:val="1002"/>
        </w:numPr>
      </w:pPr>
      <w:r>
        <w:t xml:space="preserve">Kaufman, S., Rosset, S., &amp; Perlich, C. (2011). Leakage in data mining: formulation, detection, and</w:t>
      </w:r>
      <w:r>
        <w:t xml:space="preserve"> </w:t>
      </w:r>
      <w:r>
        <w:t xml:space="preserve">avoidance.</w:t>
      </w:r>
      <w:r>
        <w:t xml:space="preserve"> </w:t>
      </w:r>
      <w:r>
        <w:rPr>
          <w:i/>
          <w:iCs/>
        </w:rPr>
        <w:t xml:space="preserve">Proceedings of the 17th ACM SIGKDD</w:t>
      </w:r>
      <w:r>
        <w:t xml:space="preserve">, 556–563.</w:t>
      </w:r>
    </w:p>
    <w:p>
      <w:pPr>
        <w:pStyle w:val="Compact"/>
        <w:numPr>
          <w:ilvl w:val="0"/>
          <w:numId w:val="1002"/>
        </w:numPr>
      </w:pPr>
      <w:r>
        <w:t xml:space="preserve">Ndagijimana, S., Kabano, I., Masabo, E., &amp; Ntaganda, J. M. (2025). Predicting stunting status among</w:t>
      </w:r>
      <w:r>
        <w:t xml:space="preserve"> </w:t>
      </w:r>
      <w:r>
        <w:t xml:space="preserve">under-5 children in Rwanda using neural network model.</w:t>
      </w:r>
      <w:r>
        <w:t xml:space="preserve"> </w:t>
      </w:r>
      <w:r>
        <w:rPr>
          <w:i/>
          <w:iCs/>
        </w:rPr>
        <w:t xml:space="preserve">F1000Research</w:t>
      </w:r>
      <w:r>
        <w:t xml:space="preserve">, 13, 128.</w:t>
      </w:r>
    </w:p>
    <w:p>
      <w:pPr>
        <w:pStyle w:val="Compact"/>
        <w:numPr>
          <w:ilvl w:val="0"/>
          <w:numId w:val="1002"/>
        </w:numPr>
      </w:pPr>
      <w:r>
        <w:t xml:space="preserve">Victora, C. G., Christian, P., Vidaletti, L. P.,</w:t>
      </w:r>
      <w:r>
        <w:t xml:space="preserve"> </w:t>
      </w:r>
      <w:r>
        <w:rPr>
          <w:i/>
          <w:iCs/>
        </w:rPr>
        <w:t xml:space="preserve">et al.</w:t>
      </w:r>
      <w:r>
        <w:t xml:space="preserve"> </w:t>
      </w:r>
      <w:r>
        <w:t xml:space="preserve">(2021). Revisiting maternal and child</w:t>
      </w:r>
      <w:r>
        <w:t xml:space="preserve"> </w:t>
      </w:r>
      <w:r>
        <w:t xml:space="preserve">undernutrition in low-income and middle-income countries.</w:t>
      </w:r>
      <w:r>
        <w:t xml:space="preserve"> </w:t>
      </w:r>
      <w:r>
        <w:rPr>
          <w:i/>
          <w:iCs/>
        </w:rPr>
        <w:t xml:space="preserve">The Lancet</w:t>
      </w:r>
      <w:r>
        <w:t xml:space="preserve">, 397(10282), 1388–1399.</w:t>
      </w:r>
    </w:p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2026-09-16T20:04:33Z</dcterms:created>
  <dcterms:modified xsi:type="dcterms:W3CDTF">2026-09-16T20:04:33Z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