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· Verónica Vergara Rojas · Pamela Vallejos Cotrina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 previo</w:t>
      </w:r>
      <w:r>
        <w:t xml:space="preserve">: dado el perfil de un hogar, estima la probabilidad de que el niño</w:t>
      </w:r>
      <w:r>
        <w:t xml:space="preserve"> </w:t>
      </w:r>
      <w:r>
        <w:t xml:space="preserve">presente desnutrición crónica, permitiendo priorizar a quién visitar primero cuando el presupuesto no</w:t>
      </w:r>
      <w:r>
        <w:t xml:space="preserve"> </w:t>
      </w:r>
      <w:r>
        <w:t xml:space="preserve">alcanza para cubrir a toda la población.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con datos de</w:t>
      </w:r>
      <w:r>
        <w:t xml:space="preserve"> </w:t>
      </w:r>
      <w:r>
        <w:t xml:space="preserve">encuesta de hogar, qué niños tienen mayor riesgo de desnutrición crónica antes de que un agente de</w:t>
      </w:r>
      <w:r>
        <w:t xml:space="preserve"> </w:t>
      </w:r>
      <w:r>
        <w:t xml:space="preserve">salud llegue al domicilio?</w:t>
      </w:r>
    </w:p>
    <w:p>
      <w:r>
        <w:pict>
          <v:rect style="width:0;height:1.5pt" o:hralign="center" o:hrstd="t" o:hr="t"/>
        </w:pict>
      </w:r>
    </w:p>
    <w:bookmarkEnd w:id="9"/>
    <w:bookmarkStart w:id="10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1. Comprensión    2. Comprensión    3. Preparación</w:t>
      </w:r>
      <w:r>
        <w:br/>
      </w:r>
      <w:r>
        <w:rPr>
          <w:rStyle w:val="VerbatimChar"/>
        </w:rPr>
        <w:t xml:space="preserve">   del Negocio   →   de los Datos  →   de los Datos</w:t>
      </w:r>
      <w:r>
        <w:br/>
      </w:r>
      <w:r>
        <w:rPr>
          <w:rStyle w:val="VerbatimChar"/>
        </w:rPr>
        <w:t xml:space="preserve">                                            ↓</w:t>
      </w:r>
      <w:r>
        <w:br/>
      </w:r>
      <w:r>
        <w:rPr>
          <w:rStyle w:val="VerbatimChar"/>
        </w:rPr>
        <w:t xml:space="preserve">6. Despliegue  ←  5. Evaluación   ←   4. Modelado</w:t>
      </w:r>
      <w:r>
        <w:br/>
      </w:r>
      <w:r>
        <w:rPr>
          <w:rStyle w:val="VerbatimChar"/>
        </w:rPr>
        <w:t xml:space="preserve">   (aplicativo)     (explicabilidad)     (algoritmos)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p>
      <w:pPr>
        <w:pStyle w:val="BodyText"/>
      </w:pPr>
      <w:r>
        <w:rPr>
          <w:b/>
          <w:bCs/>
        </w:rPr>
        <w:t xml:space="preserve">Resultados actuales:</w:t>
      </w:r>
      <w:r>
        <w:t xml:space="preserve"> </w:t>
      </w:r>
      <w:r>
        <w:t xml:space="preserve">LightGBM resultó el algoritmo campeón entre seis evaluados, con</w:t>
      </w:r>
      <w:r>
        <w:t xml:space="preserve"> </w:t>
      </w:r>
      <w:r>
        <w:rPr>
          <w:b/>
          <w:bCs/>
        </w:rPr>
        <w:t xml:space="preserve">AUC-ROC 0.8294</w:t>
      </w:r>
      <w:r>
        <w:t xml:space="preserve"> </w:t>
      </w:r>
      <w:r>
        <w:t xml:space="preserve">(IC 95%: 0.8267 – 0.8324) y</w:t>
      </w:r>
      <w:r>
        <w:t xml:space="preserve"> </w:t>
      </w:r>
      <w:r>
        <w:rPr>
          <w:b/>
          <w:bCs/>
        </w:rPr>
        <w:t xml:space="preserve">sensibilidad 76.43%</w:t>
      </w:r>
      <w:r>
        <w:t xml:space="preserve"> </w:t>
      </w:r>
      <w:r>
        <w:t xml:space="preserve">(IC 95%: 75.88% – 76.98%),</w:t>
      </w:r>
      <w:r>
        <w:t xml:space="preserve"> </w:t>
      </w:r>
      <w:r>
        <w:t xml:space="preserve">verificados mediante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 repeticiones. El umbral de decisión es ajustable: elevando la</w:t>
      </w:r>
      <w:r>
        <w:t xml:space="preserve"> </w:t>
      </w:r>
      <w:r>
        <w:t xml:space="preserve">sensibilidad a ≥ 80% el sistema detecta más casos reales a costa de más falsos positivos, criterio</w:t>
      </w:r>
      <w:r>
        <w:t xml:space="preserve"> </w:t>
      </w:r>
      <w:r>
        <w:t xml:space="preserve">deliberado en triaje preventivo, donde no detectar a un niño desnutrido es más costoso que una visita</w:t>
      </w:r>
      <w:r>
        <w:t xml:space="preserve"> </w:t>
      </w:r>
      <w:r>
        <w:t xml:space="preserve">de verificación innecesaria.</w:t>
      </w:r>
    </w:p>
    <w:p>
      <w:r>
        <w:pict>
          <v:rect style="width:0;height:1.5pt" o:hralign="center" o:hrstd="t" o:hr="t"/>
        </w:pict>
      </w:r>
    </w:p>
    <w:bookmarkEnd w:id="10"/>
    <w:bookmarkStart w:id="16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Estas son las variables que el modelo utiliza actualmente, agrupadas por dominio.</w:t>
      </w:r>
      <w:r>
        <w:t xml:space="preserve"> </w:t>
      </w:r>
      <w:r>
        <w:rPr>
          <w:b/>
          <w:bCs/>
        </w:rPr>
        <w:t xml:space="preserve">Son las que</w:t>
      </w:r>
      <w:r>
        <w:rPr>
          <w:b/>
          <w:bCs/>
        </w:rPr>
        <w:t xml:space="preserve"> </w:t>
      </w:r>
      <w:r>
        <w:rPr>
          <w:b/>
          <w:bCs/>
        </w:rPr>
        <w:t xml:space="preserve">solicitamos encontrar en cualquier conjunto de datos externo con el que se desee contrastar el</w:t>
      </w:r>
      <w:r>
        <w:rPr>
          <w:b/>
          <w:bCs/>
        </w:rPr>
        <w:t xml:space="preserve"> </w:t>
      </w:r>
      <w:r>
        <w:rPr>
          <w:b/>
          <w:bCs/>
        </w:rPr>
        <w:t xml:space="preserve">sistema.</w:t>
      </w:r>
    </w:p>
    <w:bookmarkStart w:id="11" w:name="a.-niño-4"/>
    <w:p>
      <w:pPr>
        <w:pStyle w:val="Heading3"/>
      </w:pPr>
      <w:r>
        <w:t xml:space="preserve">A. Niño (4)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 ENDES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Edad en meses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Sexo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Hemoglobina ajustada por altitud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Intervalo respecto al nacimiento anterior</w:t>
            </w:r>
          </w:p>
        </w:tc>
      </w:tr>
    </w:tbl>
    <w:bookmarkEnd w:id="11"/>
    <w:bookmarkStart w:id="12" w:name="b.-salud-materna-embarazo-y-lactancia-13"/>
    <w:p>
      <w:pPr>
        <w:pStyle w:val="Heading3"/>
      </w:pPr>
      <w:r>
        <w:t xml:space="preserve">B. Salud materna, embarazo y lactancia (13)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Mes de gestación del primer control prenatal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Número de visitas prenatales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Parto por cesárea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Tamaño del niño al nacer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Peso al nacer (kg)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Duración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Horas hasta el inicio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Días que tomó hierro en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Vitamina A en los primeros 2 meses post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Fórmula para bebés en los primeros 3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Año más alto de educación de la madre</w:t>
            </w:r>
          </w:p>
        </w:tc>
      </w:tr>
    </w:tbl>
    <w:bookmarkEnd w:id="12"/>
    <w:bookmarkStart w:id="13" w:name="c.-hogar-y-nivel-socioeconómico-7"/>
    <w:p>
      <w:pPr>
        <w:pStyle w:val="Heading3"/>
      </w:pPr>
      <w:r>
        <w:t xml:space="preserve">C. Hogar y nivel socioeconómico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Índice de riqueza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Miembros habituales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Edad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Residente habitual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Área de residencia (urbano / rural)</w:t>
            </w:r>
          </w:p>
        </w:tc>
      </w:tr>
    </w:tbl>
    <w:bookmarkEnd w:id="13"/>
    <w:bookmarkStart w:id="14" w:name="d.-agua-saneamiento-e-higiene-wash-10"/>
    <w:p>
      <w:pPr>
        <w:pStyle w:val="Heading3"/>
      </w:pPr>
      <w:r>
        <w:t xml:space="preserve">D. Agua, saneamiento e higiene — WASH (10)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Tiempo de viaje a la fuente de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Comparte servicio higiénico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Prueba de yodo en la 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Tratamiento del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Tratamiento del agua: hervir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Consumo de agua embotellada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Disponibilidad de agua todo el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Conserva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Tipo de recipiente y si lo usa con tapa</w:t>
            </w:r>
          </w:p>
        </w:tc>
      </w:tr>
    </w:tbl>
    <w:bookmarkEnd w:id="14"/>
    <w:bookmarkStart w:id="15" w:name="e.-vivienda-y-entorno-11"/>
    <w:p>
      <w:pPr>
        <w:pStyle w:val="Heading3"/>
      </w:pPr>
      <w:r>
        <w:t xml:space="preserve">E. Vivienda y entorno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Altitud del conglomerado (msnm)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Número de habitaciones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Tiene chimenea o campana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Cuarto separado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Otro tipo de combustible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Fuente de luz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Ventanas con cristal / de madera / con malla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el conjunto es ampliable. El</w:t>
      </w:r>
      <w:r>
        <w:t xml:space="preserve"> </w:t>
      </w:r>
      <w:r>
        <w:rPr>
          <w:i/>
          <w:iCs/>
        </w:rPr>
        <w:t xml:space="preserve">dataset</w:t>
      </w:r>
      <w:r>
        <w:t xml:space="preserve"> </w:t>
      </w:r>
      <w:r>
        <w:t xml:space="preserve">original contiene más de 180 variables, de las cuales</w:t>
      </w:r>
      <w:r>
        <w:t xml:space="preserve"> </w:t>
      </w:r>
      <w:r>
        <w:t xml:space="preserve">se retuvieron 45 por criterios estadísticos. Si los especialistas consideran relevante alguna</w:t>
      </w:r>
      <w:r>
        <w:t xml:space="preserve"> </w:t>
      </w:r>
      <w:r>
        <w:t xml:space="preserve">dimensión no cubierta —consumo dietético, morbilidad reciente, vacunación, antropometría materna—</w:t>
      </w:r>
      <w:r>
        <w:t xml:space="preserve"> </w:t>
      </w:r>
      <w:r>
        <w:t xml:space="preserve">puede incorporarse siempre que exista en la fuente de datos.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especificación-de-campos"/>
    <w:p>
      <w:pPr>
        <w:pStyle w:val="Heading2"/>
      </w:pPr>
      <w:r>
        <w:t xml:space="preserve">4. Especificación de campos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Categórica nominal</w:t>
      </w:r>
      <w:r>
        <w:t xml:space="preserve">: texto, exactamente uno de los valores listados. No hay orden entre ellos.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Categórica ordinal</w:t>
      </w:r>
      <w:r>
        <w:t xml:space="preserve">: texto, con orden implícito (de mayor a menor, según se lista).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Binaria</w:t>
      </w:r>
      <w:r>
        <w:t xml:space="preserve">: texto,</w:t>
      </w:r>
      <w:r>
        <w:t xml:space="preserve"> </w:t>
      </w:r>
      <w:r>
        <w:rPr>
          <w:rStyle w:val="VerbatimChar"/>
        </w:rPr>
        <w:t xml:space="preserve">Sí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Numérica</w:t>
      </w:r>
      <w:r>
        <w:t xml:space="preserve">: magnitud real, en la unidad indicada. Aquí el número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representa una cantidad.</w:t>
      </w:r>
      <w:r>
        <w:t xml:space="preserve"> </w:t>
      </w:r>
      <w:r>
        <w:t xml:space="preserve">- 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p>
      <w:pPr>
        <w:pStyle w:val="BodyText"/>
      </w:pPr>
      <w:r>
        <w:t xml:space="preserve">Las categorías se entregan</w:t>
      </w:r>
      <w:r>
        <w:t xml:space="preserve"> </w:t>
      </w:r>
      <w:r>
        <w:rPr>
          <w:b/>
          <w:bCs/>
        </w:rPr>
        <w:t xml:space="preserve">en texto, no en código numérico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de una variable nominal no es</w:t>
      </w:r>
      <w:r>
        <w:t xml:space="preserve"> </w:t>
      </w:r>
      <w:r>
        <w:t xml:space="preserve">una cantidad sino una etiqueta arbitraria, y su significado cambia entre ediciones de la encuesta: es</w:t>
      </w:r>
      <w:r>
        <w:t xml:space="preserve"> </w:t>
      </w:r>
      <w:r>
        <w:t xml:space="preserve">preferible escribir</w:t>
      </w:r>
      <w:r>
        <w:t xml:space="preserve"> </w:t>
      </w:r>
      <w:r>
        <w:rPr>
          <w:rStyle w:val="VerbatimChar"/>
        </w:rPr>
        <w:t xml:space="preserve">Electricidad</w:t>
      </w:r>
      <w:r>
        <w:t xml:space="preserve"> </w:t>
      </w:r>
      <w:r>
        <w:t xml:space="preserve">antes que</w:t>
      </w:r>
      <w:r>
        <w:t xml:space="preserve"> </w:t>
      </w:r>
      <w:r>
        <w:rPr>
          <w:rStyle w:val="VerbatimChar"/>
        </w:rPr>
        <w:t xml:space="preserve">1</w:t>
      </w:r>
      <w:r>
        <w:t xml:space="preserve">. Si el sistema de origen almacena códigos, basta con</w:t>
      </w:r>
      <w:r>
        <w:t xml:space="preserve"> </w:t>
      </w:r>
      <w:r>
        <w:t xml:space="preserve">adjuntar su diccionario de valores.</w:t>
      </w:r>
    </w:p>
    <w:bookmarkStart w:id="17" w:name="niño"/>
    <w:p>
      <w:pPr>
        <w:pStyle w:val="Heading3"/>
      </w:pPr>
      <w:r>
        <w:t xml:space="preserve">Niño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sexo del niño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7"/>
    <w:bookmarkStart w:id="18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¿el parto fue por cesárea?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Categórica ordinal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Muy 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Mediano (normal)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Pequeño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Muy pequeño</w:t>
            </w:r>
          </w:p>
        </w:tc>
        <w:tc>
          <w:tcPr/>
          <w:p>
            <w:pPr>
              <w:pStyle w:val="Compact"/>
            </w:pPr>
            <w:r>
              <w:t xml:space="preserve">tamaño percibido al nacer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vitamina A en los 2 meses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años de educación aprobados por la madre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8"/>
    <w:bookmarkStart w:id="19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−215987 a 205316</w:t>
            </w:r>
          </w:p>
        </w:tc>
        <w:tc>
          <w:tcPr/>
          <w:p>
            <w:pPr>
              <w:pStyle w:val="Compact"/>
            </w:pPr>
            <w:r>
              <w:t xml:space="preserve">índice de riqueza (escala INEI ×10⁵)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residente habitual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área de residencia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9"/>
    <w:bookmarkStart w:id="20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¿comparte servicio higiénico?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0, 7, 15, 30</w:t>
            </w:r>
          </w:p>
        </w:tc>
        <w:tc>
          <w:tcPr/>
          <w:p>
            <w:pPr>
              <w:pStyle w:val="Compact"/>
            </w:pPr>
            <w:r>
              <w:t xml:space="preserve">yodo en sal (ppm por colorimetría)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¿trata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¿hierve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¿consume agua embotellada?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¿dispone de agua todo el día?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¿conserva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Olla, tetera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Balde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Jarra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Bidón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recipiente donde conserva el agua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el recipiente con tapa?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20"/>
    <w:bookmarkStart w:id="21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 chimenea ni campana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Tubo de lámpara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Capucha</w:t>
            </w:r>
          </w:p>
        </w:tc>
        <w:tc>
          <w:tcPr/>
          <w:p>
            <w:pPr>
              <w:pStyle w:val="Compact"/>
            </w:pPr>
            <w:r>
              <w:t xml:space="preserve">extracción de humo en la cocina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¿cuarto separado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otro combustible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Electricidad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Gas natural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Kerosene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Batería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tipo de alumbrado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Advertencia sobre la codificación heredada.</w:t>
      </w:r>
      <w:r>
        <w:t xml:space="preserve"> </w:t>
      </w:r>
      <w:r>
        <w:t xml:space="preserve">Las tres irregularidades que siguen provienen de la</w:t>
      </w:r>
      <w:r>
        <w:t xml:space="preserve"> </w:t>
      </w:r>
      <w:r>
        <w:t xml:space="preserve">propia ENDES y se conservaron para no alterar la fuente; se señalan aquí porque condicionan el</w:t>
      </w:r>
      <w:r>
        <w:t xml:space="preserve"> </w:t>
      </w:r>
      <w:r>
        <w:t xml:space="preserve">formato de entrega: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Si</w:t>
      </w:r>
      <w:r>
        <w:rPr>
          <w:b/>
          <w:bCs/>
        </w:rPr>
        <w:t xml:space="preserve"> </w:t>
      </w:r>
      <w:r>
        <w:rPr>
          <w:b/>
          <w:bCs/>
        </w:rPr>
        <w:t xml:space="preserve">frente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Sí</w:t>
      </w:r>
      <w:r>
        <w:rPr>
          <w:b/>
          <w:bCs/>
        </w:rPr>
        <w:t xml:space="preserve">.</w:t>
      </w:r>
      <w:r>
        <w:t xml:space="preserve"> </w:t>
      </w:r>
      <w:r>
        <w:t xml:space="preserve">Internamente unas variables llevan tilde y otras no, según el módulo de</w:t>
      </w:r>
      <w:r>
        <w:t xml:space="preserve"> </w:t>
      </w:r>
      <w:r>
        <w:t xml:space="preserve">origen. Para la entrega esto es indiferente: basta escribir</w:t>
      </w:r>
      <w:r>
        <w:t xml:space="preserve"> </w:t>
      </w:r>
      <w:r>
        <w:rPr>
          <w:rStyle w:val="VerbatimChar"/>
        </w:rPr>
        <w:t xml:space="preserve">Sí</w:t>
      </w:r>
      <w:r>
        <w:t xml:space="preserve"> </w:t>
      </w:r>
      <w:r>
        <w:t xml:space="preserve">de forma uniforme.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Binarias en dos formatos internos.</w:t>
      </w:r>
      <w:r>
        <w:t xml:space="preserve"> </w:t>
      </w:r>
      <w:r>
        <w:rPr>
          <w:rStyle w:val="VerbatimChar"/>
        </w:rPr>
        <w:t xml:space="preserve">M17</w:t>
      </w:r>
      <w:r>
        <w:t xml:space="preserve">,</w:t>
      </w:r>
      <w:r>
        <w:t xml:space="preserve"> </w:t>
      </w:r>
      <w:r>
        <w:rPr>
          <w:rStyle w:val="VerbatimChar"/>
        </w:rPr>
        <w:t xml:space="preserve">M54</w:t>
      </w:r>
      <w:r>
        <w:t xml:space="preserve">,</w:t>
      </w:r>
      <w:r>
        <w:t xml:space="preserve"> </w:t>
      </w:r>
      <w:r>
        <w:rPr>
          <w:rStyle w:val="VerbatimChar"/>
        </w:rPr>
        <w:t xml:space="preserve">M55G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M60</w:t>
      </w:r>
      <w:r>
        <w:t xml:space="preserve"> </w:t>
      </w:r>
      <w:r>
        <w:t xml:space="preserve">viajan como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dentro del</w:t>
      </w:r>
      <w:r>
        <w:t xml:space="preserve"> </w:t>
      </w:r>
      <w:r>
        <w:t xml:space="preserve">sistema, mientras que el resto de las dicotómicas usan texto. Para la entrega basta con</w:t>
      </w:r>
      <w:r>
        <w:t xml:space="preserve"> </w:t>
      </w:r>
      <w:r>
        <w:rPr>
          <w:rStyle w:val="VerbatimChar"/>
        </w:rPr>
        <w:t xml:space="preserve">Sí</w:t>
      </w:r>
      <w:r>
        <w:t xml:space="preserve">/</w:t>
      </w:r>
      <w:r>
        <w:rPr>
          <w:rStyle w:val="VerbatimChar"/>
        </w:rPr>
        <w:t xml:space="preserve">No</w:t>
      </w:r>
      <w:r>
        <w:t xml:space="preserve"> </w:t>
      </w:r>
      <w:r>
        <w:t xml:space="preserve">en todas: la homologación corre por cuenta del equipo.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Códigos especiales.</w:t>
      </w:r>
      <w:r>
        <w:t xml:space="preserve"> </w:t>
      </w:r>
      <w:r>
        <w:t xml:space="preserve">Internamente</w:t>
      </w:r>
      <w:r>
        <w:t xml:space="preserve"> </w:t>
      </w:r>
      <w:r>
        <w:rPr>
          <w:rStyle w:val="VerbatimChar"/>
        </w:rPr>
        <w:t xml:space="preserve">SH49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SH70</w:t>
      </w:r>
      <w:r>
        <w:t xml:space="preserve"> </w:t>
      </w:r>
      <w:r>
        <w:t xml:space="preserve">reservan 96, 98 y 99 para</w:t>
      </w:r>
      <w:r>
        <w:t xml:space="preserve"> </w:t>
      </w:r>
      <w:r>
        <w:rPr>
          <w:i/>
          <w:iCs/>
        </w:rPr>
        <w:t xml:space="preserve">otro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sabe</w:t>
      </w:r>
      <w:r>
        <w:t xml:space="preserve">. Al entregarse como texto esto deja de ser un problema: escriba</w:t>
      </w:r>
      <w:r>
        <w:t xml:space="preserve"> </w:t>
      </w:r>
      <w:r>
        <w:rPr>
          <w:rStyle w:val="VerbatimChar"/>
        </w:rPr>
        <w:t xml:space="preserve">Otro</w:t>
      </w:r>
      <w:r>
        <w:t xml:space="preserve"> </w:t>
      </w:r>
      <w:r>
        <w:t xml:space="preserve">cuando corresponda y</w:t>
      </w:r>
      <w:r>
        <w:t xml:space="preserve"> </w:t>
      </w:r>
      <w:r>
        <w:t xml:space="preserve">deje la celda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cuando el dato no se pudo obtener.</w:t>
      </w:r>
    </w:p>
    <w:p>
      <w:pPr>
        <w:pStyle w:val="BlockText"/>
      </w:pPr>
      <w:r>
        <w:t xml:space="preserve">Si el conjunto de datos externo emplea otra codificación, basta con entregarlo acompañado de su</w:t>
      </w:r>
      <w:r>
        <w:t xml:space="preserve"> </w:t>
      </w:r>
      <w:r>
        <w:t xml:space="preserve">diccionario de valores: el equipo se encarga de la homologación.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variables-adicionales-deseables"/>
    <w:p>
      <w:pPr>
        <w:pStyle w:val="Heading2"/>
      </w:pPr>
      <w:r>
        <w:t xml:space="preserve">5. Variables adicionales deseables</w:t>
      </w:r>
    </w:p>
    <w:p>
      <w:pPr>
        <w:pStyle w:val="FirstParagraph"/>
      </w:pPr>
      <w:r>
        <w:t xml:space="preserve">Las 45 variables anteriores son las que el modelo</w:t>
      </w:r>
      <w:r>
        <w:t xml:space="preserve"> </w:t>
      </w:r>
      <w:r>
        <w:rPr>
          <w:b/>
          <w:bCs/>
        </w:rPr>
        <w:t xml:space="preserve">usa hoy</w:t>
      </w:r>
      <w:r>
        <w:t xml:space="preserve"> </w:t>
      </w:r>
      <w:r>
        <w:t xml:space="preserve">y constituyen el mínimo necesario para</w:t>
      </w:r>
      <w:r>
        <w:t xml:space="preserve"> </w:t>
      </w:r>
      <w:r>
        <w:t xml:space="preserve">contrastarlo. Las que siguen</w:t>
      </w:r>
      <w:r>
        <w:t xml:space="preserve"> </w:t>
      </w:r>
      <w:r>
        <w:rPr>
          <w:b/>
          <w:bCs/>
        </w:rPr>
        <w:t xml:space="preserve">no están en el modelo actual</w:t>
      </w:r>
      <w:r>
        <w:t xml:space="preserve"> </w:t>
      </w:r>
      <w:r>
        <w:t xml:space="preserve">y se solicitan porque la literatura</w:t>
      </w:r>
      <w:r>
        <w:t xml:space="preserve"> </w:t>
      </w:r>
      <w:r>
        <w:t xml:space="preserve">epidemiológica las identifica como determinantes de la desnutrición crónica que la ENDES no permite</w:t>
      </w:r>
      <w:r>
        <w:t xml:space="preserve"> </w:t>
      </w:r>
      <w:r>
        <w:t xml:space="preserve">cubrir con suficiente completitud.</w:t>
      </w:r>
    </w:p>
    <w:p>
      <w:pPr>
        <w:pStyle w:val="BodyText"/>
      </w:pPr>
      <w:r>
        <w:t xml:space="preserve">Su inclusión es</w:t>
      </w:r>
      <w:r>
        <w:t xml:space="preserve"> </w:t>
      </w:r>
      <w:r>
        <w:rPr>
          <w:b/>
          <w:bCs/>
        </w:rPr>
        <w:t xml:space="preserve">opcional</w:t>
      </w:r>
      <w:r>
        <w:t xml:space="preserve">: el sistema funciona sin ellas. Pero cada dimensión que el conjunto de</w:t>
      </w:r>
      <w:r>
        <w:t xml:space="preserve"> </w:t>
      </w:r>
      <w:r>
        <w:t xml:space="preserve">datos externo pueda aportar abre la posibilidad de una versión mejorada del modelo, y su ausencia es</w:t>
      </w:r>
      <w:r>
        <w:t xml:space="preserve"> </w:t>
      </w:r>
      <w:r>
        <w:t xml:space="preserve">hoy una limitación declarada del estudio.</w:t>
      </w:r>
    </w:p>
    <w:p>
      <w:pPr>
        <w:pStyle w:val="BodyText"/>
      </w:pPr>
      <w:r>
        <w:t xml:space="preserve">El marco de referencia es el</w:t>
      </w:r>
      <w:r>
        <w:t xml:space="preserve"> </w:t>
      </w:r>
      <w:r>
        <w:rPr>
          <w:b/>
          <w:bCs/>
        </w:rPr>
        <w:t xml:space="preserve">modelo conceptual de UNICEF</w:t>
      </w:r>
      <w:r>
        <w:t xml:space="preserve"> </w:t>
      </w:r>
      <w:r>
        <w:t xml:space="preserve">sobre desnutrición infantil, que ordena</w:t>
      </w:r>
      <w:r>
        <w:t xml:space="preserve"> </w:t>
      </w:r>
      <w:r>
        <w:t xml:space="preserve">las causas en tres niveles. El modelo actual cubre bien los niveles básico y subyacente —pobreza,</w:t>
      </w:r>
      <w:r>
        <w:t xml:space="preserve"> </w:t>
      </w:r>
      <w:r>
        <w:t xml:space="preserve">educación, agua y saneamiento, vivienda— pero tiene un vacío en el</w:t>
      </w:r>
      <w:r>
        <w:t xml:space="preserve"> </w:t>
      </w:r>
      <w:r>
        <w:rPr>
          <w:b/>
          <w:bCs/>
        </w:rPr>
        <w:t xml:space="preserve">nivel inmediato</w:t>
      </w:r>
      <w:r>
        <w:t xml:space="preserve">, que es</w:t>
      </w:r>
      <w:r>
        <w:t xml:space="preserve"> </w:t>
      </w:r>
      <w:r>
        <w:t xml:space="preserve">precisamente donde actúa la intervención nutricional.</w:t>
      </w:r>
    </w:p>
    <w:bookmarkStart w:id="23" w:name="Xa28ccaee8b3810007f607d5dc6ef3df53e6a5a3"/>
    <w:p>
      <w:pPr>
        <w:pStyle w:val="Heading3"/>
      </w:pPr>
      <w:r>
        <w:t xml:space="preserve">Prioridad alta — nivel inmediato (el vacío principal)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Episodios de diarrea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Vía infecciosa hacia la malabsorción de nutrientes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Infección respiratoria aguda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Impacto directo sobre el estado nutricional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Diversidad dietética mínima (número de grupos de alimentos en 24 h)</w:t>
            </w:r>
          </w:p>
        </w:tc>
        <w:tc>
          <w:tcPr/>
          <w:p>
            <w:pPr>
              <w:pStyle w:val="Compact"/>
            </w:pPr>
            <w:r>
              <w:t xml:space="preserve">Indicador OMS de calidad de la alimentación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Frecuencia mínima de comidas según edad</w:t>
            </w:r>
          </w:p>
        </w:tc>
        <w:tc>
          <w:tcPr/>
          <w:p>
            <w:pPr>
              <w:pStyle w:val="Compact"/>
            </w:pPr>
            <w:r>
              <w:t xml:space="preserve">Complemento del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Suplementación</w:t>
            </w:r>
          </w:p>
        </w:tc>
        <w:tc>
          <w:tcPr/>
          <w:p>
            <w:pPr>
              <w:pStyle w:val="Compact"/>
            </w:pPr>
            <w:r>
              <w:t xml:space="preserve">Recibe micronutrientes o hierro (sí/no, frecuencia)</w:t>
            </w:r>
          </w:p>
        </w:tc>
        <w:tc>
          <w:tcPr/>
          <w:p>
            <w:pPr>
              <w:pStyle w:val="Compact"/>
            </w:pPr>
            <w:r>
              <w:t xml:space="preserve">Intervención directa y modificable</w:t>
            </w:r>
          </w:p>
        </w:tc>
      </w:tr>
    </w:tbl>
    <w:bookmarkEnd w:id="23"/>
    <w:bookmarkStart w:id="24" w:name="Xea480f4cdf50012eed58a23ba12f3601238dacf"/>
    <w:p>
      <w:pPr>
        <w:pStyle w:val="Heading3"/>
      </w:pPr>
      <w:r>
        <w:t xml:space="preserve">Prioridad media — estado nutricional materno y 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Talla de la madre (cm)</w:t>
            </w:r>
          </w:p>
        </w:tc>
        <w:tc>
          <w:tcPr/>
          <w:p>
            <w:pPr>
              <w:pStyle w:val="Compact"/>
            </w:pPr>
            <w:r>
              <w:t xml:space="preserve">Predictor consistente de retraso del crecimiento intergeneracional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Peso / IMC de la madre</w:t>
            </w:r>
          </w:p>
        </w:tc>
        <w:tc>
          <w:tcPr/>
          <w:p>
            <w:pPr>
              <w:pStyle w:val="Compact"/>
            </w:pPr>
            <w:r>
              <w:t xml:space="preserve">Estado nutricional del hogar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Controles CRED al día (sí/no, número)</w:t>
            </w:r>
          </w:p>
        </w:tc>
        <w:tc>
          <w:tcPr/>
          <w:p>
            <w:pPr>
              <w:pStyle w:val="Compact"/>
            </w:pPr>
            <w:r>
              <w:t xml:space="preserve">Seguimiento del crecimiento en el sistema peruano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Esquema de vacunación completo para la edad (sí/no)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Proxy</w:t>
            </w:r>
            <w:r>
              <w:t xml:space="preserve"> </w:t>
            </w:r>
            <w:r>
              <w:t xml:space="preserve">de acceso efectivo a servicios</w:t>
            </w:r>
          </w:p>
        </w:tc>
      </w:tr>
    </w:tbl>
    <w:bookmarkEnd w:id="24"/>
    <w:bookmarkStart w:id="25" w:name="prioridad-media-contexto-social"/>
    <w:p>
      <w:pPr>
        <w:pStyle w:val="Heading3"/>
      </w:pPr>
      <w:r>
        <w:t xml:space="preserve">Prioridad media — contexto social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Etnicidad</w:t>
            </w:r>
          </w:p>
        </w:tc>
        <w:tc>
          <w:tcPr/>
          <w:p>
            <w:pPr>
              <w:pStyle w:val="Compact"/>
            </w:pPr>
            <w:r>
              <w:t xml:space="preserve">Lengua materna de la madre</w:t>
            </w:r>
          </w:p>
        </w:tc>
        <w:tc>
          <w:tcPr/>
          <w:p>
            <w:pPr>
              <w:pStyle w:val="Compact"/>
            </w:pPr>
            <w:r>
              <w:t xml:space="preserve">Marcador de exclusión estructural especialmente relevante en el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 alimentaria</w:t>
            </w:r>
          </w:p>
        </w:tc>
        <w:tc>
          <w:tcPr/>
          <w:p>
            <w:pPr>
              <w:pStyle w:val="Compact"/>
            </w:pPr>
            <w:r>
              <w:t xml:space="preserve">Escala de inseguridad alimentaria del hogar (ELCSA o similar)</w:t>
            </w:r>
          </w:p>
        </w:tc>
        <w:tc>
          <w:tcPr/>
          <w:p>
            <w:pPr>
              <w:pStyle w:val="Compact"/>
            </w:pPr>
            <w:r>
              <w:t xml:space="preserve">Acceso efectivo a alimentos, no solo capacidad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Cuidado</w:t>
            </w:r>
          </w:p>
        </w:tc>
        <w:tc>
          <w:tcPr/>
          <w:p>
            <w:pPr>
              <w:pStyle w:val="Compact"/>
            </w:pPr>
            <w:r>
              <w:t xml:space="preserve">Situación laboral de la madre / cuidador principal</w:t>
            </w:r>
          </w:p>
        </w:tc>
        <w:tc>
          <w:tcPr/>
          <w:p>
            <w:pPr>
              <w:pStyle w:val="Compact"/>
            </w:pPr>
            <w:r>
              <w:t xml:space="preserve">Tiempo disponible para prácticas de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Beneficiario de Juntos, Cuna Más, Qali Warma (sí/no)</w:t>
            </w:r>
          </w:p>
        </w:tc>
        <w:tc>
          <w:tcPr/>
          <w:p>
            <w:pPr>
              <w:pStyle w:val="Compact"/>
            </w:pPr>
            <w:r>
              <w:t xml:space="preserve">Permite evaluar cobertura frente a necesidad</w:t>
            </w:r>
          </w:p>
        </w:tc>
      </w:tr>
    </w:tbl>
    <w:p>
      <w:pPr>
        <w:pStyle w:val="BlockText"/>
      </w:pPr>
      <w:r>
        <w:rPr>
          <w:b/>
          <w:bCs/>
        </w:rPr>
        <w:t xml:space="preserve">Sobre el formato.</w:t>
      </w:r>
      <w:r>
        <w:t xml:space="preserve"> </w:t>
      </w:r>
      <w:r>
        <w:t xml:space="preserve">Estas variables no requieren la codificación estricta de la sección 4, ya</w:t>
      </w:r>
      <w:r>
        <w:t xml:space="preserve"> </w:t>
      </w:r>
      <w:r>
        <w:t xml:space="preserve">que aún no forman parte del modelo. Basta con entregarlas tal como estén registradas, acompañadas de</w:t>
      </w:r>
      <w:r>
        <w:t xml:space="preserve"> </w:t>
      </w:r>
      <w:r>
        <w:t xml:space="preserve">su diccionario de valores. El equipo se encarga de homologarlas.</w:t>
      </w:r>
    </w:p>
    <w:p>
      <w:pPr>
        <w:pStyle w:val="BlockText"/>
      </w:pPr>
      <w:r>
        <w:rPr>
          <w:b/>
          <w:bCs/>
        </w:rPr>
        <w:t xml:space="preserve">Una aclaración necesaria.</w:t>
      </w:r>
      <w:r>
        <w:t xml:space="preserve"> </w:t>
      </w:r>
      <w:r>
        <w:t xml:space="preserve">Las variables de morbilidad reciente (diarrea, IRA) son causas</w:t>
      </w:r>
      <w:r>
        <w:t xml:space="preserve"> </w:t>
      </w:r>
      <w:r>
        <w:t xml:space="preserve">inmediatas, pero también son</w:t>
      </w:r>
      <w:r>
        <w:t xml:space="preserve"> </w:t>
      </w:r>
      <w:r>
        <w:rPr>
          <w:i/>
          <w:iCs/>
        </w:rPr>
        <w:t xml:space="preserve">concurrentes</w:t>
      </w:r>
      <w:r>
        <w:t xml:space="preserve"> </w:t>
      </w:r>
      <w:r>
        <w:t xml:space="preserve">con el desenlace: si un agente de salud ya sabe que el</w:t>
      </w:r>
      <w:r>
        <w:t xml:space="preserve"> </w:t>
      </w:r>
      <w:r>
        <w:t xml:space="preserve">niño tuvo diarrea, es porque hubo contacto previo con el sistema. Por eso se solicitan para</w:t>
      </w:r>
      <w:r>
        <w:t xml:space="preserve"> </w:t>
      </w:r>
      <w:r>
        <w:rPr>
          <w:b/>
          <w:bCs/>
        </w:rPr>
        <w:t xml:space="preserve">análisis explicativo</w:t>
      </w:r>
      <w:r>
        <w:t xml:space="preserve"> </w:t>
      </w:r>
      <w:r>
        <w:t xml:space="preserve">y para una eventual versión del modelo orientada a seguimiento, no</w:t>
      </w:r>
      <w:r>
        <w:t xml:space="preserve"> </w:t>
      </w:r>
      <w:r>
        <w:t xml:space="preserve">necesariamente para el triaje anticipado, cuyo valor reside justamente en operar sin visita previa.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qué-esperamos-de-esta-validación"/>
    <w:p>
      <w:pPr>
        <w:pStyle w:val="Heading2"/>
      </w:pPr>
      <w:r>
        <w:t xml:space="preserve">6. Qué esperamos de esta validación</w:t>
      </w:r>
    </w:p>
    <w:p>
      <w:pPr>
        <w:pStyle w:val="FirstParagraph"/>
      </w:pPr>
      <w:r>
        <w:t xml:space="preserve">Solicitamos la participación de</w:t>
      </w:r>
      <w:r>
        <w:t xml:space="preserve"> </w:t>
      </w:r>
      <w:r>
        <w:rPr>
          <w:b/>
          <w:bCs/>
        </w:rPr>
        <w:t xml:space="preserve">cinco especialistas</w:t>
      </w:r>
      <w:r>
        <w:t xml:space="preserve"> </w:t>
      </w:r>
      <w:r>
        <w:t xml:space="preserve">en nutrición, salud pública, epidemiología o</w:t>
      </w:r>
      <w:r>
        <w:t xml:space="preserve"> </w:t>
      </w:r>
      <w:r>
        <w:t xml:space="preserve">enfermería, idealmente con representación territorial (</w:t>
      </w:r>
      <w:r>
        <w:rPr>
          <w:b/>
          <w:bCs/>
        </w:rPr>
        <w:t xml:space="preserve">2 de costa, 2 de sierra, 1 de selva</w:t>
      </w:r>
      <w:r>
        <w:t xml:space="preserve">), para</w:t>
      </w:r>
      <w:r>
        <w:t xml:space="preserve"> </w:t>
      </w:r>
      <w:r>
        <w:t xml:space="preserve">dos procesos complementarios:</w:t>
      </w:r>
    </w:p>
    <w:bookmarkStart w:id="27" w:name="pertinencia"/>
    <w:p>
      <w:pPr>
        <w:pStyle w:val="Heading3"/>
      </w:pPr>
      <w:r>
        <w:t xml:space="preserve">6.1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Se evalúa si la herramienta resulta útil,</w:t>
      </w:r>
      <w:r>
        <w:t xml:space="preserve"> </w:t>
      </w:r>
      <w:r>
        <w:t xml:space="preserve">comprensible y aplicable en la práctica real de focalización sanitaria, y qué limitaciones o variables</w:t>
      </w:r>
      <w:r>
        <w:t xml:space="preserve"> </w:t>
      </w:r>
      <w:r>
        <w:t xml:space="preserve">faltantes identifica desde su experiencia profesional.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virtual, coordinada según disponibilidad. El equipo provee el protocolo, conduce la</w:t>
      </w:r>
      <w:r>
        <w:t xml:space="preserve"> </w:t>
      </w:r>
      <w:r>
        <w:t xml:space="preserve">demostración y registra la sesión.</w:t>
      </w:r>
    </w:p>
    <w:bookmarkEnd w:id="27"/>
    <w:bookmarkStart w:id="28" w:name="replicabilidad"/>
    <w:p>
      <w:pPr>
        <w:pStyle w:val="Heading3"/>
      </w:pPr>
      <w:r>
        <w:t xml:space="preserve">6.2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nsideraciones-éticas"/>
    <w:p>
      <w:pPr>
        <w:pStyle w:val="Heading2"/>
      </w:pPr>
      <w:r>
        <w:t xml:space="preserve">7.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30"/>
    <w:bookmarkStart w:id="31" w:name="X391304481d104eba4e8178b9fcdf0d8c3b107bd"/>
    <w:p>
      <w:pPr>
        <w:pStyle w:val="Heading2"/>
      </w:pPr>
      <w:r>
        <w:t xml:space="preserve">8.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equipo de investigación — EP Ingeniería de Sistemas, Universidad Peruana Unión.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2026-09-16T20:01:41Z</dcterms:created>
  <dcterms:modified xsi:type="dcterms:W3CDTF">2026-09-16T20:01:41Z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