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2674" w14:textId="77777777" w:rsidR="005A03C4" w:rsidRDefault="005A03C4"/>
    <w:p w14:paraId="0E1FEC50" w14:textId="77777777" w:rsidR="005A03C4" w:rsidRPr="00B35ACF" w:rsidRDefault="00000000">
      <w:pPr>
        <w:jc w:val="center"/>
        <w:rPr>
          <w:lang w:val="es-ES"/>
        </w:rPr>
      </w:pPr>
      <w:r w:rsidRPr="00B35ACF">
        <w:rPr>
          <w:b/>
          <w:color w:val="1F3A5F"/>
          <w:sz w:val="32"/>
          <w:lang w:val="es-ES"/>
        </w:rPr>
        <w:t>UNIVERSIDAD PERUANA UNIÓN</w:t>
      </w:r>
    </w:p>
    <w:p w14:paraId="79B96711" w14:textId="77777777" w:rsidR="005A03C4" w:rsidRPr="00B35ACF" w:rsidRDefault="00000000">
      <w:pPr>
        <w:jc w:val="center"/>
        <w:rPr>
          <w:lang w:val="es-ES"/>
        </w:rPr>
      </w:pPr>
      <w:r w:rsidRPr="00B35ACF">
        <w:rPr>
          <w:sz w:val="24"/>
          <w:lang w:val="es-ES"/>
        </w:rPr>
        <w:t>Escuela Profesional de Ingeniería de Sistemas</w:t>
      </w:r>
    </w:p>
    <w:p w14:paraId="58B3E53F" w14:textId="77777777" w:rsidR="005A03C4" w:rsidRPr="00B35ACF" w:rsidRDefault="005A03C4">
      <w:pPr>
        <w:rPr>
          <w:lang w:val="es-ES"/>
        </w:rPr>
      </w:pPr>
    </w:p>
    <w:p w14:paraId="086E7549" w14:textId="77777777" w:rsidR="005A03C4" w:rsidRPr="00B35ACF" w:rsidRDefault="005A03C4">
      <w:pPr>
        <w:rPr>
          <w:lang w:val="es-ES"/>
        </w:rPr>
      </w:pPr>
    </w:p>
    <w:p w14:paraId="10962B5E" w14:textId="2207CFC3" w:rsidR="005A03C4" w:rsidRDefault="00B35ACF" w:rsidP="00B35ACF">
      <w:pPr>
        <w:jc w:val="center"/>
      </w:pPr>
      <w:r>
        <w:rPr>
          <w:noProof/>
        </w:rPr>
        <w:drawing>
          <wp:inline distT="0" distB="0" distL="0" distR="0" wp14:anchorId="20BA34BF" wp14:editId="2DF3BDDB">
            <wp:extent cx="2180492" cy="1962190"/>
            <wp:effectExtent l="0" t="0" r="4445" b="0"/>
            <wp:docPr id="3749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99077" name="Picture 374999077"/>
                    <pic:cNvPicPr/>
                  </pic:nvPicPr>
                  <pic:blipFill>
                    <a:blip r:embed="rId6"/>
                    <a:stretch>
                      <a:fillRect/>
                    </a:stretch>
                  </pic:blipFill>
                  <pic:spPr>
                    <a:xfrm>
                      <a:off x="0" y="0"/>
                      <a:ext cx="2211743" cy="1990312"/>
                    </a:xfrm>
                    <a:prstGeom prst="rect">
                      <a:avLst/>
                    </a:prstGeom>
                  </pic:spPr>
                </pic:pic>
              </a:graphicData>
            </a:graphic>
          </wp:inline>
        </w:drawing>
      </w:r>
    </w:p>
    <w:p w14:paraId="6C0A7150" w14:textId="77777777" w:rsidR="005A03C4" w:rsidRPr="00B35ACF" w:rsidRDefault="00000000">
      <w:pPr>
        <w:jc w:val="center"/>
        <w:rPr>
          <w:lang w:val="es-ES"/>
        </w:rPr>
      </w:pPr>
      <w:r w:rsidRPr="00B35ACF">
        <w:rPr>
          <w:b/>
          <w:color w:val="1F3A5F"/>
          <w:sz w:val="44"/>
          <w:lang w:val="es-ES"/>
        </w:rPr>
        <w:t>INFORME DE RESULTADOS</w:t>
      </w:r>
    </w:p>
    <w:p w14:paraId="67AA04CB" w14:textId="77777777" w:rsidR="005A03C4" w:rsidRPr="00B35ACF" w:rsidRDefault="00000000">
      <w:pPr>
        <w:jc w:val="center"/>
        <w:rPr>
          <w:lang w:val="es-ES"/>
        </w:rPr>
      </w:pPr>
      <w:r w:rsidRPr="00B35ACF">
        <w:rPr>
          <w:b/>
          <w:sz w:val="30"/>
          <w:lang w:val="es-ES"/>
        </w:rPr>
        <w:t>Sistema Predictivo de Riesgo de Desnutrición Crónica Infantil en el Perú mediante Machine Learning</w:t>
      </w:r>
    </w:p>
    <w:p w14:paraId="0086CDF8" w14:textId="77777777" w:rsidR="005A03C4" w:rsidRPr="00B35ACF" w:rsidRDefault="005A03C4">
      <w:pPr>
        <w:rPr>
          <w:lang w:val="es-ES"/>
        </w:rPr>
      </w:pPr>
    </w:p>
    <w:p w14:paraId="465A83E9" w14:textId="77777777" w:rsidR="005A03C4" w:rsidRPr="00B35ACF" w:rsidRDefault="005A03C4">
      <w:pPr>
        <w:rPr>
          <w:lang w:val="es-ES"/>
        </w:rPr>
      </w:pPr>
    </w:p>
    <w:p w14:paraId="19834E26" w14:textId="77777777" w:rsidR="005A03C4" w:rsidRPr="00B35ACF" w:rsidRDefault="00000000">
      <w:pPr>
        <w:jc w:val="center"/>
        <w:rPr>
          <w:lang w:val="es-ES"/>
        </w:rPr>
      </w:pPr>
      <w:r w:rsidRPr="00B35ACF">
        <w:rPr>
          <w:i/>
          <w:lang w:val="es-ES"/>
        </w:rPr>
        <w:t>XV Jornada Científica — EP. Ingeniería de Sistemas</w:t>
      </w:r>
    </w:p>
    <w:p w14:paraId="5D59CCBD" w14:textId="77777777" w:rsidR="005A03C4" w:rsidRPr="00B35ACF" w:rsidRDefault="005A03C4">
      <w:pPr>
        <w:rPr>
          <w:lang w:val="es-ES"/>
        </w:rPr>
      </w:pPr>
    </w:p>
    <w:p w14:paraId="59104CB2" w14:textId="77777777" w:rsidR="005A03C4" w:rsidRPr="00B35ACF" w:rsidRDefault="005A03C4">
      <w:pPr>
        <w:rPr>
          <w:lang w:val="es-ES"/>
        </w:rPr>
      </w:pPr>
    </w:p>
    <w:p w14:paraId="615B20EE" w14:textId="77777777" w:rsidR="005A03C4" w:rsidRPr="00B35ACF" w:rsidRDefault="00000000">
      <w:pPr>
        <w:jc w:val="center"/>
        <w:rPr>
          <w:lang w:val="es-ES"/>
        </w:rPr>
      </w:pPr>
      <w:r w:rsidRPr="00B35ACF">
        <w:rPr>
          <w:b/>
          <w:lang w:val="es-ES"/>
        </w:rPr>
        <w:t>Equipo de trabajo:</w:t>
      </w:r>
    </w:p>
    <w:p w14:paraId="000B2341" w14:textId="77777777" w:rsidR="005A03C4" w:rsidRPr="00B35ACF" w:rsidRDefault="00000000">
      <w:pPr>
        <w:jc w:val="center"/>
        <w:rPr>
          <w:lang w:val="es-ES"/>
        </w:rPr>
      </w:pPr>
      <w:r w:rsidRPr="00B35ACF">
        <w:rPr>
          <w:lang w:val="es-ES"/>
        </w:rPr>
        <w:t>Abel Guevara Huasco</w:t>
      </w:r>
    </w:p>
    <w:p w14:paraId="46543174" w14:textId="77777777" w:rsidR="005A03C4" w:rsidRPr="00B35ACF" w:rsidRDefault="00000000">
      <w:pPr>
        <w:jc w:val="center"/>
        <w:rPr>
          <w:lang w:val="es-ES"/>
        </w:rPr>
      </w:pPr>
      <w:r w:rsidRPr="00B35ACF">
        <w:rPr>
          <w:lang w:val="es-ES"/>
        </w:rPr>
        <w:t>Verónica Vergara Rojas</w:t>
      </w:r>
    </w:p>
    <w:p w14:paraId="26FA1BDD" w14:textId="77777777" w:rsidR="005A03C4" w:rsidRPr="00B35ACF" w:rsidRDefault="00000000">
      <w:pPr>
        <w:jc w:val="center"/>
        <w:rPr>
          <w:lang w:val="es-ES"/>
        </w:rPr>
      </w:pPr>
      <w:r w:rsidRPr="00B35ACF">
        <w:rPr>
          <w:lang w:val="es-ES"/>
        </w:rPr>
        <w:t>Pamela Vallejos Cotrina</w:t>
      </w:r>
    </w:p>
    <w:p w14:paraId="640BC3E6" w14:textId="77777777" w:rsidR="005A03C4" w:rsidRPr="00B35ACF" w:rsidRDefault="005A03C4">
      <w:pPr>
        <w:rPr>
          <w:lang w:val="es-ES"/>
        </w:rPr>
      </w:pPr>
    </w:p>
    <w:p w14:paraId="32674DDC" w14:textId="77777777" w:rsidR="005A03C4" w:rsidRPr="00B35ACF" w:rsidRDefault="005A03C4">
      <w:pPr>
        <w:rPr>
          <w:lang w:val="es-ES"/>
        </w:rPr>
      </w:pPr>
    </w:p>
    <w:p w14:paraId="4022BBB3" w14:textId="77777777" w:rsidR="005A03C4" w:rsidRPr="00B35ACF" w:rsidRDefault="005A03C4">
      <w:pPr>
        <w:rPr>
          <w:lang w:val="es-ES"/>
        </w:rPr>
      </w:pPr>
    </w:p>
    <w:p w14:paraId="0F87A682" w14:textId="77777777" w:rsidR="005A03C4" w:rsidRPr="00B35ACF" w:rsidRDefault="00000000">
      <w:pPr>
        <w:jc w:val="center"/>
        <w:rPr>
          <w:lang w:val="es-ES"/>
        </w:rPr>
      </w:pPr>
      <w:r w:rsidRPr="00B35ACF">
        <w:rPr>
          <w:lang w:val="es-ES"/>
        </w:rPr>
        <w:t>Ciclo 2026-IX · Julio 2026</w:t>
      </w:r>
    </w:p>
    <w:p w14:paraId="620B92F4" w14:textId="77777777" w:rsidR="005A03C4" w:rsidRPr="00B35ACF" w:rsidRDefault="00000000">
      <w:pPr>
        <w:rPr>
          <w:lang w:val="es-ES"/>
        </w:rPr>
      </w:pPr>
      <w:r w:rsidRPr="00B35ACF">
        <w:rPr>
          <w:lang w:val="es-ES"/>
        </w:rPr>
        <w:lastRenderedPageBreak/>
        <w:br w:type="page"/>
      </w:r>
    </w:p>
    <w:p w14:paraId="711190A6" w14:textId="29027004" w:rsidR="005A03C4" w:rsidRPr="00B35ACF" w:rsidRDefault="00000000">
      <w:pPr>
        <w:pStyle w:val="Heading1"/>
        <w:rPr>
          <w:lang w:val="es-ES"/>
        </w:rPr>
      </w:pPr>
      <w:r w:rsidRPr="00B35ACF">
        <w:rPr>
          <w:lang w:val="es-ES"/>
        </w:rPr>
        <w:lastRenderedPageBreak/>
        <w:t>1. Introducción</w:t>
      </w:r>
    </w:p>
    <w:p w14:paraId="49E733BB" w14:textId="77777777" w:rsidR="005A03C4" w:rsidRPr="00B35ACF" w:rsidRDefault="00000000">
      <w:pPr>
        <w:rPr>
          <w:lang w:val="es-ES"/>
        </w:rPr>
      </w:pPr>
      <w:r w:rsidRPr="00B35ACF">
        <w:rPr>
          <w:lang w:val="es-ES"/>
        </w:rPr>
        <w:t>La desnutrición crónica infantil en el Perú es estructuralmente desigual: se concentra en zonas rurales, sierra y quintiles de mayor pobreza, mientras que los recursos de intervención en salud pública son finitos y las visitas de supervisión nutricional suelen ejecutarse sin un criterio de priorización basado en datos.</w:t>
      </w:r>
    </w:p>
    <w:p w14:paraId="45B8577D" w14:textId="77777777" w:rsidR="005A03C4" w:rsidRPr="00B35ACF" w:rsidRDefault="00000000">
      <w:pPr>
        <w:rPr>
          <w:lang w:val="es-ES"/>
        </w:rPr>
      </w:pPr>
      <w:r w:rsidRPr="00B35ACF">
        <w:rPr>
          <w:b/>
          <w:lang w:val="es-ES"/>
        </w:rPr>
        <w:t>Pregunta central de investigación:</w:t>
      </w:r>
    </w:p>
    <w:p w14:paraId="4C0125FC" w14:textId="77777777" w:rsidR="005A03C4" w:rsidRPr="00B35ACF" w:rsidRDefault="00000000">
      <w:pPr>
        <w:ind w:left="340"/>
        <w:rPr>
          <w:lang w:val="es-ES"/>
        </w:rPr>
      </w:pPr>
      <w:r w:rsidRPr="00B35ACF">
        <w:rPr>
          <w:i/>
          <w:lang w:val="es-ES"/>
        </w:rPr>
        <w:t>¿Puede un modelo de Machine Learning identificar, con datos de encuesta de hogar, qué niños tienen mayor riesgo de desnutrición crónica antes de que un agente de salud llegue al hogar?</w:t>
      </w:r>
    </w:p>
    <w:p w14:paraId="631B0AA3" w14:textId="77777777" w:rsidR="005A03C4" w:rsidRPr="00B35ACF" w:rsidRDefault="00000000">
      <w:pPr>
        <w:rPr>
          <w:lang w:val="es-ES"/>
        </w:rPr>
      </w:pPr>
      <w:r w:rsidRPr="00B35ACF">
        <w:rPr>
          <w:lang w:val="es-ES"/>
        </w:rPr>
        <w:t>El proyecto se desarrolló bajo la metodología CRISP-DM, en seis fases iterativas que van desde la comprensión del negocio hasta el despliegue del sistema. Este informe se enfoca en los resultados obtenidos, pero se resume brevemente cada fase previa para contextualizarlos.</w:t>
      </w:r>
    </w:p>
    <w:tbl>
      <w:tblPr>
        <w:tblStyle w:val="TableGrid"/>
        <w:tblW w:w="0" w:type="auto"/>
        <w:jc w:val="center"/>
        <w:tblLook w:val="04A0" w:firstRow="1" w:lastRow="0" w:firstColumn="1" w:lastColumn="0" w:noHBand="0" w:noVBand="1"/>
      </w:tblPr>
      <w:tblGrid>
        <w:gridCol w:w="2508"/>
        <w:gridCol w:w="6348"/>
      </w:tblGrid>
      <w:tr w:rsidR="005A03C4" w14:paraId="43A33165" w14:textId="77777777">
        <w:trPr>
          <w:jc w:val="center"/>
        </w:trPr>
        <w:tc>
          <w:tcPr>
            <w:tcW w:w="2551" w:type="dxa"/>
            <w:shd w:val="clear" w:color="auto" w:fill="1F3A5F"/>
          </w:tcPr>
          <w:p w14:paraId="1F74041B" w14:textId="77777777" w:rsidR="005A03C4" w:rsidRDefault="00000000">
            <w:r>
              <w:rPr>
                <w:b/>
                <w:color w:val="FFFFFF"/>
                <w:sz w:val="19"/>
              </w:rPr>
              <w:t>Fase</w:t>
            </w:r>
          </w:p>
        </w:tc>
        <w:tc>
          <w:tcPr>
            <w:tcW w:w="6520" w:type="dxa"/>
            <w:shd w:val="clear" w:color="auto" w:fill="1F3A5F"/>
          </w:tcPr>
          <w:p w14:paraId="40CE4112" w14:textId="77777777" w:rsidR="005A03C4" w:rsidRDefault="00000000">
            <w:r>
              <w:rPr>
                <w:b/>
                <w:color w:val="FFFFFF"/>
                <w:sz w:val="19"/>
              </w:rPr>
              <w:t>Contenido resumido</w:t>
            </w:r>
          </w:p>
        </w:tc>
      </w:tr>
      <w:tr w:rsidR="005A03C4" w:rsidRPr="00B35ACF" w14:paraId="28895831" w14:textId="77777777">
        <w:trPr>
          <w:jc w:val="center"/>
        </w:trPr>
        <w:tc>
          <w:tcPr>
            <w:tcW w:w="2551" w:type="dxa"/>
          </w:tcPr>
          <w:p w14:paraId="66AAD212" w14:textId="77777777" w:rsidR="005A03C4" w:rsidRDefault="00000000">
            <w:r>
              <w:rPr>
                <w:sz w:val="19"/>
              </w:rPr>
              <w:t>1. Comprensión del negocio</w:t>
            </w:r>
          </w:p>
        </w:tc>
        <w:tc>
          <w:tcPr>
            <w:tcW w:w="6520" w:type="dxa"/>
          </w:tcPr>
          <w:p w14:paraId="4249E956" w14:textId="77777777" w:rsidR="005A03C4" w:rsidRPr="00B35ACF" w:rsidRDefault="00000000">
            <w:pPr>
              <w:rPr>
                <w:lang w:val="es-ES"/>
              </w:rPr>
            </w:pPr>
            <w:r w:rsidRPr="00B35ACF">
              <w:rPr>
                <w:sz w:val="19"/>
                <w:lang w:val="es-ES"/>
              </w:rPr>
              <w:t>Definición del problema de focalización de recursos, objetivo de triaje (no diagnóstico), métrica de éxito (Recall ≥ 80%) y target clínico HC70 &lt; -2.0 DS (KPI 4 INEI/OMS).</w:t>
            </w:r>
          </w:p>
        </w:tc>
      </w:tr>
      <w:tr w:rsidR="005A03C4" w:rsidRPr="00B35ACF" w14:paraId="15723340" w14:textId="77777777">
        <w:trPr>
          <w:jc w:val="center"/>
        </w:trPr>
        <w:tc>
          <w:tcPr>
            <w:tcW w:w="2551" w:type="dxa"/>
          </w:tcPr>
          <w:p w14:paraId="3809225F" w14:textId="77777777" w:rsidR="005A03C4" w:rsidRDefault="00000000">
            <w:r>
              <w:rPr>
                <w:sz w:val="19"/>
              </w:rPr>
              <w:t>2. Comprensión de los datos</w:t>
            </w:r>
          </w:p>
        </w:tc>
        <w:tc>
          <w:tcPr>
            <w:tcW w:w="6520" w:type="dxa"/>
          </w:tcPr>
          <w:p w14:paraId="517876CB" w14:textId="77777777" w:rsidR="005A03C4" w:rsidRPr="00B35ACF" w:rsidRDefault="00000000">
            <w:pPr>
              <w:rPr>
                <w:lang w:val="es-ES"/>
              </w:rPr>
            </w:pPr>
            <w:r w:rsidRPr="00B35ACF">
              <w:rPr>
                <w:sz w:val="19"/>
                <w:lang w:val="es-ES"/>
              </w:rPr>
              <w:t>Auditoría de 18 años de archivos SPSS de la ENDES (2007-2024), 294,109 niños menores de 5 años; hallazgos de target drift (30% → 11%), desbalance de clases y ventana crítica de los primeros 1000 días.</w:t>
            </w:r>
          </w:p>
        </w:tc>
      </w:tr>
      <w:tr w:rsidR="005A03C4" w:rsidRPr="00B35ACF" w14:paraId="7B2497E8" w14:textId="77777777">
        <w:trPr>
          <w:jc w:val="center"/>
        </w:trPr>
        <w:tc>
          <w:tcPr>
            <w:tcW w:w="2551" w:type="dxa"/>
          </w:tcPr>
          <w:p w14:paraId="5924C822" w14:textId="77777777" w:rsidR="005A03C4" w:rsidRDefault="00000000">
            <w:r>
              <w:rPr>
                <w:sz w:val="19"/>
              </w:rPr>
              <w:t>3. Preparación de los datos</w:t>
            </w:r>
          </w:p>
        </w:tc>
        <w:tc>
          <w:tcPr>
            <w:tcW w:w="6520" w:type="dxa"/>
          </w:tcPr>
          <w:p w14:paraId="731EAECB" w14:textId="77777777" w:rsidR="005A03C4" w:rsidRPr="00B35ACF" w:rsidRDefault="00000000">
            <w:pPr>
              <w:rPr>
                <w:lang w:val="es-ES"/>
              </w:rPr>
            </w:pPr>
            <w:r w:rsidRPr="00B35ACF">
              <w:rPr>
                <w:sz w:val="19"/>
                <w:lang w:val="es-ES"/>
              </w:rPr>
              <w:t>Merge longitudinal de 4 módulos ENDES (RECH6, RECH1, RECH0, RECH23, REC41) vía llaves HHID/REC21; ingeniería de variables clínicas; selección matemática de variables: 189 → 79 columnas finales.</w:t>
            </w:r>
          </w:p>
        </w:tc>
      </w:tr>
      <w:tr w:rsidR="005A03C4" w:rsidRPr="00B35ACF" w14:paraId="700A8BEF" w14:textId="77777777">
        <w:trPr>
          <w:jc w:val="center"/>
        </w:trPr>
        <w:tc>
          <w:tcPr>
            <w:tcW w:w="2551" w:type="dxa"/>
          </w:tcPr>
          <w:p w14:paraId="45E48A5B" w14:textId="77777777" w:rsidR="005A03C4" w:rsidRDefault="00000000">
            <w:r>
              <w:rPr>
                <w:sz w:val="19"/>
              </w:rPr>
              <w:t>4. Modelado</w:t>
            </w:r>
          </w:p>
        </w:tc>
        <w:tc>
          <w:tcPr>
            <w:tcW w:w="6520" w:type="dxa"/>
          </w:tcPr>
          <w:p w14:paraId="6B9C8E43" w14:textId="77777777" w:rsidR="005A03C4" w:rsidRPr="00B35ACF" w:rsidRDefault="00000000">
            <w:pPr>
              <w:rPr>
                <w:lang w:val="es-ES"/>
              </w:rPr>
            </w:pPr>
            <w:r w:rsidRPr="00B35ACF">
              <w:rPr>
                <w:sz w:val="19"/>
                <w:lang w:val="es-ES"/>
              </w:rPr>
              <w:t>Validación cruzada estratificada 5-Fold ponderada por HV005; benchmarking de 6 algoritmos; selección del modelo campeón LightGBM con 43 variables.</w:t>
            </w:r>
          </w:p>
        </w:tc>
      </w:tr>
      <w:tr w:rsidR="005A03C4" w:rsidRPr="00B35ACF" w14:paraId="1F68AE6D" w14:textId="77777777">
        <w:trPr>
          <w:jc w:val="center"/>
        </w:trPr>
        <w:tc>
          <w:tcPr>
            <w:tcW w:w="2551" w:type="dxa"/>
          </w:tcPr>
          <w:p w14:paraId="5FA749BB" w14:textId="77777777" w:rsidR="005A03C4" w:rsidRDefault="00000000">
            <w:r>
              <w:rPr>
                <w:sz w:val="19"/>
              </w:rPr>
              <w:t>5. Explicabilidad</w:t>
            </w:r>
          </w:p>
        </w:tc>
        <w:tc>
          <w:tcPr>
            <w:tcW w:w="6520" w:type="dxa"/>
          </w:tcPr>
          <w:p w14:paraId="2FC47928" w14:textId="77777777" w:rsidR="005A03C4" w:rsidRPr="00B35ACF" w:rsidRDefault="00000000">
            <w:pPr>
              <w:rPr>
                <w:lang w:val="es-ES"/>
              </w:rPr>
            </w:pPr>
            <w:r w:rsidRPr="00B35ACF">
              <w:rPr>
                <w:sz w:val="19"/>
                <w:lang w:val="es-ES"/>
              </w:rPr>
              <w:t>Análisis SHAP global y territorial sobre 10,000 niños para identificar los factores de riesgo dominantes y su variación por región natural y departamento.</w:t>
            </w:r>
          </w:p>
        </w:tc>
      </w:tr>
      <w:tr w:rsidR="005A03C4" w:rsidRPr="00B35ACF" w14:paraId="3ADB12B7" w14:textId="77777777">
        <w:trPr>
          <w:jc w:val="center"/>
        </w:trPr>
        <w:tc>
          <w:tcPr>
            <w:tcW w:w="2551" w:type="dxa"/>
          </w:tcPr>
          <w:p w14:paraId="0DF85C99" w14:textId="77777777" w:rsidR="005A03C4" w:rsidRDefault="00000000">
            <w:r>
              <w:rPr>
                <w:sz w:val="19"/>
              </w:rPr>
              <w:t>6. Despliegue</w:t>
            </w:r>
          </w:p>
        </w:tc>
        <w:tc>
          <w:tcPr>
            <w:tcW w:w="6520" w:type="dxa"/>
          </w:tcPr>
          <w:p w14:paraId="0C051AA0" w14:textId="77777777" w:rsidR="005A03C4" w:rsidRPr="00B35ACF" w:rsidRDefault="00000000">
            <w:pPr>
              <w:rPr>
                <w:lang w:val="es-ES"/>
              </w:rPr>
            </w:pPr>
            <w:r w:rsidRPr="00B35ACF">
              <w:rPr>
                <w:sz w:val="19"/>
                <w:lang w:val="es-ES"/>
              </w:rPr>
              <w:t>Aplicación web (Streamlit + Plotly) con mapa de riesgo territorial y predictor individual, con umbral de clasificación adaptable por el operador.</w:t>
            </w:r>
          </w:p>
        </w:tc>
      </w:tr>
    </w:tbl>
    <w:p w14:paraId="0169BEDE" w14:textId="77777777" w:rsidR="005A03C4" w:rsidRPr="00B35ACF" w:rsidRDefault="005A03C4">
      <w:pPr>
        <w:rPr>
          <w:lang w:val="es-ES"/>
        </w:rPr>
      </w:pPr>
    </w:p>
    <w:p w14:paraId="50CBE998" w14:textId="77777777" w:rsidR="005A03C4" w:rsidRPr="00B35ACF" w:rsidRDefault="00000000">
      <w:pPr>
        <w:pStyle w:val="Heading1"/>
        <w:rPr>
          <w:lang w:val="es-ES"/>
        </w:rPr>
      </w:pPr>
      <w:r w:rsidRPr="00B35ACF">
        <w:rPr>
          <w:lang w:val="es-ES"/>
        </w:rPr>
        <w:t>2. Resultados del Modelado Predictivo</w:t>
      </w:r>
    </w:p>
    <w:p w14:paraId="39CD46BC" w14:textId="77777777" w:rsidR="005A03C4" w:rsidRPr="00B35ACF" w:rsidRDefault="00000000">
      <w:pPr>
        <w:pStyle w:val="Heading2"/>
        <w:rPr>
          <w:lang w:val="es-ES"/>
        </w:rPr>
      </w:pPr>
      <w:r w:rsidRPr="00B35ACF">
        <w:rPr>
          <w:lang w:val="es-ES"/>
        </w:rPr>
        <w:t>2.1 Estrategia de validación</w:t>
      </w:r>
    </w:p>
    <w:p w14:paraId="131F696D" w14:textId="77777777" w:rsidR="005A03C4" w:rsidRPr="00B35ACF" w:rsidRDefault="00000000">
      <w:pPr>
        <w:rPr>
          <w:lang w:val="es-ES"/>
        </w:rPr>
      </w:pPr>
      <w:r w:rsidRPr="00B35ACF">
        <w:rPr>
          <w:lang w:val="es-ES"/>
        </w:rPr>
        <w:t>Dado el target drift (prevalencia de ~30% en 2007 a ~11% en 2024), el desbalance de clases (16% positivos / 84% negativos) y el diseño muestral complejo de la ENDES, se descartó un split aleatorio clásico y se adoptó Validación Cruzada Estratificada de 5 folds, con métricas ponderadas por el factor de expansión muestral HV005. Bajo este esquema se evaluaron 6 algoritmos sobre 285,284 niños y 74 variables de entrada, todos entrenados con hiperparámetros por defecto para garantizar una comparación en condiciones iguales.</w:t>
      </w:r>
    </w:p>
    <w:p w14:paraId="371C26E2" w14:textId="77777777" w:rsidR="005A03C4" w:rsidRDefault="00000000">
      <w:pPr>
        <w:pStyle w:val="Heading2"/>
      </w:pPr>
      <w:r>
        <w:lastRenderedPageBreak/>
        <w:t>2.2 Benchmarking de 6 modelos</w:t>
      </w:r>
    </w:p>
    <w:tbl>
      <w:tblPr>
        <w:tblStyle w:val="TableGrid"/>
        <w:tblW w:w="0" w:type="auto"/>
        <w:jc w:val="center"/>
        <w:tblLook w:val="04A0" w:firstRow="1" w:lastRow="0" w:firstColumn="1" w:lastColumn="0" w:noHBand="0" w:noVBand="1"/>
      </w:tblPr>
      <w:tblGrid>
        <w:gridCol w:w="737"/>
        <w:gridCol w:w="2098"/>
        <w:gridCol w:w="1020"/>
        <w:gridCol w:w="1020"/>
        <w:gridCol w:w="1077"/>
        <w:gridCol w:w="1020"/>
        <w:gridCol w:w="1204"/>
      </w:tblGrid>
      <w:tr w:rsidR="005A03C4" w14:paraId="0C6899C9" w14:textId="77777777">
        <w:trPr>
          <w:jc w:val="center"/>
        </w:trPr>
        <w:tc>
          <w:tcPr>
            <w:tcW w:w="737" w:type="dxa"/>
            <w:shd w:val="clear" w:color="auto" w:fill="1F3A5F"/>
          </w:tcPr>
          <w:p w14:paraId="4E0C6CFD" w14:textId="77777777" w:rsidR="005A03C4" w:rsidRDefault="00000000">
            <w:r>
              <w:rPr>
                <w:b/>
                <w:color w:val="FFFFFF"/>
                <w:sz w:val="19"/>
              </w:rPr>
              <w:t>Pos</w:t>
            </w:r>
          </w:p>
        </w:tc>
        <w:tc>
          <w:tcPr>
            <w:tcW w:w="2098" w:type="dxa"/>
            <w:shd w:val="clear" w:color="auto" w:fill="1F3A5F"/>
          </w:tcPr>
          <w:p w14:paraId="4DBE0B4A" w14:textId="77777777" w:rsidR="005A03C4" w:rsidRDefault="00000000">
            <w:r>
              <w:rPr>
                <w:b/>
                <w:color w:val="FFFFFF"/>
                <w:sz w:val="19"/>
              </w:rPr>
              <w:t>Modelo</w:t>
            </w:r>
          </w:p>
        </w:tc>
        <w:tc>
          <w:tcPr>
            <w:tcW w:w="1020" w:type="dxa"/>
            <w:shd w:val="clear" w:color="auto" w:fill="1F3A5F"/>
          </w:tcPr>
          <w:p w14:paraId="0EC3E682" w14:textId="77777777" w:rsidR="005A03C4" w:rsidRDefault="00000000">
            <w:r>
              <w:rPr>
                <w:b/>
                <w:color w:val="FFFFFF"/>
                <w:sz w:val="19"/>
              </w:rPr>
              <w:t>AUC</w:t>
            </w:r>
          </w:p>
        </w:tc>
        <w:tc>
          <w:tcPr>
            <w:tcW w:w="1020" w:type="dxa"/>
            <w:shd w:val="clear" w:color="auto" w:fill="1F3A5F"/>
          </w:tcPr>
          <w:p w14:paraId="0C6ECDCA" w14:textId="77777777" w:rsidR="005A03C4" w:rsidRDefault="00000000">
            <w:r>
              <w:rPr>
                <w:b/>
                <w:color w:val="FFFFFF"/>
                <w:sz w:val="19"/>
              </w:rPr>
              <w:t>Recall</w:t>
            </w:r>
          </w:p>
        </w:tc>
        <w:tc>
          <w:tcPr>
            <w:tcW w:w="1077" w:type="dxa"/>
            <w:shd w:val="clear" w:color="auto" w:fill="1F3A5F"/>
          </w:tcPr>
          <w:p w14:paraId="11D97994" w14:textId="77777777" w:rsidR="005A03C4" w:rsidRDefault="00000000">
            <w:r>
              <w:rPr>
                <w:b/>
                <w:color w:val="FFFFFF"/>
                <w:sz w:val="19"/>
              </w:rPr>
              <w:t>Precision</w:t>
            </w:r>
          </w:p>
        </w:tc>
        <w:tc>
          <w:tcPr>
            <w:tcW w:w="1020" w:type="dxa"/>
            <w:shd w:val="clear" w:color="auto" w:fill="1F3A5F"/>
          </w:tcPr>
          <w:p w14:paraId="5F19E946" w14:textId="77777777" w:rsidR="005A03C4" w:rsidRDefault="00000000">
            <w:r>
              <w:rPr>
                <w:b/>
                <w:color w:val="FFFFFF"/>
                <w:sz w:val="19"/>
              </w:rPr>
              <w:t>F1-Score</w:t>
            </w:r>
          </w:p>
        </w:tc>
        <w:tc>
          <w:tcPr>
            <w:tcW w:w="1134" w:type="dxa"/>
            <w:shd w:val="clear" w:color="auto" w:fill="1F3A5F"/>
          </w:tcPr>
          <w:p w14:paraId="0016F95A" w14:textId="77777777" w:rsidR="005A03C4" w:rsidRDefault="00000000">
            <w:r>
              <w:rPr>
                <w:b/>
                <w:color w:val="FFFFFF"/>
                <w:sz w:val="19"/>
              </w:rPr>
              <w:t>Tiempo/fold</w:t>
            </w:r>
          </w:p>
        </w:tc>
      </w:tr>
      <w:tr w:rsidR="005A03C4" w14:paraId="246866C5" w14:textId="77777777">
        <w:trPr>
          <w:jc w:val="center"/>
        </w:trPr>
        <w:tc>
          <w:tcPr>
            <w:tcW w:w="737" w:type="dxa"/>
          </w:tcPr>
          <w:p w14:paraId="23E06E51" w14:textId="77777777" w:rsidR="005A03C4" w:rsidRDefault="00000000">
            <w:r>
              <w:rPr>
                <w:sz w:val="19"/>
              </w:rPr>
              <w:t>1</w:t>
            </w:r>
          </w:p>
        </w:tc>
        <w:tc>
          <w:tcPr>
            <w:tcW w:w="2098" w:type="dxa"/>
          </w:tcPr>
          <w:p w14:paraId="73F4E6B1" w14:textId="77777777" w:rsidR="005A03C4" w:rsidRDefault="00000000">
            <w:r>
              <w:rPr>
                <w:sz w:val="19"/>
              </w:rPr>
              <w:t>LightGBM</w:t>
            </w:r>
          </w:p>
        </w:tc>
        <w:tc>
          <w:tcPr>
            <w:tcW w:w="1020" w:type="dxa"/>
          </w:tcPr>
          <w:p w14:paraId="1543170E" w14:textId="77777777" w:rsidR="005A03C4" w:rsidRDefault="00000000">
            <w:r>
              <w:rPr>
                <w:sz w:val="19"/>
              </w:rPr>
              <w:t>0.8307</w:t>
            </w:r>
          </w:p>
        </w:tc>
        <w:tc>
          <w:tcPr>
            <w:tcW w:w="1020" w:type="dxa"/>
          </w:tcPr>
          <w:p w14:paraId="49D82636" w14:textId="77777777" w:rsidR="005A03C4" w:rsidRDefault="00000000">
            <w:r>
              <w:rPr>
                <w:sz w:val="19"/>
              </w:rPr>
              <w:t>76.38%</w:t>
            </w:r>
          </w:p>
        </w:tc>
        <w:tc>
          <w:tcPr>
            <w:tcW w:w="1077" w:type="dxa"/>
          </w:tcPr>
          <w:p w14:paraId="043ED351" w14:textId="77777777" w:rsidR="005A03C4" w:rsidRDefault="00000000">
            <w:r>
              <w:rPr>
                <w:sz w:val="19"/>
              </w:rPr>
              <w:t>36.90%</w:t>
            </w:r>
          </w:p>
        </w:tc>
        <w:tc>
          <w:tcPr>
            <w:tcW w:w="1020" w:type="dxa"/>
          </w:tcPr>
          <w:p w14:paraId="793D7AE7" w14:textId="77777777" w:rsidR="005A03C4" w:rsidRDefault="00000000">
            <w:r>
              <w:rPr>
                <w:sz w:val="19"/>
              </w:rPr>
              <w:t>0.4976</w:t>
            </w:r>
          </w:p>
        </w:tc>
        <w:tc>
          <w:tcPr>
            <w:tcW w:w="1134" w:type="dxa"/>
          </w:tcPr>
          <w:p w14:paraId="46A0DDC3" w14:textId="77777777" w:rsidR="005A03C4" w:rsidRDefault="00000000">
            <w:r>
              <w:rPr>
                <w:sz w:val="19"/>
              </w:rPr>
              <w:t>3.7 s</w:t>
            </w:r>
          </w:p>
        </w:tc>
      </w:tr>
      <w:tr w:rsidR="005A03C4" w14:paraId="683A16EE" w14:textId="77777777">
        <w:trPr>
          <w:jc w:val="center"/>
        </w:trPr>
        <w:tc>
          <w:tcPr>
            <w:tcW w:w="737" w:type="dxa"/>
          </w:tcPr>
          <w:p w14:paraId="543B60BE" w14:textId="77777777" w:rsidR="005A03C4" w:rsidRDefault="00000000">
            <w:r>
              <w:rPr>
                <w:sz w:val="19"/>
              </w:rPr>
              <w:t>2</w:t>
            </w:r>
          </w:p>
        </w:tc>
        <w:tc>
          <w:tcPr>
            <w:tcW w:w="2098" w:type="dxa"/>
          </w:tcPr>
          <w:p w14:paraId="04FB3650" w14:textId="77777777" w:rsidR="005A03C4" w:rsidRDefault="00000000">
            <w:r>
              <w:rPr>
                <w:sz w:val="19"/>
              </w:rPr>
              <w:t>CatBoost</w:t>
            </w:r>
          </w:p>
        </w:tc>
        <w:tc>
          <w:tcPr>
            <w:tcW w:w="1020" w:type="dxa"/>
          </w:tcPr>
          <w:p w14:paraId="345F5402" w14:textId="77777777" w:rsidR="005A03C4" w:rsidRDefault="00000000">
            <w:r>
              <w:rPr>
                <w:sz w:val="19"/>
              </w:rPr>
              <w:t>0.8302</w:t>
            </w:r>
          </w:p>
        </w:tc>
        <w:tc>
          <w:tcPr>
            <w:tcW w:w="1020" w:type="dxa"/>
          </w:tcPr>
          <w:p w14:paraId="4826AC5D" w14:textId="77777777" w:rsidR="005A03C4" w:rsidRDefault="00000000">
            <w:r>
              <w:rPr>
                <w:sz w:val="19"/>
              </w:rPr>
              <w:t>29.99%</w:t>
            </w:r>
          </w:p>
        </w:tc>
        <w:tc>
          <w:tcPr>
            <w:tcW w:w="1077" w:type="dxa"/>
          </w:tcPr>
          <w:p w14:paraId="0EAF4B3F" w14:textId="77777777" w:rsidR="005A03C4" w:rsidRDefault="00000000">
            <w:r>
              <w:rPr>
                <w:sz w:val="19"/>
              </w:rPr>
              <w:t>60.99%</w:t>
            </w:r>
          </w:p>
        </w:tc>
        <w:tc>
          <w:tcPr>
            <w:tcW w:w="1020" w:type="dxa"/>
          </w:tcPr>
          <w:p w14:paraId="75E67318" w14:textId="77777777" w:rsidR="005A03C4" w:rsidRDefault="00000000">
            <w:r>
              <w:rPr>
                <w:sz w:val="19"/>
              </w:rPr>
              <w:t>0.4021</w:t>
            </w:r>
          </w:p>
        </w:tc>
        <w:tc>
          <w:tcPr>
            <w:tcW w:w="1134" w:type="dxa"/>
          </w:tcPr>
          <w:p w14:paraId="24DA5D4D" w14:textId="77777777" w:rsidR="005A03C4" w:rsidRDefault="00000000">
            <w:r>
              <w:rPr>
                <w:sz w:val="19"/>
              </w:rPr>
              <w:t>88.2 s</w:t>
            </w:r>
          </w:p>
        </w:tc>
      </w:tr>
      <w:tr w:rsidR="005A03C4" w14:paraId="0ACA5646" w14:textId="77777777">
        <w:trPr>
          <w:jc w:val="center"/>
        </w:trPr>
        <w:tc>
          <w:tcPr>
            <w:tcW w:w="737" w:type="dxa"/>
          </w:tcPr>
          <w:p w14:paraId="178E9F00" w14:textId="77777777" w:rsidR="005A03C4" w:rsidRDefault="00000000">
            <w:r>
              <w:rPr>
                <w:sz w:val="19"/>
              </w:rPr>
              <w:t>3</w:t>
            </w:r>
          </w:p>
        </w:tc>
        <w:tc>
          <w:tcPr>
            <w:tcW w:w="2098" w:type="dxa"/>
          </w:tcPr>
          <w:p w14:paraId="5576841D" w14:textId="77777777" w:rsidR="005A03C4" w:rsidRDefault="00000000">
            <w:r>
              <w:rPr>
                <w:sz w:val="19"/>
              </w:rPr>
              <w:t>Red Neuronal</w:t>
            </w:r>
          </w:p>
        </w:tc>
        <w:tc>
          <w:tcPr>
            <w:tcW w:w="1020" w:type="dxa"/>
          </w:tcPr>
          <w:p w14:paraId="3EB72075" w14:textId="77777777" w:rsidR="005A03C4" w:rsidRDefault="00000000">
            <w:r>
              <w:rPr>
                <w:sz w:val="19"/>
              </w:rPr>
              <w:t>0.8219</w:t>
            </w:r>
          </w:p>
        </w:tc>
        <w:tc>
          <w:tcPr>
            <w:tcW w:w="1020" w:type="dxa"/>
          </w:tcPr>
          <w:p w14:paraId="1264ECC4" w14:textId="77777777" w:rsidR="005A03C4" w:rsidRDefault="00000000">
            <w:r>
              <w:rPr>
                <w:sz w:val="19"/>
              </w:rPr>
              <w:t>25.12%</w:t>
            </w:r>
          </w:p>
        </w:tc>
        <w:tc>
          <w:tcPr>
            <w:tcW w:w="1077" w:type="dxa"/>
          </w:tcPr>
          <w:p w14:paraId="44DBE0E3" w14:textId="77777777" w:rsidR="005A03C4" w:rsidRDefault="00000000">
            <w:r>
              <w:rPr>
                <w:sz w:val="19"/>
              </w:rPr>
              <w:t>61.16%</w:t>
            </w:r>
          </w:p>
        </w:tc>
        <w:tc>
          <w:tcPr>
            <w:tcW w:w="1020" w:type="dxa"/>
          </w:tcPr>
          <w:p w14:paraId="424F3B75" w14:textId="77777777" w:rsidR="005A03C4" w:rsidRDefault="00000000">
            <w:r>
              <w:rPr>
                <w:sz w:val="19"/>
              </w:rPr>
              <w:t>0.3554</w:t>
            </w:r>
          </w:p>
        </w:tc>
        <w:tc>
          <w:tcPr>
            <w:tcW w:w="1134" w:type="dxa"/>
          </w:tcPr>
          <w:p w14:paraId="74A8CCEB" w14:textId="77777777" w:rsidR="005A03C4" w:rsidRDefault="00000000">
            <w:r>
              <w:rPr>
                <w:sz w:val="19"/>
              </w:rPr>
              <w:t>115.8 s</w:t>
            </w:r>
          </w:p>
        </w:tc>
      </w:tr>
      <w:tr w:rsidR="005A03C4" w14:paraId="01085986" w14:textId="77777777">
        <w:trPr>
          <w:jc w:val="center"/>
        </w:trPr>
        <w:tc>
          <w:tcPr>
            <w:tcW w:w="737" w:type="dxa"/>
          </w:tcPr>
          <w:p w14:paraId="0F5C7B7F" w14:textId="77777777" w:rsidR="005A03C4" w:rsidRDefault="00000000">
            <w:r>
              <w:rPr>
                <w:sz w:val="19"/>
              </w:rPr>
              <w:t>4</w:t>
            </w:r>
          </w:p>
        </w:tc>
        <w:tc>
          <w:tcPr>
            <w:tcW w:w="2098" w:type="dxa"/>
          </w:tcPr>
          <w:p w14:paraId="69FA7639" w14:textId="77777777" w:rsidR="005A03C4" w:rsidRDefault="00000000">
            <w:r>
              <w:rPr>
                <w:sz w:val="19"/>
              </w:rPr>
              <w:t>XGBoost</w:t>
            </w:r>
          </w:p>
        </w:tc>
        <w:tc>
          <w:tcPr>
            <w:tcW w:w="1020" w:type="dxa"/>
          </w:tcPr>
          <w:p w14:paraId="489666A9" w14:textId="77777777" w:rsidR="005A03C4" w:rsidRDefault="00000000">
            <w:r>
              <w:rPr>
                <w:sz w:val="19"/>
              </w:rPr>
              <w:t>0.7937</w:t>
            </w:r>
          </w:p>
        </w:tc>
        <w:tc>
          <w:tcPr>
            <w:tcW w:w="1020" w:type="dxa"/>
          </w:tcPr>
          <w:p w14:paraId="4CED4832" w14:textId="77777777" w:rsidR="005A03C4" w:rsidRDefault="00000000">
            <w:r>
              <w:rPr>
                <w:sz w:val="19"/>
              </w:rPr>
              <w:t>75.73%</w:t>
            </w:r>
          </w:p>
        </w:tc>
        <w:tc>
          <w:tcPr>
            <w:tcW w:w="1077" w:type="dxa"/>
          </w:tcPr>
          <w:p w14:paraId="45F78818" w14:textId="77777777" w:rsidR="005A03C4" w:rsidRDefault="00000000">
            <w:r>
              <w:rPr>
                <w:sz w:val="19"/>
              </w:rPr>
              <w:t>32.75%</w:t>
            </w:r>
          </w:p>
        </w:tc>
        <w:tc>
          <w:tcPr>
            <w:tcW w:w="1020" w:type="dxa"/>
          </w:tcPr>
          <w:p w14:paraId="442CEA11" w14:textId="77777777" w:rsidR="005A03C4" w:rsidRDefault="00000000">
            <w:r>
              <w:rPr>
                <w:sz w:val="19"/>
              </w:rPr>
              <w:t>0.4573</w:t>
            </w:r>
          </w:p>
        </w:tc>
        <w:tc>
          <w:tcPr>
            <w:tcW w:w="1134" w:type="dxa"/>
          </w:tcPr>
          <w:p w14:paraId="0A1C76DB" w14:textId="77777777" w:rsidR="005A03C4" w:rsidRDefault="00000000">
            <w:r>
              <w:rPr>
                <w:sz w:val="19"/>
              </w:rPr>
              <w:t>5.4 s</w:t>
            </w:r>
          </w:p>
        </w:tc>
      </w:tr>
      <w:tr w:rsidR="005A03C4" w14:paraId="5C09A172" w14:textId="77777777">
        <w:trPr>
          <w:jc w:val="center"/>
        </w:trPr>
        <w:tc>
          <w:tcPr>
            <w:tcW w:w="737" w:type="dxa"/>
          </w:tcPr>
          <w:p w14:paraId="385F125E" w14:textId="77777777" w:rsidR="005A03C4" w:rsidRDefault="00000000">
            <w:r>
              <w:rPr>
                <w:sz w:val="19"/>
              </w:rPr>
              <w:t>5</w:t>
            </w:r>
          </w:p>
        </w:tc>
        <w:tc>
          <w:tcPr>
            <w:tcW w:w="2098" w:type="dxa"/>
          </w:tcPr>
          <w:p w14:paraId="32506BD4" w14:textId="77777777" w:rsidR="005A03C4" w:rsidRDefault="00000000">
            <w:r>
              <w:rPr>
                <w:sz w:val="19"/>
              </w:rPr>
              <w:t>Regresión Logística</w:t>
            </w:r>
          </w:p>
        </w:tc>
        <w:tc>
          <w:tcPr>
            <w:tcW w:w="1020" w:type="dxa"/>
          </w:tcPr>
          <w:p w14:paraId="5245747D" w14:textId="77777777" w:rsidR="005A03C4" w:rsidRDefault="00000000">
            <w:r>
              <w:rPr>
                <w:sz w:val="19"/>
              </w:rPr>
              <w:t>0.7924</w:t>
            </w:r>
          </w:p>
        </w:tc>
        <w:tc>
          <w:tcPr>
            <w:tcW w:w="1020" w:type="dxa"/>
          </w:tcPr>
          <w:p w14:paraId="4D92BC65" w14:textId="77777777" w:rsidR="005A03C4" w:rsidRDefault="00000000">
            <w:r>
              <w:rPr>
                <w:sz w:val="19"/>
              </w:rPr>
              <w:t>71.67%</w:t>
            </w:r>
          </w:p>
        </w:tc>
        <w:tc>
          <w:tcPr>
            <w:tcW w:w="1077" w:type="dxa"/>
          </w:tcPr>
          <w:p w14:paraId="1152587E" w14:textId="77777777" w:rsidR="005A03C4" w:rsidRDefault="00000000">
            <w:r>
              <w:rPr>
                <w:sz w:val="19"/>
              </w:rPr>
              <w:t>33.97%</w:t>
            </w:r>
          </w:p>
        </w:tc>
        <w:tc>
          <w:tcPr>
            <w:tcW w:w="1020" w:type="dxa"/>
          </w:tcPr>
          <w:p w14:paraId="1F199F89" w14:textId="77777777" w:rsidR="005A03C4" w:rsidRDefault="00000000">
            <w:r>
              <w:rPr>
                <w:sz w:val="19"/>
              </w:rPr>
              <w:t>0.4609</w:t>
            </w:r>
          </w:p>
        </w:tc>
        <w:tc>
          <w:tcPr>
            <w:tcW w:w="1134" w:type="dxa"/>
          </w:tcPr>
          <w:p w14:paraId="350A025E" w14:textId="77777777" w:rsidR="005A03C4" w:rsidRDefault="00000000">
            <w:r>
              <w:rPr>
                <w:sz w:val="19"/>
              </w:rPr>
              <w:t>1.2 s</w:t>
            </w:r>
          </w:p>
        </w:tc>
      </w:tr>
      <w:tr w:rsidR="005A03C4" w14:paraId="2289127E" w14:textId="77777777">
        <w:trPr>
          <w:jc w:val="center"/>
        </w:trPr>
        <w:tc>
          <w:tcPr>
            <w:tcW w:w="737" w:type="dxa"/>
          </w:tcPr>
          <w:p w14:paraId="78836F52" w14:textId="77777777" w:rsidR="005A03C4" w:rsidRDefault="00000000">
            <w:r>
              <w:rPr>
                <w:sz w:val="19"/>
              </w:rPr>
              <w:t>6</w:t>
            </w:r>
          </w:p>
        </w:tc>
        <w:tc>
          <w:tcPr>
            <w:tcW w:w="2098" w:type="dxa"/>
          </w:tcPr>
          <w:p w14:paraId="6552A5FB" w14:textId="77777777" w:rsidR="005A03C4" w:rsidRDefault="00000000">
            <w:r>
              <w:rPr>
                <w:sz w:val="19"/>
              </w:rPr>
              <w:t>Árbol de Decisión</w:t>
            </w:r>
          </w:p>
        </w:tc>
        <w:tc>
          <w:tcPr>
            <w:tcW w:w="1020" w:type="dxa"/>
          </w:tcPr>
          <w:p w14:paraId="2EB67E81" w14:textId="77777777" w:rsidR="005A03C4" w:rsidRDefault="00000000">
            <w:r>
              <w:rPr>
                <w:sz w:val="19"/>
              </w:rPr>
              <w:t>0.7817</w:t>
            </w:r>
          </w:p>
        </w:tc>
        <w:tc>
          <w:tcPr>
            <w:tcW w:w="1020" w:type="dxa"/>
          </w:tcPr>
          <w:p w14:paraId="2A1FD90E" w14:textId="77777777" w:rsidR="005A03C4" w:rsidRDefault="00000000">
            <w:r>
              <w:rPr>
                <w:sz w:val="19"/>
              </w:rPr>
              <w:t>71.76%</w:t>
            </w:r>
          </w:p>
        </w:tc>
        <w:tc>
          <w:tcPr>
            <w:tcW w:w="1077" w:type="dxa"/>
          </w:tcPr>
          <w:p w14:paraId="22D6BEC9" w14:textId="77777777" w:rsidR="005A03C4" w:rsidRDefault="00000000">
            <w:r>
              <w:rPr>
                <w:sz w:val="19"/>
              </w:rPr>
              <w:t>32.90%</w:t>
            </w:r>
          </w:p>
        </w:tc>
        <w:tc>
          <w:tcPr>
            <w:tcW w:w="1020" w:type="dxa"/>
          </w:tcPr>
          <w:p w14:paraId="2361F08D" w14:textId="77777777" w:rsidR="005A03C4" w:rsidRDefault="00000000">
            <w:r>
              <w:rPr>
                <w:sz w:val="19"/>
              </w:rPr>
              <w:t>0.4509</w:t>
            </w:r>
          </w:p>
        </w:tc>
        <w:tc>
          <w:tcPr>
            <w:tcW w:w="1134" w:type="dxa"/>
          </w:tcPr>
          <w:p w14:paraId="7F56084B" w14:textId="77777777" w:rsidR="005A03C4" w:rsidRDefault="00000000">
            <w:r>
              <w:rPr>
                <w:sz w:val="19"/>
              </w:rPr>
              <w:t>4.3 s</w:t>
            </w:r>
          </w:p>
        </w:tc>
      </w:tr>
    </w:tbl>
    <w:p w14:paraId="7F973F51" w14:textId="77777777" w:rsidR="005A03C4" w:rsidRDefault="005A03C4"/>
    <w:p w14:paraId="6864F491" w14:textId="77777777" w:rsidR="005A03C4" w:rsidRPr="00B35ACF" w:rsidRDefault="00000000">
      <w:pPr>
        <w:rPr>
          <w:lang w:val="es-ES"/>
        </w:rPr>
      </w:pPr>
      <w:r w:rsidRPr="00B35ACF">
        <w:rPr>
          <w:lang w:val="es-ES"/>
        </w:rPr>
        <w:t>El hallazgo central del benchmarking es la paradoja CatBoost / Red Neuronal: ambos alcanzan un AUC casi idéntico al de LightGBM, pero su Recall cae por debajo del 30%, es decir, detectan a menos de 1 de cada 3 niños desnutridos. El umbral fijo de 0.5, combinado con su función de pérdida, los vuelve conservadores — prefieren no etiquetar antes que arriesgarse a un falso positivo. En un esquema de triaje de política pública ese comportamiento es inaceptable, porque el costo de un falso negativo (un niño desnutrido no detectado) supera ampliamente al de un falso positivo. LightGBM es el único modelo que logra el liderazgo simultáneo en AUC y Recall, lo que lo convierte en el candidato natural.</w:t>
      </w:r>
    </w:p>
    <w:p w14:paraId="04075F7B" w14:textId="77777777" w:rsidR="005A03C4" w:rsidRDefault="00000000">
      <w:pPr>
        <w:jc w:val="center"/>
      </w:pPr>
      <w:r>
        <w:rPr>
          <w:noProof/>
        </w:rPr>
        <w:drawing>
          <wp:inline distT="0" distB="0" distL="0" distR="0" wp14:anchorId="55BA5E61" wp14:editId="69C39091">
            <wp:extent cx="4860000" cy="3882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2300840529.png"/>
                    <pic:cNvPicPr/>
                  </pic:nvPicPr>
                  <pic:blipFill>
                    <a:blip r:embed="rId7"/>
                    <a:stretch>
                      <a:fillRect/>
                    </a:stretch>
                  </pic:blipFill>
                  <pic:spPr>
                    <a:xfrm>
                      <a:off x="0" y="0"/>
                      <a:ext cx="4860000" cy="3882103"/>
                    </a:xfrm>
                    <a:prstGeom prst="rect">
                      <a:avLst/>
                    </a:prstGeom>
                  </pic:spPr>
                </pic:pic>
              </a:graphicData>
            </a:graphic>
          </wp:inline>
        </w:drawing>
      </w:r>
    </w:p>
    <w:p w14:paraId="29E6AE61" w14:textId="77777777" w:rsidR="005A03C4" w:rsidRPr="00B35ACF" w:rsidRDefault="00000000">
      <w:pPr>
        <w:spacing w:after="280"/>
        <w:jc w:val="center"/>
        <w:rPr>
          <w:lang w:val="es-ES"/>
        </w:rPr>
      </w:pPr>
      <w:r w:rsidRPr="00B35ACF">
        <w:rPr>
          <w:i/>
          <w:color w:val="404040"/>
          <w:sz w:val="19"/>
          <w:lang w:val="es-ES"/>
        </w:rPr>
        <w:t>Curvas ROC — comparación de los 6 modelos evaluados (5-Fold CV ponderado).</w:t>
      </w:r>
    </w:p>
    <w:p w14:paraId="11BC77AA" w14:textId="77777777" w:rsidR="005A03C4" w:rsidRDefault="00000000">
      <w:pPr>
        <w:jc w:val="center"/>
      </w:pPr>
      <w:r>
        <w:rPr>
          <w:noProof/>
        </w:rPr>
        <w:lastRenderedPageBreak/>
        <w:drawing>
          <wp:inline distT="0" distB="0" distL="0" distR="0" wp14:anchorId="0E8E0902" wp14:editId="79FC4EA4">
            <wp:extent cx="4860000" cy="3882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2300875605.png"/>
                    <pic:cNvPicPr/>
                  </pic:nvPicPr>
                  <pic:blipFill>
                    <a:blip r:embed="rId8"/>
                    <a:stretch>
                      <a:fillRect/>
                    </a:stretch>
                  </pic:blipFill>
                  <pic:spPr>
                    <a:xfrm>
                      <a:off x="0" y="0"/>
                      <a:ext cx="4860000" cy="3882103"/>
                    </a:xfrm>
                    <a:prstGeom prst="rect">
                      <a:avLst/>
                    </a:prstGeom>
                  </pic:spPr>
                </pic:pic>
              </a:graphicData>
            </a:graphic>
          </wp:inline>
        </w:drawing>
      </w:r>
    </w:p>
    <w:p w14:paraId="06475F9F" w14:textId="77777777" w:rsidR="005A03C4" w:rsidRPr="00B35ACF" w:rsidRDefault="00000000">
      <w:pPr>
        <w:spacing w:after="280"/>
        <w:jc w:val="center"/>
        <w:rPr>
          <w:lang w:val="es-ES"/>
        </w:rPr>
      </w:pPr>
      <w:r w:rsidRPr="00B35ACF">
        <w:rPr>
          <w:i/>
          <w:color w:val="404040"/>
          <w:sz w:val="19"/>
          <w:lang w:val="es-ES"/>
        </w:rPr>
        <w:t>Curvas Precision-Recall — comparación de los 6 modelos evaluados.</w:t>
      </w:r>
    </w:p>
    <w:p w14:paraId="7B2C0657" w14:textId="77777777" w:rsidR="005A03C4" w:rsidRDefault="00000000">
      <w:pPr>
        <w:jc w:val="center"/>
      </w:pPr>
      <w:r>
        <w:rPr>
          <w:noProof/>
        </w:rPr>
        <w:drawing>
          <wp:inline distT="0" distB="0" distL="0" distR="0" wp14:anchorId="5F61DD44" wp14:editId="487264ED">
            <wp:extent cx="5400000" cy="3362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2300897000.png"/>
                    <pic:cNvPicPr/>
                  </pic:nvPicPr>
                  <pic:blipFill>
                    <a:blip r:embed="rId9"/>
                    <a:stretch>
                      <a:fillRect/>
                    </a:stretch>
                  </pic:blipFill>
                  <pic:spPr>
                    <a:xfrm>
                      <a:off x="0" y="0"/>
                      <a:ext cx="5400000" cy="3362264"/>
                    </a:xfrm>
                    <a:prstGeom prst="rect">
                      <a:avLst/>
                    </a:prstGeom>
                  </pic:spPr>
                </pic:pic>
              </a:graphicData>
            </a:graphic>
          </wp:inline>
        </w:drawing>
      </w:r>
    </w:p>
    <w:p w14:paraId="62FC1E8E" w14:textId="77777777" w:rsidR="005A03C4" w:rsidRPr="00B35ACF" w:rsidRDefault="00000000">
      <w:pPr>
        <w:spacing w:after="280"/>
        <w:jc w:val="center"/>
        <w:rPr>
          <w:lang w:val="es-ES"/>
        </w:rPr>
      </w:pPr>
      <w:r w:rsidRPr="00B35ACF">
        <w:rPr>
          <w:i/>
          <w:color w:val="404040"/>
          <w:sz w:val="19"/>
          <w:lang w:val="es-ES"/>
        </w:rPr>
        <w:t>Matrices de confusión normalizadas (umbral 0.5). CatBoost y la Red Neuronal clasifican como sanos a más del 70% de los niños realmente desnutridos.</w:t>
      </w:r>
    </w:p>
    <w:p w14:paraId="7D2D1D9A" w14:textId="77777777" w:rsidR="005A03C4" w:rsidRPr="00B35ACF" w:rsidRDefault="00000000">
      <w:pPr>
        <w:pStyle w:val="Heading2"/>
        <w:rPr>
          <w:lang w:val="es-ES"/>
        </w:rPr>
      </w:pPr>
      <w:r w:rsidRPr="00B35ACF">
        <w:rPr>
          <w:lang w:val="es-ES"/>
        </w:rPr>
        <w:lastRenderedPageBreak/>
        <w:t>2.3 Modelo campeón: LightGBM con 43 variables</w:t>
      </w:r>
    </w:p>
    <w:p w14:paraId="46D58BFD" w14:textId="77777777" w:rsidR="005A03C4" w:rsidRPr="00B35ACF" w:rsidRDefault="00000000">
      <w:pPr>
        <w:rPr>
          <w:lang w:val="es-ES"/>
        </w:rPr>
      </w:pPr>
      <w:r w:rsidRPr="00B35ACF">
        <w:rPr>
          <w:lang w:val="es-ES"/>
        </w:rPr>
        <w:t>Se entrenó LightGBM sobre las 74 variables disponibles para extraer sus importancias algorítmicas nativas y se probaron tres umbrales de corte (≥10, ≥30, ≥50) para reducir el espacio de variables.</w:t>
      </w:r>
    </w:p>
    <w:tbl>
      <w:tblPr>
        <w:tblStyle w:val="TableGrid"/>
        <w:tblW w:w="0" w:type="auto"/>
        <w:jc w:val="center"/>
        <w:tblLook w:val="04A0" w:firstRow="1" w:lastRow="0" w:firstColumn="1" w:lastColumn="0" w:noHBand="0" w:noVBand="1"/>
      </w:tblPr>
      <w:tblGrid>
        <w:gridCol w:w="2761"/>
        <w:gridCol w:w="2215"/>
        <w:gridCol w:w="1665"/>
        <w:gridCol w:w="2215"/>
      </w:tblGrid>
      <w:tr w:rsidR="005A03C4" w14:paraId="102239D1" w14:textId="77777777">
        <w:trPr>
          <w:jc w:val="center"/>
        </w:trPr>
        <w:tc>
          <w:tcPr>
            <w:tcW w:w="2835" w:type="dxa"/>
            <w:shd w:val="clear" w:color="auto" w:fill="1F3A5F"/>
          </w:tcPr>
          <w:p w14:paraId="09684A3F" w14:textId="77777777" w:rsidR="005A03C4" w:rsidRDefault="00000000">
            <w:r>
              <w:rPr>
                <w:b/>
                <w:color w:val="FFFFFF"/>
                <w:sz w:val="19"/>
              </w:rPr>
              <w:t>Escenario</w:t>
            </w:r>
          </w:p>
        </w:tc>
        <w:tc>
          <w:tcPr>
            <w:tcW w:w="2268" w:type="dxa"/>
            <w:shd w:val="clear" w:color="auto" w:fill="1F3A5F"/>
          </w:tcPr>
          <w:p w14:paraId="00F5047E" w14:textId="77777777" w:rsidR="005A03C4" w:rsidRDefault="00000000">
            <w:r>
              <w:rPr>
                <w:b/>
                <w:color w:val="FFFFFF"/>
                <w:sz w:val="19"/>
              </w:rPr>
              <w:t>AUC (5-Fold CV)</w:t>
            </w:r>
          </w:p>
        </w:tc>
        <w:tc>
          <w:tcPr>
            <w:tcW w:w="1701" w:type="dxa"/>
            <w:shd w:val="clear" w:color="auto" w:fill="1F3A5F"/>
          </w:tcPr>
          <w:p w14:paraId="52BA12B0" w14:textId="77777777" w:rsidR="005A03C4" w:rsidRDefault="00000000">
            <w:r>
              <w:rPr>
                <w:b/>
                <w:color w:val="FFFFFF"/>
                <w:sz w:val="19"/>
              </w:rPr>
              <w:t>Recall</w:t>
            </w:r>
          </w:p>
        </w:tc>
        <w:tc>
          <w:tcPr>
            <w:tcW w:w="2268" w:type="dxa"/>
            <w:shd w:val="clear" w:color="auto" w:fill="1F3A5F"/>
          </w:tcPr>
          <w:p w14:paraId="476BDDA1" w14:textId="77777777" w:rsidR="005A03C4" w:rsidRDefault="00000000">
            <w:r>
              <w:rPr>
                <w:b/>
                <w:color w:val="FFFFFF"/>
                <w:sz w:val="19"/>
              </w:rPr>
              <w:t>N.º variables</w:t>
            </w:r>
          </w:p>
        </w:tc>
      </w:tr>
      <w:tr w:rsidR="005A03C4" w14:paraId="22E5A886" w14:textId="77777777">
        <w:trPr>
          <w:jc w:val="center"/>
        </w:trPr>
        <w:tc>
          <w:tcPr>
            <w:tcW w:w="2835" w:type="dxa"/>
          </w:tcPr>
          <w:p w14:paraId="0C10AF9E" w14:textId="77777777" w:rsidR="005A03C4" w:rsidRDefault="00000000">
            <w:r>
              <w:rPr>
                <w:sz w:val="19"/>
              </w:rPr>
              <w:t>Umbral ≥ 10 (elegido)</w:t>
            </w:r>
          </w:p>
        </w:tc>
        <w:tc>
          <w:tcPr>
            <w:tcW w:w="2268" w:type="dxa"/>
          </w:tcPr>
          <w:p w14:paraId="772DE5B6" w14:textId="77777777" w:rsidR="005A03C4" w:rsidRDefault="00000000">
            <w:r>
              <w:rPr>
                <w:sz w:val="19"/>
              </w:rPr>
              <w:t>0.830779</w:t>
            </w:r>
          </w:p>
        </w:tc>
        <w:tc>
          <w:tcPr>
            <w:tcW w:w="1701" w:type="dxa"/>
          </w:tcPr>
          <w:p w14:paraId="36D2627E" w14:textId="77777777" w:rsidR="005A03C4" w:rsidRDefault="00000000">
            <w:r>
              <w:rPr>
                <w:sz w:val="19"/>
              </w:rPr>
              <w:t>76.49%</w:t>
            </w:r>
          </w:p>
        </w:tc>
        <w:tc>
          <w:tcPr>
            <w:tcW w:w="2268" w:type="dxa"/>
          </w:tcPr>
          <w:p w14:paraId="40193A7D" w14:textId="77777777" w:rsidR="005A03C4" w:rsidRDefault="00000000">
            <w:r>
              <w:rPr>
                <w:sz w:val="19"/>
              </w:rPr>
              <w:t>43</w:t>
            </w:r>
          </w:p>
        </w:tc>
      </w:tr>
      <w:tr w:rsidR="005A03C4" w14:paraId="0F153CAB" w14:textId="77777777">
        <w:trPr>
          <w:jc w:val="center"/>
        </w:trPr>
        <w:tc>
          <w:tcPr>
            <w:tcW w:w="2835" w:type="dxa"/>
          </w:tcPr>
          <w:p w14:paraId="5F7EF1B9" w14:textId="77777777" w:rsidR="005A03C4" w:rsidRDefault="00000000">
            <w:r>
              <w:rPr>
                <w:sz w:val="19"/>
              </w:rPr>
              <w:t>Umbral ≥ 30</w:t>
            </w:r>
          </w:p>
        </w:tc>
        <w:tc>
          <w:tcPr>
            <w:tcW w:w="2268" w:type="dxa"/>
          </w:tcPr>
          <w:p w14:paraId="240C2644" w14:textId="77777777" w:rsidR="005A03C4" w:rsidRDefault="00000000">
            <w:r>
              <w:rPr>
                <w:sz w:val="19"/>
              </w:rPr>
              <w:t>0.830158</w:t>
            </w:r>
          </w:p>
        </w:tc>
        <w:tc>
          <w:tcPr>
            <w:tcW w:w="1701" w:type="dxa"/>
          </w:tcPr>
          <w:p w14:paraId="0124D34D" w14:textId="77777777" w:rsidR="005A03C4" w:rsidRDefault="00000000">
            <w:r>
              <w:rPr>
                <w:sz w:val="19"/>
              </w:rPr>
              <w:t>76.48%</w:t>
            </w:r>
          </w:p>
        </w:tc>
        <w:tc>
          <w:tcPr>
            <w:tcW w:w="2268" w:type="dxa"/>
          </w:tcPr>
          <w:p w14:paraId="7CCAE738" w14:textId="77777777" w:rsidR="005A03C4" w:rsidRDefault="00000000">
            <w:r>
              <w:rPr>
                <w:sz w:val="19"/>
              </w:rPr>
              <w:t>33</w:t>
            </w:r>
          </w:p>
        </w:tc>
      </w:tr>
      <w:tr w:rsidR="005A03C4" w14:paraId="5664D354" w14:textId="77777777">
        <w:trPr>
          <w:jc w:val="center"/>
        </w:trPr>
        <w:tc>
          <w:tcPr>
            <w:tcW w:w="2835" w:type="dxa"/>
          </w:tcPr>
          <w:p w14:paraId="3CC52BBC" w14:textId="77777777" w:rsidR="005A03C4" w:rsidRDefault="00000000">
            <w:r>
              <w:rPr>
                <w:sz w:val="19"/>
              </w:rPr>
              <w:t>Umbral ≥ 50</w:t>
            </w:r>
          </w:p>
        </w:tc>
        <w:tc>
          <w:tcPr>
            <w:tcW w:w="2268" w:type="dxa"/>
          </w:tcPr>
          <w:p w14:paraId="732BAD4D" w14:textId="77777777" w:rsidR="005A03C4" w:rsidRDefault="00000000">
            <w:r>
              <w:rPr>
                <w:sz w:val="19"/>
              </w:rPr>
              <w:t>0.829152</w:t>
            </w:r>
          </w:p>
        </w:tc>
        <w:tc>
          <w:tcPr>
            <w:tcW w:w="1701" w:type="dxa"/>
          </w:tcPr>
          <w:p w14:paraId="6DA4534A" w14:textId="77777777" w:rsidR="005A03C4" w:rsidRDefault="00000000">
            <w:r>
              <w:rPr>
                <w:sz w:val="19"/>
              </w:rPr>
              <w:t>76.39%</w:t>
            </w:r>
          </w:p>
        </w:tc>
        <w:tc>
          <w:tcPr>
            <w:tcW w:w="2268" w:type="dxa"/>
          </w:tcPr>
          <w:p w14:paraId="541C2283" w14:textId="77777777" w:rsidR="005A03C4" w:rsidRDefault="00000000">
            <w:r>
              <w:rPr>
                <w:sz w:val="19"/>
              </w:rPr>
              <w:t>25</w:t>
            </w:r>
          </w:p>
        </w:tc>
      </w:tr>
      <w:tr w:rsidR="005A03C4" w14:paraId="67504C39" w14:textId="77777777">
        <w:trPr>
          <w:jc w:val="center"/>
        </w:trPr>
        <w:tc>
          <w:tcPr>
            <w:tcW w:w="2835" w:type="dxa"/>
          </w:tcPr>
          <w:p w14:paraId="750C3240" w14:textId="77777777" w:rsidR="005A03C4" w:rsidRDefault="00000000">
            <w:r>
              <w:rPr>
                <w:sz w:val="19"/>
              </w:rPr>
              <w:t>Todas las variables</w:t>
            </w:r>
          </w:p>
        </w:tc>
        <w:tc>
          <w:tcPr>
            <w:tcW w:w="2268" w:type="dxa"/>
          </w:tcPr>
          <w:p w14:paraId="6FF0C14D" w14:textId="77777777" w:rsidR="005A03C4" w:rsidRDefault="00000000">
            <w:r>
              <w:rPr>
                <w:sz w:val="19"/>
              </w:rPr>
              <w:t>0.830680</w:t>
            </w:r>
          </w:p>
        </w:tc>
        <w:tc>
          <w:tcPr>
            <w:tcW w:w="1701" w:type="dxa"/>
          </w:tcPr>
          <w:p w14:paraId="02349126" w14:textId="77777777" w:rsidR="005A03C4" w:rsidRDefault="00000000">
            <w:r>
              <w:rPr>
                <w:sz w:val="19"/>
              </w:rPr>
              <w:t>76.38%</w:t>
            </w:r>
          </w:p>
        </w:tc>
        <w:tc>
          <w:tcPr>
            <w:tcW w:w="2268" w:type="dxa"/>
          </w:tcPr>
          <w:p w14:paraId="35B1211E" w14:textId="77777777" w:rsidR="005A03C4" w:rsidRDefault="00000000">
            <w:r>
              <w:rPr>
                <w:sz w:val="19"/>
              </w:rPr>
              <w:t>74</w:t>
            </w:r>
          </w:p>
        </w:tc>
      </w:tr>
    </w:tbl>
    <w:p w14:paraId="0E890CC3" w14:textId="77777777" w:rsidR="005A03C4" w:rsidRDefault="005A03C4"/>
    <w:p w14:paraId="3ABB5774" w14:textId="77777777" w:rsidR="005A03C4" w:rsidRPr="00B35ACF" w:rsidRDefault="00000000">
      <w:pPr>
        <w:rPr>
          <w:lang w:val="es-ES"/>
        </w:rPr>
      </w:pPr>
      <w:r w:rsidRPr="00B35ACF">
        <w:rPr>
          <w:lang w:val="es-ES"/>
        </w:rPr>
        <w:t>El modelo con 43 variables supera marginalmente al modelo con las 74 variables originales en ambas métricas: las 31 variables descartadas no aportaban señal predictiva y únicamente agregaban varianza al modelo.</w:t>
      </w:r>
    </w:p>
    <w:p w14:paraId="4016C2F9" w14:textId="77777777" w:rsidR="005A03C4" w:rsidRDefault="00000000">
      <w:pPr>
        <w:jc w:val="center"/>
      </w:pPr>
      <w:r>
        <w:rPr>
          <w:noProof/>
        </w:rPr>
        <w:drawing>
          <wp:inline distT="0" distB="0" distL="0" distR="0" wp14:anchorId="6796AF2A" wp14:editId="1ACABAA6">
            <wp:extent cx="5040000" cy="11122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2300999808.png"/>
                    <pic:cNvPicPr/>
                  </pic:nvPicPr>
                  <pic:blipFill>
                    <a:blip r:embed="rId10"/>
                    <a:stretch>
                      <a:fillRect/>
                    </a:stretch>
                  </pic:blipFill>
                  <pic:spPr>
                    <a:xfrm>
                      <a:off x="0" y="0"/>
                      <a:ext cx="5040000" cy="1112276"/>
                    </a:xfrm>
                    <a:prstGeom prst="rect">
                      <a:avLst/>
                    </a:prstGeom>
                  </pic:spPr>
                </pic:pic>
              </a:graphicData>
            </a:graphic>
          </wp:inline>
        </w:drawing>
      </w:r>
    </w:p>
    <w:p w14:paraId="4442AF63" w14:textId="77777777" w:rsidR="005A03C4" w:rsidRPr="00B35ACF" w:rsidRDefault="00000000">
      <w:pPr>
        <w:spacing w:after="280"/>
        <w:jc w:val="center"/>
        <w:rPr>
          <w:lang w:val="es-ES"/>
        </w:rPr>
      </w:pPr>
      <w:r w:rsidRPr="00B35ACF">
        <w:rPr>
          <w:i/>
          <w:color w:val="404040"/>
          <w:sz w:val="19"/>
          <w:lang w:val="es-ES"/>
        </w:rPr>
        <w:t>Resumen de filtrado por umbral de importancia algorítmica de LightGBM.</w:t>
      </w:r>
    </w:p>
    <w:p w14:paraId="4D4F3624" w14:textId="77777777" w:rsidR="005A03C4" w:rsidRPr="00B35ACF" w:rsidRDefault="00000000">
      <w:pPr>
        <w:pStyle w:val="Heading2"/>
        <w:rPr>
          <w:lang w:val="es-ES"/>
        </w:rPr>
      </w:pPr>
      <w:r w:rsidRPr="00B35ACF">
        <w:rPr>
          <w:lang w:val="es-ES"/>
        </w:rPr>
        <w:t>2.4 Métricas finales del modelo en producción</w:t>
      </w:r>
    </w:p>
    <w:tbl>
      <w:tblPr>
        <w:tblStyle w:val="TableGrid"/>
        <w:tblW w:w="0" w:type="auto"/>
        <w:jc w:val="center"/>
        <w:tblLook w:val="04A0" w:firstRow="1" w:lastRow="0" w:firstColumn="1" w:lastColumn="0" w:noHBand="0" w:noVBand="1"/>
      </w:tblPr>
      <w:tblGrid>
        <w:gridCol w:w="3402"/>
        <w:gridCol w:w="3402"/>
      </w:tblGrid>
      <w:tr w:rsidR="005A03C4" w14:paraId="4F53875B" w14:textId="77777777">
        <w:trPr>
          <w:jc w:val="center"/>
        </w:trPr>
        <w:tc>
          <w:tcPr>
            <w:tcW w:w="3402" w:type="dxa"/>
            <w:shd w:val="clear" w:color="auto" w:fill="1F3A5F"/>
          </w:tcPr>
          <w:p w14:paraId="72DCE05C" w14:textId="77777777" w:rsidR="005A03C4" w:rsidRDefault="00000000">
            <w:r>
              <w:rPr>
                <w:b/>
                <w:color w:val="FFFFFF"/>
                <w:sz w:val="19"/>
              </w:rPr>
              <w:t>Métrica</w:t>
            </w:r>
          </w:p>
        </w:tc>
        <w:tc>
          <w:tcPr>
            <w:tcW w:w="3402" w:type="dxa"/>
            <w:shd w:val="clear" w:color="auto" w:fill="1F3A5F"/>
          </w:tcPr>
          <w:p w14:paraId="1E982F19" w14:textId="77777777" w:rsidR="005A03C4" w:rsidRDefault="00000000">
            <w:r>
              <w:rPr>
                <w:b/>
                <w:color w:val="FFFFFF"/>
                <w:sz w:val="19"/>
              </w:rPr>
              <w:t>Valor</w:t>
            </w:r>
          </w:p>
        </w:tc>
      </w:tr>
      <w:tr w:rsidR="005A03C4" w14:paraId="3B2B1443" w14:textId="77777777">
        <w:trPr>
          <w:jc w:val="center"/>
        </w:trPr>
        <w:tc>
          <w:tcPr>
            <w:tcW w:w="3402" w:type="dxa"/>
          </w:tcPr>
          <w:p w14:paraId="527C8D84" w14:textId="77777777" w:rsidR="005A03C4" w:rsidRDefault="00000000">
            <w:r>
              <w:rPr>
                <w:sz w:val="19"/>
              </w:rPr>
              <w:t>AUC-ROC</w:t>
            </w:r>
          </w:p>
        </w:tc>
        <w:tc>
          <w:tcPr>
            <w:tcW w:w="3402" w:type="dxa"/>
          </w:tcPr>
          <w:p w14:paraId="0F4DEA88" w14:textId="77777777" w:rsidR="005A03C4" w:rsidRDefault="00000000">
            <w:r>
              <w:rPr>
                <w:sz w:val="19"/>
              </w:rPr>
              <w:t>0.8308</w:t>
            </w:r>
          </w:p>
        </w:tc>
      </w:tr>
      <w:tr w:rsidR="005A03C4" w14:paraId="28BC4712" w14:textId="77777777">
        <w:trPr>
          <w:jc w:val="center"/>
        </w:trPr>
        <w:tc>
          <w:tcPr>
            <w:tcW w:w="3402" w:type="dxa"/>
          </w:tcPr>
          <w:p w14:paraId="7EB5124C" w14:textId="77777777" w:rsidR="005A03C4" w:rsidRDefault="00000000">
            <w:r>
              <w:rPr>
                <w:sz w:val="19"/>
              </w:rPr>
              <w:t>Recall (Sensibilidad)</w:t>
            </w:r>
          </w:p>
        </w:tc>
        <w:tc>
          <w:tcPr>
            <w:tcW w:w="3402" w:type="dxa"/>
          </w:tcPr>
          <w:p w14:paraId="038BE426" w14:textId="77777777" w:rsidR="005A03C4" w:rsidRDefault="00000000">
            <w:r>
              <w:rPr>
                <w:sz w:val="19"/>
              </w:rPr>
              <w:t>76.49%</w:t>
            </w:r>
          </w:p>
        </w:tc>
      </w:tr>
      <w:tr w:rsidR="005A03C4" w14:paraId="23CC3F51" w14:textId="77777777">
        <w:trPr>
          <w:jc w:val="center"/>
        </w:trPr>
        <w:tc>
          <w:tcPr>
            <w:tcW w:w="3402" w:type="dxa"/>
          </w:tcPr>
          <w:p w14:paraId="59FF3908" w14:textId="77777777" w:rsidR="005A03C4" w:rsidRDefault="00000000">
            <w:r>
              <w:rPr>
                <w:sz w:val="19"/>
              </w:rPr>
              <w:t>Precision</w:t>
            </w:r>
          </w:p>
        </w:tc>
        <w:tc>
          <w:tcPr>
            <w:tcW w:w="3402" w:type="dxa"/>
          </w:tcPr>
          <w:p w14:paraId="2F3BCA4A" w14:textId="77777777" w:rsidR="005A03C4" w:rsidRDefault="00000000">
            <w:r>
              <w:rPr>
                <w:sz w:val="19"/>
              </w:rPr>
              <w:t>37.05%</w:t>
            </w:r>
          </w:p>
        </w:tc>
      </w:tr>
      <w:tr w:rsidR="005A03C4" w14:paraId="2E113CD9" w14:textId="77777777">
        <w:trPr>
          <w:jc w:val="center"/>
        </w:trPr>
        <w:tc>
          <w:tcPr>
            <w:tcW w:w="3402" w:type="dxa"/>
          </w:tcPr>
          <w:p w14:paraId="6DA5D65F" w14:textId="77777777" w:rsidR="005A03C4" w:rsidRDefault="00000000">
            <w:r>
              <w:rPr>
                <w:sz w:val="19"/>
              </w:rPr>
              <w:t>F1-Score</w:t>
            </w:r>
          </w:p>
        </w:tc>
        <w:tc>
          <w:tcPr>
            <w:tcW w:w="3402" w:type="dxa"/>
          </w:tcPr>
          <w:p w14:paraId="0E1DF373" w14:textId="77777777" w:rsidR="005A03C4" w:rsidRDefault="00000000">
            <w:r>
              <w:rPr>
                <w:sz w:val="19"/>
              </w:rPr>
              <w:t>0.4976</w:t>
            </w:r>
          </w:p>
        </w:tc>
      </w:tr>
      <w:tr w:rsidR="005A03C4" w14:paraId="14B4A4B7" w14:textId="77777777">
        <w:trPr>
          <w:jc w:val="center"/>
        </w:trPr>
        <w:tc>
          <w:tcPr>
            <w:tcW w:w="3402" w:type="dxa"/>
          </w:tcPr>
          <w:p w14:paraId="665821E7" w14:textId="77777777" w:rsidR="005A03C4" w:rsidRDefault="00000000">
            <w:r>
              <w:rPr>
                <w:sz w:val="19"/>
              </w:rPr>
              <w:t>Umbral de clasificación</w:t>
            </w:r>
          </w:p>
        </w:tc>
        <w:tc>
          <w:tcPr>
            <w:tcW w:w="3402" w:type="dxa"/>
          </w:tcPr>
          <w:p w14:paraId="5E198949" w14:textId="77777777" w:rsidR="005A03C4" w:rsidRDefault="00000000">
            <w:r>
              <w:rPr>
                <w:sz w:val="19"/>
              </w:rPr>
              <w:t>0.5 (fijo, no optimizado)</w:t>
            </w:r>
          </w:p>
        </w:tc>
      </w:tr>
      <w:tr w:rsidR="005A03C4" w14:paraId="727D3255" w14:textId="77777777">
        <w:trPr>
          <w:jc w:val="center"/>
        </w:trPr>
        <w:tc>
          <w:tcPr>
            <w:tcW w:w="3402" w:type="dxa"/>
          </w:tcPr>
          <w:p w14:paraId="711FC93C" w14:textId="77777777" w:rsidR="005A03C4" w:rsidRDefault="00000000">
            <w:r>
              <w:rPr>
                <w:sz w:val="19"/>
              </w:rPr>
              <w:t>Variables en producción</w:t>
            </w:r>
          </w:p>
        </w:tc>
        <w:tc>
          <w:tcPr>
            <w:tcW w:w="3402" w:type="dxa"/>
          </w:tcPr>
          <w:p w14:paraId="6B77EAF2" w14:textId="77777777" w:rsidR="005A03C4" w:rsidRDefault="00000000">
            <w:r>
              <w:rPr>
                <w:sz w:val="19"/>
              </w:rPr>
              <w:t>43</w:t>
            </w:r>
          </w:p>
        </w:tc>
      </w:tr>
      <w:tr w:rsidR="005A03C4" w14:paraId="2BB79E6B" w14:textId="77777777">
        <w:trPr>
          <w:jc w:val="center"/>
        </w:trPr>
        <w:tc>
          <w:tcPr>
            <w:tcW w:w="3402" w:type="dxa"/>
          </w:tcPr>
          <w:p w14:paraId="4800E0C9" w14:textId="77777777" w:rsidR="005A03C4" w:rsidRDefault="00000000">
            <w:r>
              <w:rPr>
                <w:sz w:val="19"/>
              </w:rPr>
              <w:t>Registros de entrenamiento</w:t>
            </w:r>
          </w:p>
        </w:tc>
        <w:tc>
          <w:tcPr>
            <w:tcW w:w="3402" w:type="dxa"/>
          </w:tcPr>
          <w:p w14:paraId="64BC6D3D" w14:textId="77777777" w:rsidR="005A03C4" w:rsidRDefault="00000000">
            <w:r>
              <w:rPr>
                <w:sz w:val="19"/>
              </w:rPr>
              <w:t>285,284 niños (ENDES 2007–2024)</w:t>
            </w:r>
          </w:p>
        </w:tc>
      </w:tr>
    </w:tbl>
    <w:p w14:paraId="3E453FDE" w14:textId="77777777" w:rsidR="005A03C4" w:rsidRDefault="005A03C4"/>
    <w:p w14:paraId="01B00F0E" w14:textId="77777777" w:rsidR="005A03C4" w:rsidRPr="00B35ACF" w:rsidRDefault="00000000">
      <w:pPr>
        <w:pStyle w:val="Heading1"/>
        <w:rPr>
          <w:lang w:val="es-ES"/>
        </w:rPr>
      </w:pPr>
      <w:r w:rsidRPr="00B35ACF">
        <w:rPr>
          <w:lang w:val="es-ES"/>
        </w:rPr>
        <w:t>3. Interpretación en Términos de Política Pública</w:t>
      </w:r>
    </w:p>
    <w:p w14:paraId="5A3E32AC" w14:textId="77777777" w:rsidR="005A03C4" w:rsidRPr="00B35ACF" w:rsidRDefault="00000000">
      <w:pPr>
        <w:rPr>
          <w:lang w:val="es-ES"/>
        </w:rPr>
      </w:pPr>
      <w:r w:rsidRPr="00B35ACF">
        <w:rPr>
          <w:lang w:val="es-ES"/>
        </w:rPr>
        <w:t xml:space="preserve">Con 285,284 niños en el dataset histórico y una prevalencia del 16%, existen aproximadamente 45,000 niños desnutridos en la muestra. El modelo detecta cerca de 34,400 de ellos utilizando únicamente datos de encuesta de hogar, sin medición antropométrica ni visita previa al </w:t>
      </w:r>
      <w:r w:rsidRPr="00B35ACF">
        <w:rPr>
          <w:lang w:val="es-ES"/>
        </w:rPr>
        <w:lastRenderedPageBreak/>
        <w:t>domicilio. Esto habilita un esquema de priorización: los recursos de supervisión nutricional pueden dirigirse primero a los hogares de mayor riesgo predicho, en lugar de asignarse de forma reactiva o uniforme.</w:t>
      </w:r>
    </w:p>
    <w:p w14:paraId="1F2ADF3C" w14:textId="77777777" w:rsidR="005A03C4" w:rsidRPr="00B35ACF" w:rsidRDefault="00000000">
      <w:pPr>
        <w:rPr>
          <w:lang w:val="es-ES"/>
        </w:rPr>
      </w:pPr>
      <w:r w:rsidRPr="00B35ACF">
        <w:rPr>
          <w:lang w:val="es-ES"/>
        </w:rPr>
        <w:t>El objetivo de política pública definido en la fase de negocio era un Recall ≥ 80%. El modelo actual alcanza 76.49% con el umbral de clasificación fijo en 0.5. Este umbral no fue optimizado: constituye una deuda técnica documentada, y bajarlo a aproximadamente 0.35 acercaría el Recall al objetivo del 80% sin necesidad de reentrenar el modelo — a costa de más falsos positivos, es decir, más visitas preventivas a hogares que resultan ser sanos.</w:t>
      </w:r>
    </w:p>
    <w:p w14:paraId="4AC2B6BF" w14:textId="77777777" w:rsidR="005A03C4" w:rsidRPr="00B35ACF" w:rsidRDefault="00000000">
      <w:pPr>
        <w:pStyle w:val="Heading1"/>
        <w:rPr>
          <w:lang w:val="es-ES"/>
        </w:rPr>
      </w:pPr>
      <w:r w:rsidRPr="00B35ACF">
        <w:rPr>
          <w:lang w:val="es-ES"/>
        </w:rPr>
        <w:t>4. Explicabilidad del Modelo (SHAP)</w:t>
      </w:r>
    </w:p>
    <w:p w14:paraId="2AE98ED6" w14:textId="77777777" w:rsidR="005A03C4" w:rsidRPr="00B35ACF" w:rsidRDefault="00000000">
      <w:pPr>
        <w:rPr>
          <w:lang w:val="es-ES"/>
        </w:rPr>
      </w:pPr>
      <w:r w:rsidRPr="00B35ACF">
        <w:rPr>
          <w:lang w:val="es-ES"/>
        </w:rPr>
        <w:t>Los valores SHAP se calcularon con shap.TreeExplainer sobre una muestra estratificada de 10,000 niños del dataset completo, para responder no solo si el modelo funciona, sino por qué.</w:t>
      </w:r>
    </w:p>
    <w:p w14:paraId="5D196C3A" w14:textId="77777777" w:rsidR="005A03C4" w:rsidRDefault="00000000">
      <w:pPr>
        <w:pStyle w:val="Heading2"/>
      </w:pPr>
      <w:r>
        <w:t>4.1 Factores globales de riesgo</w:t>
      </w:r>
    </w:p>
    <w:tbl>
      <w:tblPr>
        <w:tblStyle w:val="TableGrid"/>
        <w:tblW w:w="0" w:type="auto"/>
        <w:jc w:val="center"/>
        <w:tblLook w:val="04A0" w:firstRow="1" w:lastRow="0" w:firstColumn="1" w:lastColumn="0" w:noHBand="0" w:noVBand="1"/>
      </w:tblPr>
      <w:tblGrid>
        <w:gridCol w:w="454"/>
        <w:gridCol w:w="1247"/>
        <w:gridCol w:w="4819"/>
        <w:gridCol w:w="1984"/>
      </w:tblGrid>
      <w:tr w:rsidR="005A03C4" w14:paraId="178FDB9D" w14:textId="77777777">
        <w:trPr>
          <w:jc w:val="center"/>
        </w:trPr>
        <w:tc>
          <w:tcPr>
            <w:tcW w:w="454" w:type="dxa"/>
            <w:shd w:val="clear" w:color="auto" w:fill="1F3A5F"/>
          </w:tcPr>
          <w:p w14:paraId="3359C7A9" w14:textId="77777777" w:rsidR="005A03C4" w:rsidRDefault="00000000">
            <w:r>
              <w:rPr>
                <w:b/>
                <w:color w:val="FFFFFF"/>
                <w:sz w:val="19"/>
              </w:rPr>
              <w:t>#</w:t>
            </w:r>
          </w:p>
        </w:tc>
        <w:tc>
          <w:tcPr>
            <w:tcW w:w="1247" w:type="dxa"/>
            <w:shd w:val="clear" w:color="auto" w:fill="1F3A5F"/>
          </w:tcPr>
          <w:p w14:paraId="164D6907" w14:textId="77777777" w:rsidR="005A03C4" w:rsidRDefault="00000000">
            <w:r>
              <w:rPr>
                <w:b/>
                <w:color w:val="FFFFFF"/>
                <w:sz w:val="19"/>
              </w:rPr>
              <w:t>Variable</w:t>
            </w:r>
          </w:p>
        </w:tc>
        <w:tc>
          <w:tcPr>
            <w:tcW w:w="4819" w:type="dxa"/>
            <w:shd w:val="clear" w:color="auto" w:fill="1F3A5F"/>
          </w:tcPr>
          <w:p w14:paraId="32C2E1B9" w14:textId="77777777" w:rsidR="005A03C4" w:rsidRDefault="00000000">
            <w:r>
              <w:rPr>
                <w:b/>
                <w:color w:val="FFFFFF"/>
                <w:sz w:val="19"/>
              </w:rPr>
              <w:t>Descripción</w:t>
            </w:r>
          </w:p>
        </w:tc>
        <w:tc>
          <w:tcPr>
            <w:tcW w:w="1984" w:type="dxa"/>
            <w:shd w:val="clear" w:color="auto" w:fill="1F3A5F"/>
          </w:tcPr>
          <w:p w14:paraId="795A482D" w14:textId="77777777" w:rsidR="005A03C4" w:rsidRDefault="00000000">
            <w:r>
              <w:rPr>
                <w:b/>
                <w:color w:val="FFFFFF"/>
                <w:sz w:val="19"/>
              </w:rPr>
              <w:t>Tipo</w:t>
            </w:r>
          </w:p>
        </w:tc>
      </w:tr>
      <w:tr w:rsidR="005A03C4" w14:paraId="180B8071" w14:textId="77777777">
        <w:trPr>
          <w:jc w:val="center"/>
        </w:trPr>
        <w:tc>
          <w:tcPr>
            <w:tcW w:w="454" w:type="dxa"/>
          </w:tcPr>
          <w:p w14:paraId="04E8D3DB" w14:textId="77777777" w:rsidR="005A03C4" w:rsidRDefault="00000000">
            <w:r>
              <w:rPr>
                <w:sz w:val="19"/>
              </w:rPr>
              <w:t>1</w:t>
            </w:r>
          </w:p>
        </w:tc>
        <w:tc>
          <w:tcPr>
            <w:tcW w:w="1247" w:type="dxa"/>
          </w:tcPr>
          <w:p w14:paraId="73142669" w14:textId="77777777" w:rsidR="005A03C4" w:rsidRDefault="00000000">
            <w:r>
              <w:rPr>
                <w:sz w:val="19"/>
              </w:rPr>
              <w:t>HV271</w:t>
            </w:r>
          </w:p>
        </w:tc>
        <w:tc>
          <w:tcPr>
            <w:tcW w:w="4819" w:type="dxa"/>
          </w:tcPr>
          <w:p w14:paraId="671290A4" w14:textId="77777777" w:rsidR="005A03C4" w:rsidRPr="00B35ACF" w:rsidRDefault="00000000">
            <w:pPr>
              <w:rPr>
                <w:lang w:val="es-ES"/>
              </w:rPr>
            </w:pPr>
            <w:r w:rsidRPr="00B35ACF">
              <w:rPr>
                <w:sz w:val="19"/>
                <w:lang w:val="es-ES"/>
              </w:rPr>
              <w:t>Índice de riqueza del hogar (score continuo)</w:t>
            </w:r>
          </w:p>
        </w:tc>
        <w:tc>
          <w:tcPr>
            <w:tcW w:w="1984" w:type="dxa"/>
          </w:tcPr>
          <w:p w14:paraId="4E43BF37" w14:textId="77777777" w:rsidR="005A03C4" w:rsidRDefault="00000000">
            <w:r>
              <w:rPr>
                <w:sz w:val="19"/>
              </w:rPr>
              <w:t>Socioeconómico</w:t>
            </w:r>
          </w:p>
        </w:tc>
      </w:tr>
      <w:tr w:rsidR="005A03C4" w14:paraId="10E07B68" w14:textId="77777777">
        <w:trPr>
          <w:jc w:val="center"/>
        </w:trPr>
        <w:tc>
          <w:tcPr>
            <w:tcW w:w="454" w:type="dxa"/>
          </w:tcPr>
          <w:p w14:paraId="0C4B3244" w14:textId="77777777" w:rsidR="005A03C4" w:rsidRDefault="00000000">
            <w:r>
              <w:rPr>
                <w:sz w:val="19"/>
              </w:rPr>
              <w:t>2</w:t>
            </w:r>
          </w:p>
        </w:tc>
        <w:tc>
          <w:tcPr>
            <w:tcW w:w="1247" w:type="dxa"/>
          </w:tcPr>
          <w:p w14:paraId="3BD40B8F" w14:textId="77777777" w:rsidR="005A03C4" w:rsidRDefault="00000000">
            <w:r>
              <w:rPr>
                <w:sz w:val="19"/>
              </w:rPr>
              <w:t>m19</w:t>
            </w:r>
          </w:p>
        </w:tc>
        <w:tc>
          <w:tcPr>
            <w:tcW w:w="4819" w:type="dxa"/>
          </w:tcPr>
          <w:p w14:paraId="50CC30E9" w14:textId="77777777" w:rsidR="005A03C4" w:rsidRDefault="00000000">
            <w:r>
              <w:rPr>
                <w:sz w:val="19"/>
              </w:rPr>
              <w:t>Peso al nacer (kg)</w:t>
            </w:r>
          </w:p>
        </w:tc>
        <w:tc>
          <w:tcPr>
            <w:tcW w:w="1984" w:type="dxa"/>
          </w:tcPr>
          <w:p w14:paraId="447D2AD1" w14:textId="77777777" w:rsidR="005A03C4" w:rsidRDefault="00000000">
            <w:r>
              <w:rPr>
                <w:sz w:val="19"/>
              </w:rPr>
              <w:t>Biológico-prenatal</w:t>
            </w:r>
          </w:p>
        </w:tc>
      </w:tr>
      <w:tr w:rsidR="005A03C4" w14:paraId="25A9146F" w14:textId="77777777">
        <w:trPr>
          <w:jc w:val="center"/>
        </w:trPr>
        <w:tc>
          <w:tcPr>
            <w:tcW w:w="454" w:type="dxa"/>
          </w:tcPr>
          <w:p w14:paraId="0EEAF257" w14:textId="77777777" w:rsidR="005A03C4" w:rsidRDefault="00000000">
            <w:r>
              <w:rPr>
                <w:sz w:val="19"/>
              </w:rPr>
              <w:t>3</w:t>
            </w:r>
          </w:p>
        </w:tc>
        <w:tc>
          <w:tcPr>
            <w:tcW w:w="1247" w:type="dxa"/>
          </w:tcPr>
          <w:p w14:paraId="665FB7DD" w14:textId="77777777" w:rsidR="005A03C4" w:rsidRDefault="00000000">
            <w:r>
              <w:rPr>
                <w:sz w:val="19"/>
              </w:rPr>
              <w:t>HV040</w:t>
            </w:r>
          </w:p>
        </w:tc>
        <w:tc>
          <w:tcPr>
            <w:tcW w:w="4819" w:type="dxa"/>
          </w:tcPr>
          <w:p w14:paraId="011D8556" w14:textId="77777777" w:rsidR="005A03C4" w:rsidRDefault="00000000">
            <w:r>
              <w:rPr>
                <w:sz w:val="19"/>
              </w:rPr>
              <w:t>Altitud del conglomerado (metros)</w:t>
            </w:r>
          </w:p>
        </w:tc>
        <w:tc>
          <w:tcPr>
            <w:tcW w:w="1984" w:type="dxa"/>
          </w:tcPr>
          <w:p w14:paraId="6490E4DE" w14:textId="77777777" w:rsidR="005A03C4" w:rsidRDefault="00000000">
            <w:r>
              <w:rPr>
                <w:sz w:val="19"/>
              </w:rPr>
              <w:t>Geográfico-fisiológico</w:t>
            </w:r>
          </w:p>
        </w:tc>
      </w:tr>
      <w:tr w:rsidR="005A03C4" w14:paraId="6DE35ACC" w14:textId="77777777">
        <w:trPr>
          <w:jc w:val="center"/>
        </w:trPr>
        <w:tc>
          <w:tcPr>
            <w:tcW w:w="454" w:type="dxa"/>
          </w:tcPr>
          <w:p w14:paraId="6281A7F6" w14:textId="77777777" w:rsidR="005A03C4" w:rsidRDefault="00000000">
            <w:r>
              <w:rPr>
                <w:sz w:val="19"/>
              </w:rPr>
              <w:t>4</w:t>
            </w:r>
          </w:p>
        </w:tc>
        <w:tc>
          <w:tcPr>
            <w:tcW w:w="1247" w:type="dxa"/>
          </w:tcPr>
          <w:p w14:paraId="231566B4" w14:textId="77777777" w:rsidR="005A03C4" w:rsidRDefault="00000000">
            <w:r>
              <w:rPr>
                <w:sz w:val="19"/>
              </w:rPr>
              <w:t>HC1</w:t>
            </w:r>
          </w:p>
        </w:tc>
        <w:tc>
          <w:tcPr>
            <w:tcW w:w="4819" w:type="dxa"/>
          </w:tcPr>
          <w:p w14:paraId="0711D52C" w14:textId="77777777" w:rsidR="005A03C4" w:rsidRPr="00B35ACF" w:rsidRDefault="00000000">
            <w:pPr>
              <w:rPr>
                <w:lang w:val="es-ES"/>
              </w:rPr>
            </w:pPr>
            <w:r w:rsidRPr="00B35ACF">
              <w:rPr>
                <w:sz w:val="19"/>
                <w:lang w:val="es-ES"/>
              </w:rPr>
              <w:t>Edad del niño en meses</w:t>
            </w:r>
          </w:p>
        </w:tc>
        <w:tc>
          <w:tcPr>
            <w:tcW w:w="1984" w:type="dxa"/>
          </w:tcPr>
          <w:p w14:paraId="522B9AED" w14:textId="77777777" w:rsidR="005A03C4" w:rsidRDefault="00000000">
            <w:r>
              <w:rPr>
                <w:sz w:val="19"/>
              </w:rPr>
              <w:t>Ventana crítica 1000 días</w:t>
            </w:r>
          </w:p>
        </w:tc>
      </w:tr>
      <w:tr w:rsidR="005A03C4" w14:paraId="51D96BD4" w14:textId="77777777">
        <w:trPr>
          <w:jc w:val="center"/>
        </w:trPr>
        <w:tc>
          <w:tcPr>
            <w:tcW w:w="454" w:type="dxa"/>
          </w:tcPr>
          <w:p w14:paraId="461F491B" w14:textId="77777777" w:rsidR="005A03C4" w:rsidRDefault="00000000">
            <w:r>
              <w:rPr>
                <w:sz w:val="19"/>
              </w:rPr>
              <w:t>5</w:t>
            </w:r>
          </w:p>
        </w:tc>
        <w:tc>
          <w:tcPr>
            <w:tcW w:w="1247" w:type="dxa"/>
          </w:tcPr>
          <w:p w14:paraId="39447A88" w14:textId="77777777" w:rsidR="005A03C4" w:rsidRDefault="00000000">
            <w:r>
              <w:rPr>
                <w:sz w:val="19"/>
              </w:rPr>
              <w:t>HC56</w:t>
            </w:r>
          </w:p>
        </w:tc>
        <w:tc>
          <w:tcPr>
            <w:tcW w:w="4819" w:type="dxa"/>
          </w:tcPr>
          <w:p w14:paraId="131D9890" w14:textId="77777777" w:rsidR="005A03C4" w:rsidRPr="00B35ACF" w:rsidRDefault="00000000">
            <w:pPr>
              <w:rPr>
                <w:lang w:val="es-ES"/>
              </w:rPr>
            </w:pPr>
            <w:r w:rsidRPr="00B35ACF">
              <w:rPr>
                <w:sz w:val="19"/>
                <w:lang w:val="es-ES"/>
              </w:rPr>
              <w:t>Hemoglobina ajustada por altitud (INEI)</w:t>
            </w:r>
          </w:p>
        </w:tc>
        <w:tc>
          <w:tcPr>
            <w:tcW w:w="1984" w:type="dxa"/>
          </w:tcPr>
          <w:p w14:paraId="71728807" w14:textId="77777777" w:rsidR="005A03C4" w:rsidRDefault="00000000">
            <w:r>
              <w:rPr>
                <w:sz w:val="19"/>
              </w:rPr>
              <w:t>Clínico-ambiental</w:t>
            </w:r>
          </w:p>
        </w:tc>
      </w:tr>
      <w:tr w:rsidR="005A03C4" w14:paraId="06B233F7" w14:textId="77777777">
        <w:trPr>
          <w:jc w:val="center"/>
        </w:trPr>
        <w:tc>
          <w:tcPr>
            <w:tcW w:w="454" w:type="dxa"/>
          </w:tcPr>
          <w:p w14:paraId="1D0A8473" w14:textId="77777777" w:rsidR="005A03C4" w:rsidRDefault="00000000">
            <w:r>
              <w:rPr>
                <w:sz w:val="19"/>
              </w:rPr>
              <w:t>6</w:t>
            </w:r>
          </w:p>
        </w:tc>
        <w:tc>
          <w:tcPr>
            <w:tcW w:w="1247" w:type="dxa"/>
          </w:tcPr>
          <w:p w14:paraId="378800DA" w14:textId="77777777" w:rsidR="005A03C4" w:rsidRDefault="00000000">
            <w:r>
              <w:rPr>
                <w:sz w:val="19"/>
              </w:rPr>
              <w:t>HC63</w:t>
            </w:r>
          </w:p>
        </w:tc>
        <w:tc>
          <w:tcPr>
            <w:tcW w:w="4819" w:type="dxa"/>
          </w:tcPr>
          <w:p w14:paraId="77957333" w14:textId="77777777" w:rsidR="005A03C4" w:rsidRDefault="00000000">
            <w:r>
              <w:rPr>
                <w:sz w:val="19"/>
              </w:rPr>
              <w:t>Intervalo desde nacimiento anterior</w:t>
            </w:r>
          </w:p>
        </w:tc>
        <w:tc>
          <w:tcPr>
            <w:tcW w:w="1984" w:type="dxa"/>
          </w:tcPr>
          <w:p w14:paraId="3B715AB9" w14:textId="77777777" w:rsidR="005A03C4" w:rsidRDefault="00000000">
            <w:r>
              <w:rPr>
                <w:sz w:val="19"/>
              </w:rPr>
              <w:t>Biológico</w:t>
            </w:r>
          </w:p>
        </w:tc>
      </w:tr>
      <w:tr w:rsidR="005A03C4" w14:paraId="68758456" w14:textId="77777777">
        <w:trPr>
          <w:jc w:val="center"/>
        </w:trPr>
        <w:tc>
          <w:tcPr>
            <w:tcW w:w="454" w:type="dxa"/>
          </w:tcPr>
          <w:p w14:paraId="7D804C84" w14:textId="77777777" w:rsidR="005A03C4" w:rsidRDefault="00000000">
            <w:r>
              <w:rPr>
                <w:sz w:val="19"/>
              </w:rPr>
              <w:t>7</w:t>
            </w:r>
          </w:p>
        </w:tc>
        <w:tc>
          <w:tcPr>
            <w:tcW w:w="1247" w:type="dxa"/>
          </w:tcPr>
          <w:p w14:paraId="3E04503A" w14:textId="77777777" w:rsidR="005A03C4" w:rsidRDefault="00000000">
            <w:r>
              <w:rPr>
                <w:sz w:val="19"/>
              </w:rPr>
              <w:t>M4</w:t>
            </w:r>
          </w:p>
        </w:tc>
        <w:tc>
          <w:tcPr>
            <w:tcW w:w="4819" w:type="dxa"/>
          </w:tcPr>
          <w:p w14:paraId="468686AE" w14:textId="77777777" w:rsidR="005A03C4" w:rsidRPr="00B35ACF" w:rsidRDefault="00000000">
            <w:pPr>
              <w:rPr>
                <w:lang w:val="es-ES"/>
              </w:rPr>
            </w:pPr>
            <w:r w:rsidRPr="00B35ACF">
              <w:rPr>
                <w:sz w:val="19"/>
                <w:lang w:val="es-ES"/>
              </w:rPr>
              <w:t>Duración total de la lactancia</w:t>
            </w:r>
          </w:p>
        </w:tc>
        <w:tc>
          <w:tcPr>
            <w:tcW w:w="1984" w:type="dxa"/>
          </w:tcPr>
          <w:p w14:paraId="31E9913C" w14:textId="77777777" w:rsidR="005A03C4" w:rsidRDefault="00000000">
            <w:r>
              <w:rPr>
                <w:sz w:val="19"/>
              </w:rPr>
              <w:t>Biológico-prenatal</w:t>
            </w:r>
          </w:p>
        </w:tc>
      </w:tr>
      <w:tr w:rsidR="005A03C4" w14:paraId="3606D22C" w14:textId="77777777">
        <w:trPr>
          <w:jc w:val="center"/>
        </w:trPr>
        <w:tc>
          <w:tcPr>
            <w:tcW w:w="454" w:type="dxa"/>
          </w:tcPr>
          <w:p w14:paraId="7F62B367" w14:textId="77777777" w:rsidR="005A03C4" w:rsidRDefault="00000000">
            <w:r>
              <w:rPr>
                <w:sz w:val="19"/>
              </w:rPr>
              <w:t>8</w:t>
            </w:r>
          </w:p>
        </w:tc>
        <w:tc>
          <w:tcPr>
            <w:tcW w:w="1247" w:type="dxa"/>
          </w:tcPr>
          <w:p w14:paraId="0889604C" w14:textId="77777777" w:rsidR="005A03C4" w:rsidRDefault="00000000">
            <w:r>
              <w:rPr>
                <w:sz w:val="19"/>
              </w:rPr>
              <w:t>HV220</w:t>
            </w:r>
          </w:p>
        </w:tc>
        <w:tc>
          <w:tcPr>
            <w:tcW w:w="4819" w:type="dxa"/>
          </w:tcPr>
          <w:p w14:paraId="193FEA0D" w14:textId="77777777" w:rsidR="005A03C4" w:rsidRPr="00B35ACF" w:rsidRDefault="00000000">
            <w:pPr>
              <w:rPr>
                <w:lang w:val="es-ES"/>
              </w:rPr>
            </w:pPr>
            <w:r w:rsidRPr="00B35ACF">
              <w:rPr>
                <w:sz w:val="19"/>
                <w:lang w:val="es-ES"/>
              </w:rPr>
              <w:t>Edad del jefe del hogar</w:t>
            </w:r>
          </w:p>
        </w:tc>
        <w:tc>
          <w:tcPr>
            <w:tcW w:w="1984" w:type="dxa"/>
          </w:tcPr>
          <w:p w14:paraId="4402AF2B" w14:textId="77777777" w:rsidR="005A03C4" w:rsidRDefault="00000000">
            <w:r>
              <w:rPr>
                <w:sz w:val="19"/>
              </w:rPr>
              <w:t>Socioeconómico</w:t>
            </w:r>
          </w:p>
        </w:tc>
      </w:tr>
      <w:tr w:rsidR="005A03C4" w14:paraId="35C7B397" w14:textId="77777777">
        <w:trPr>
          <w:jc w:val="center"/>
        </w:trPr>
        <w:tc>
          <w:tcPr>
            <w:tcW w:w="454" w:type="dxa"/>
          </w:tcPr>
          <w:p w14:paraId="3EB9BBC0" w14:textId="77777777" w:rsidR="005A03C4" w:rsidRDefault="00000000">
            <w:r>
              <w:rPr>
                <w:sz w:val="19"/>
              </w:rPr>
              <w:t>9</w:t>
            </w:r>
          </w:p>
        </w:tc>
        <w:tc>
          <w:tcPr>
            <w:tcW w:w="1247" w:type="dxa"/>
          </w:tcPr>
          <w:p w14:paraId="76647F73" w14:textId="77777777" w:rsidR="005A03C4" w:rsidRDefault="00000000">
            <w:r>
              <w:rPr>
                <w:sz w:val="19"/>
              </w:rPr>
              <w:t>M46</w:t>
            </w:r>
          </w:p>
        </w:tc>
        <w:tc>
          <w:tcPr>
            <w:tcW w:w="4819" w:type="dxa"/>
          </w:tcPr>
          <w:p w14:paraId="087A62A8" w14:textId="77777777" w:rsidR="005A03C4" w:rsidRPr="00B35ACF" w:rsidRDefault="00000000">
            <w:pPr>
              <w:rPr>
                <w:lang w:val="es-ES"/>
              </w:rPr>
            </w:pPr>
            <w:r w:rsidRPr="00B35ACF">
              <w:rPr>
                <w:sz w:val="19"/>
                <w:lang w:val="es-ES"/>
              </w:rPr>
              <w:t>Días de suplemento de hierro en gestación</w:t>
            </w:r>
          </w:p>
        </w:tc>
        <w:tc>
          <w:tcPr>
            <w:tcW w:w="1984" w:type="dxa"/>
          </w:tcPr>
          <w:p w14:paraId="5A276E84" w14:textId="77777777" w:rsidR="005A03C4" w:rsidRDefault="00000000">
            <w:r>
              <w:rPr>
                <w:sz w:val="19"/>
              </w:rPr>
              <w:t>Clínico-prenatal</w:t>
            </w:r>
          </w:p>
        </w:tc>
      </w:tr>
      <w:tr w:rsidR="005A03C4" w14:paraId="5DCC6619" w14:textId="77777777">
        <w:trPr>
          <w:jc w:val="center"/>
        </w:trPr>
        <w:tc>
          <w:tcPr>
            <w:tcW w:w="454" w:type="dxa"/>
          </w:tcPr>
          <w:p w14:paraId="49418870" w14:textId="77777777" w:rsidR="005A03C4" w:rsidRDefault="00000000">
            <w:r>
              <w:rPr>
                <w:sz w:val="19"/>
              </w:rPr>
              <w:t>10</w:t>
            </w:r>
          </w:p>
        </w:tc>
        <w:tc>
          <w:tcPr>
            <w:tcW w:w="1247" w:type="dxa"/>
          </w:tcPr>
          <w:p w14:paraId="721C0FB2" w14:textId="77777777" w:rsidR="005A03C4" w:rsidRDefault="00000000">
            <w:r>
              <w:rPr>
                <w:sz w:val="19"/>
              </w:rPr>
              <w:t>M18</w:t>
            </w:r>
          </w:p>
        </w:tc>
        <w:tc>
          <w:tcPr>
            <w:tcW w:w="4819" w:type="dxa"/>
          </w:tcPr>
          <w:p w14:paraId="399305CB" w14:textId="77777777" w:rsidR="005A03C4" w:rsidRPr="00B35ACF" w:rsidRDefault="00000000">
            <w:pPr>
              <w:rPr>
                <w:lang w:val="es-ES"/>
              </w:rPr>
            </w:pPr>
            <w:r w:rsidRPr="00B35ACF">
              <w:rPr>
                <w:sz w:val="19"/>
                <w:lang w:val="es-ES"/>
              </w:rPr>
              <w:t>Tamaño al nacer (percepción materna)</w:t>
            </w:r>
          </w:p>
        </w:tc>
        <w:tc>
          <w:tcPr>
            <w:tcW w:w="1984" w:type="dxa"/>
          </w:tcPr>
          <w:p w14:paraId="58520666" w14:textId="77777777" w:rsidR="005A03C4" w:rsidRDefault="00000000">
            <w:r>
              <w:rPr>
                <w:sz w:val="19"/>
              </w:rPr>
              <w:t>Biológico-prenatal</w:t>
            </w:r>
          </w:p>
        </w:tc>
      </w:tr>
    </w:tbl>
    <w:p w14:paraId="0575AE45" w14:textId="77777777" w:rsidR="005A03C4" w:rsidRDefault="005A03C4"/>
    <w:p w14:paraId="0EAB30BC" w14:textId="77777777" w:rsidR="005A03C4" w:rsidRPr="00B35ACF" w:rsidRDefault="00000000">
      <w:pPr>
        <w:rPr>
          <w:lang w:val="es-ES"/>
        </w:rPr>
      </w:pPr>
      <w:r w:rsidRPr="00B35ACF">
        <w:rPr>
          <w:lang w:val="es-ES"/>
        </w:rPr>
        <w:t>El índice de riqueza del hogar es el factor dominante: un valor bajo en este índice empuja fuertemente la predicción hacia desnutrición. El peso al nacer ocupa el segundo lugar, señalando que la desventaja biológica del niño se origina antes del nacimiento. La altitud, en tercer lugar, introduce un componente geográfico-fisiológico que se detalla en la sección siguiente. La edad en meses confirma la ventana crítica de los primeros 1000 días identificada en la fase exploratoria.</w:t>
      </w:r>
    </w:p>
    <w:p w14:paraId="58796174" w14:textId="77777777" w:rsidR="005A03C4" w:rsidRPr="00B35ACF" w:rsidRDefault="00000000">
      <w:pPr>
        <w:pStyle w:val="Heading2"/>
        <w:rPr>
          <w:lang w:val="es-ES"/>
        </w:rPr>
      </w:pPr>
      <w:r w:rsidRPr="00B35ACF">
        <w:rPr>
          <w:lang w:val="es-ES"/>
        </w:rPr>
        <w:t>4.2 Variación regional del riesgo</w:t>
      </w:r>
    </w:p>
    <w:p w14:paraId="439C9215" w14:textId="77777777" w:rsidR="005A03C4" w:rsidRPr="00B35ACF" w:rsidRDefault="00000000">
      <w:pPr>
        <w:rPr>
          <w:lang w:val="es-ES"/>
        </w:rPr>
      </w:pPr>
      <w:r w:rsidRPr="00B35ACF">
        <w:rPr>
          <w:lang w:val="es-ES"/>
        </w:rPr>
        <w:t>El riesgo de desnutrición crónica no tiene una causa única a nivel nacional: cambia de composición según la región natural.</w:t>
      </w:r>
    </w:p>
    <w:tbl>
      <w:tblPr>
        <w:tblStyle w:val="TableGrid"/>
        <w:tblW w:w="0" w:type="auto"/>
        <w:jc w:val="center"/>
        <w:tblLook w:val="04A0" w:firstRow="1" w:lastRow="0" w:firstColumn="1" w:lastColumn="0" w:noHBand="0" w:noVBand="1"/>
      </w:tblPr>
      <w:tblGrid>
        <w:gridCol w:w="2268"/>
        <w:gridCol w:w="2098"/>
        <w:gridCol w:w="2098"/>
        <w:gridCol w:w="2098"/>
      </w:tblGrid>
      <w:tr w:rsidR="005A03C4" w14:paraId="117BD709" w14:textId="77777777">
        <w:trPr>
          <w:jc w:val="center"/>
        </w:trPr>
        <w:tc>
          <w:tcPr>
            <w:tcW w:w="2268" w:type="dxa"/>
            <w:shd w:val="clear" w:color="auto" w:fill="1F3A5F"/>
          </w:tcPr>
          <w:p w14:paraId="689CFB87" w14:textId="77777777" w:rsidR="005A03C4" w:rsidRDefault="00000000">
            <w:r>
              <w:rPr>
                <w:b/>
                <w:color w:val="FFFFFF"/>
                <w:sz w:val="19"/>
              </w:rPr>
              <w:lastRenderedPageBreak/>
              <w:t>Variable</w:t>
            </w:r>
          </w:p>
        </w:tc>
        <w:tc>
          <w:tcPr>
            <w:tcW w:w="2098" w:type="dxa"/>
            <w:shd w:val="clear" w:color="auto" w:fill="1F3A5F"/>
          </w:tcPr>
          <w:p w14:paraId="696A6A51" w14:textId="77777777" w:rsidR="005A03C4" w:rsidRDefault="00000000">
            <w:r>
              <w:rPr>
                <w:b/>
                <w:color w:val="FFFFFF"/>
                <w:sz w:val="19"/>
              </w:rPr>
              <w:t>Costa</w:t>
            </w:r>
          </w:p>
        </w:tc>
        <w:tc>
          <w:tcPr>
            <w:tcW w:w="2098" w:type="dxa"/>
            <w:shd w:val="clear" w:color="auto" w:fill="1F3A5F"/>
          </w:tcPr>
          <w:p w14:paraId="327DA46E" w14:textId="77777777" w:rsidR="005A03C4" w:rsidRDefault="00000000">
            <w:r>
              <w:rPr>
                <w:b/>
                <w:color w:val="FFFFFF"/>
                <w:sz w:val="19"/>
              </w:rPr>
              <w:t>Sierra</w:t>
            </w:r>
          </w:p>
        </w:tc>
        <w:tc>
          <w:tcPr>
            <w:tcW w:w="2098" w:type="dxa"/>
            <w:shd w:val="clear" w:color="auto" w:fill="1F3A5F"/>
          </w:tcPr>
          <w:p w14:paraId="1919E53B" w14:textId="77777777" w:rsidR="005A03C4" w:rsidRDefault="00000000">
            <w:r>
              <w:rPr>
                <w:b/>
                <w:color w:val="FFFFFF"/>
                <w:sz w:val="19"/>
              </w:rPr>
              <w:t>Selva</w:t>
            </w:r>
          </w:p>
        </w:tc>
      </w:tr>
      <w:tr w:rsidR="005A03C4" w14:paraId="2CE0A3D8" w14:textId="77777777">
        <w:trPr>
          <w:jc w:val="center"/>
        </w:trPr>
        <w:tc>
          <w:tcPr>
            <w:tcW w:w="2268" w:type="dxa"/>
          </w:tcPr>
          <w:p w14:paraId="56F53C80" w14:textId="77777777" w:rsidR="005A03C4" w:rsidRDefault="00000000">
            <w:r>
              <w:rPr>
                <w:sz w:val="19"/>
              </w:rPr>
              <w:t>Índice de riqueza</w:t>
            </w:r>
          </w:p>
        </w:tc>
        <w:tc>
          <w:tcPr>
            <w:tcW w:w="2098" w:type="dxa"/>
          </w:tcPr>
          <w:p w14:paraId="191ED83D" w14:textId="77777777" w:rsidR="005A03C4" w:rsidRDefault="00000000">
            <w:r>
              <w:rPr>
                <w:sz w:val="19"/>
              </w:rPr>
              <w:t>Alto impacto</w:t>
            </w:r>
          </w:p>
        </w:tc>
        <w:tc>
          <w:tcPr>
            <w:tcW w:w="2098" w:type="dxa"/>
          </w:tcPr>
          <w:p w14:paraId="4F5A588D" w14:textId="77777777" w:rsidR="005A03C4" w:rsidRDefault="00000000">
            <w:r>
              <w:rPr>
                <w:sz w:val="19"/>
              </w:rPr>
              <w:t>Alto impacto</w:t>
            </w:r>
          </w:p>
        </w:tc>
        <w:tc>
          <w:tcPr>
            <w:tcW w:w="2098" w:type="dxa"/>
          </w:tcPr>
          <w:p w14:paraId="5804027F" w14:textId="77777777" w:rsidR="005A03C4" w:rsidRDefault="00000000">
            <w:r>
              <w:rPr>
                <w:sz w:val="19"/>
              </w:rPr>
              <w:t>Alto impacto</w:t>
            </w:r>
          </w:p>
        </w:tc>
      </w:tr>
      <w:tr w:rsidR="005A03C4" w14:paraId="0BB564A1" w14:textId="77777777">
        <w:trPr>
          <w:jc w:val="center"/>
        </w:trPr>
        <w:tc>
          <w:tcPr>
            <w:tcW w:w="2268" w:type="dxa"/>
          </w:tcPr>
          <w:p w14:paraId="40FA69EA" w14:textId="77777777" w:rsidR="005A03C4" w:rsidRDefault="00000000">
            <w:r>
              <w:rPr>
                <w:sz w:val="19"/>
              </w:rPr>
              <w:t>Altitud (HV040)</w:t>
            </w:r>
          </w:p>
        </w:tc>
        <w:tc>
          <w:tcPr>
            <w:tcW w:w="2098" w:type="dxa"/>
          </w:tcPr>
          <w:p w14:paraId="61BE04AE" w14:textId="77777777" w:rsidR="005A03C4" w:rsidRDefault="00000000">
            <w:r>
              <w:rPr>
                <w:sz w:val="19"/>
              </w:rPr>
              <w:t>Impacto mínimo</w:t>
            </w:r>
          </w:p>
        </w:tc>
        <w:tc>
          <w:tcPr>
            <w:tcW w:w="2098" w:type="dxa"/>
          </w:tcPr>
          <w:p w14:paraId="51C67CC6" w14:textId="77777777" w:rsidR="005A03C4" w:rsidRDefault="00000000">
            <w:r>
              <w:rPr>
                <w:sz w:val="19"/>
              </w:rPr>
              <w:t>Impacto máximo</w:t>
            </w:r>
          </w:p>
        </w:tc>
        <w:tc>
          <w:tcPr>
            <w:tcW w:w="2098" w:type="dxa"/>
          </w:tcPr>
          <w:p w14:paraId="46AD918B" w14:textId="77777777" w:rsidR="005A03C4" w:rsidRDefault="00000000">
            <w:r>
              <w:rPr>
                <w:sz w:val="19"/>
              </w:rPr>
              <w:t>Impacto bajo</w:t>
            </w:r>
          </w:p>
        </w:tc>
      </w:tr>
      <w:tr w:rsidR="005A03C4" w14:paraId="5F511405" w14:textId="77777777">
        <w:trPr>
          <w:jc w:val="center"/>
        </w:trPr>
        <w:tc>
          <w:tcPr>
            <w:tcW w:w="2268" w:type="dxa"/>
          </w:tcPr>
          <w:p w14:paraId="48E233E1" w14:textId="77777777" w:rsidR="005A03C4" w:rsidRDefault="00000000">
            <w:r>
              <w:rPr>
                <w:sz w:val="19"/>
              </w:rPr>
              <w:t>Hemoglobina (HC56)</w:t>
            </w:r>
          </w:p>
        </w:tc>
        <w:tc>
          <w:tcPr>
            <w:tcW w:w="2098" w:type="dxa"/>
          </w:tcPr>
          <w:p w14:paraId="28ED0BD7" w14:textId="77777777" w:rsidR="005A03C4" w:rsidRDefault="00000000">
            <w:r>
              <w:rPr>
                <w:sz w:val="19"/>
              </w:rPr>
              <w:t>Impacto bajo</w:t>
            </w:r>
          </w:p>
        </w:tc>
        <w:tc>
          <w:tcPr>
            <w:tcW w:w="2098" w:type="dxa"/>
          </w:tcPr>
          <w:p w14:paraId="28EC0D6D" w14:textId="77777777" w:rsidR="005A03C4" w:rsidRDefault="00000000">
            <w:r>
              <w:rPr>
                <w:sz w:val="19"/>
              </w:rPr>
              <w:t>Impacto elevado</w:t>
            </w:r>
          </w:p>
        </w:tc>
        <w:tc>
          <w:tcPr>
            <w:tcW w:w="2098" w:type="dxa"/>
          </w:tcPr>
          <w:p w14:paraId="02CBCBAB" w14:textId="77777777" w:rsidR="005A03C4" w:rsidRDefault="00000000">
            <w:r>
              <w:rPr>
                <w:sz w:val="19"/>
              </w:rPr>
              <w:t>Impacto bajo</w:t>
            </w:r>
          </w:p>
        </w:tc>
      </w:tr>
      <w:tr w:rsidR="005A03C4" w14:paraId="762BAE1E" w14:textId="77777777">
        <w:trPr>
          <w:jc w:val="center"/>
        </w:trPr>
        <w:tc>
          <w:tcPr>
            <w:tcW w:w="2268" w:type="dxa"/>
          </w:tcPr>
          <w:p w14:paraId="4479E6CD" w14:textId="77777777" w:rsidR="005A03C4" w:rsidRDefault="00000000">
            <w:r>
              <w:rPr>
                <w:sz w:val="19"/>
              </w:rPr>
              <w:t>Peso al nacer (m19)</w:t>
            </w:r>
          </w:p>
        </w:tc>
        <w:tc>
          <w:tcPr>
            <w:tcW w:w="2098" w:type="dxa"/>
          </w:tcPr>
          <w:p w14:paraId="13980EEE" w14:textId="77777777" w:rsidR="005A03C4" w:rsidRDefault="00000000">
            <w:r>
              <w:rPr>
                <w:sz w:val="19"/>
              </w:rPr>
              <w:t>Impacto moderado</w:t>
            </w:r>
          </w:p>
        </w:tc>
        <w:tc>
          <w:tcPr>
            <w:tcW w:w="2098" w:type="dxa"/>
          </w:tcPr>
          <w:p w14:paraId="4B818CBD" w14:textId="77777777" w:rsidR="005A03C4" w:rsidRDefault="00000000">
            <w:r>
              <w:rPr>
                <w:sz w:val="19"/>
              </w:rPr>
              <w:t>Impacto moderado</w:t>
            </w:r>
          </w:p>
        </w:tc>
        <w:tc>
          <w:tcPr>
            <w:tcW w:w="2098" w:type="dxa"/>
          </w:tcPr>
          <w:p w14:paraId="4401050D" w14:textId="77777777" w:rsidR="005A03C4" w:rsidRDefault="00000000">
            <w:r>
              <w:rPr>
                <w:sz w:val="19"/>
              </w:rPr>
              <w:t>Impacto elevado</w:t>
            </w:r>
          </w:p>
        </w:tc>
      </w:tr>
    </w:tbl>
    <w:p w14:paraId="04C3B268" w14:textId="77777777" w:rsidR="005A03C4" w:rsidRDefault="005A03C4"/>
    <w:p w14:paraId="629FFCD9" w14:textId="77777777" w:rsidR="005A03C4" w:rsidRDefault="00000000">
      <w:pPr>
        <w:jc w:val="center"/>
      </w:pPr>
      <w:r>
        <w:rPr>
          <w:noProof/>
        </w:rPr>
        <w:drawing>
          <wp:inline distT="0" distB="0" distL="0" distR="0" wp14:anchorId="6E67245B" wp14:editId="05EA9DCA">
            <wp:extent cx="5040000" cy="2924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2301305448.png"/>
                    <pic:cNvPicPr/>
                  </pic:nvPicPr>
                  <pic:blipFill>
                    <a:blip r:embed="rId11"/>
                    <a:stretch>
                      <a:fillRect/>
                    </a:stretch>
                  </pic:blipFill>
                  <pic:spPr>
                    <a:xfrm>
                      <a:off x="0" y="0"/>
                      <a:ext cx="5040000" cy="2924811"/>
                    </a:xfrm>
                    <a:prstGeom prst="rect">
                      <a:avLst/>
                    </a:prstGeom>
                  </pic:spPr>
                </pic:pic>
              </a:graphicData>
            </a:graphic>
          </wp:inline>
        </w:drawing>
      </w:r>
    </w:p>
    <w:p w14:paraId="2EB3EC19" w14:textId="77777777" w:rsidR="005A03C4" w:rsidRPr="00B35ACF" w:rsidRDefault="00000000">
      <w:pPr>
        <w:spacing w:after="280"/>
        <w:jc w:val="center"/>
        <w:rPr>
          <w:lang w:val="es-ES"/>
        </w:rPr>
      </w:pPr>
      <w:r w:rsidRPr="00B35ACF">
        <w:rPr>
          <w:i/>
          <w:color w:val="404040"/>
          <w:sz w:val="19"/>
          <w:lang w:val="es-ES"/>
        </w:rPr>
        <w:t>Fuerza del factor de riesgo según región natural (Costa / Sierra / Selva).</w:t>
      </w:r>
    </w:p>
    <w:p w14:paraId="477537B3" w14:textId="77777777" w:rsidR="005A03C4" w:rsidRDefault="00000000">
      <w:pPr>
        <w:jc w:val="center"/>
      </w:pPr>
      <w:r>
        <w:rPr>
          <w:noProof/>
        </w:rPr>
        <w:drawing>
          <wp:inline distT="0" distB="0" distL="0" distR="0" wp14:anchorId="14B4030F" wp14:editId="58E62486">
            <wp:extent cx="4680000" cy="31987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2301321755.png"/>
                    <pic:cNvPicPr/>
                  </pic:nvPicPr>
                  <pic:blipFill>
                    <a:blip r:embed="rId12"/>
                    <a:stretch>
                      <a:fillRect/>
                    </a:stretch>
                  </pic:blipFill>
                  <pic:spPr>
                    <a:xfrm>
                      <a:off x="0" y="0"/>
                      <a:ext cx="4680000" cy="3198701"/>
                    </a:xfrm>
                    <a:prstGeom prst="rect">
                      <a:avLst/>
                    </a:prstGeom>
                  </pic:spPr>
                </pic:pic>
              </a:graphicData>
            </a:graphic>
          </wp:inline>
        </w:drawing>
      </w:r>
    </w:p>
    <w:p w14:paraId="76E6A5D7" w14:textId="77777777" w:rsidR="005A03C4" w:rsidRPr="00B35ACF" w:rsidRDefault="00000000">
      <w:pPr>
        <w:spacing w:after="280"/>
        <w:jc w:val="center"/>
        <w:rPr>
          <w:lang w:val="es-ES"/>
        </w:rPr>
      </w:pPr>
      <w:r w:rsidRPr="00B35ACF">
        <w:rPr>
          <w:i/>
          <w:color w:val="404040"/>
          <w:sz w:val="19"/>
          <w:lang w:val="es-ES"/>
        </w:rPr>
        <w:lastRenderedPageBreak/>
        <w:t>Intensidad relativa del riesgo por departamento (Top 15 variables, normalizado 0–1).</w:t>
      </w:r>
    </w:p>
    <w:p w14:paraId="097524D1" w14:textId="77777777" w:rsidR="005A03C4" w:rsidRPr="00B35ACF" w:rsidRDefault="00000000">
      <w:pPr>
        <w:rPr>
          <w:lang w:val="es-ES"/>
        </w:rPr>
      </w:pPr>
      <w:r w:rsidRPr="00B35ACF">
        <w:rPr>
          <w:lang w:val="es-ES"/>
        </w:rPr>
        <w:t>En la Costa, el determinante es casi exclusivamente socioeconómico. En la Sierra, la altitud y la hemoglobina ajustada emergen como factores adicionales, reflejando el efecto fisiológico de la hipoxia sobre el desarrollo. En la Selva, el peso al nacer es el factor diferencial, asociado a menor cobertura prenatal. Departamentos como Huancavelica y Apurímac muestran la intensidad más alta en altitud y hemoglobina, mientras que Lima y Callao concentran el riesgo en el índice de riqueza. Esta segmentación territorial es directamente accionable: permite que cada gestor regional dirija intervenciones distintas según el factor dominante en su zona.</w:t>
      </w:r>
    </w:p>
    <w:p w14:paraId="6E121534" w14:textId="77777777" w:rsidR="005A03C4" w:rsidRPr="00B35ACF" w:rsidRDefault="00000000">
      <w:pPr>
        <w:pStyle w:val="Heading1"/>
        <w:rPr>
          <w:lang w:val="es-ES"/>
        </w:rPr>
      </w:pPr>
      <w:r w:rsidRPr="00B35ACF">
        <w:rPr>
          <w:lang w:val="es-ES"/>
        </w:rPr>
        <w:t>5. Despliegue del Sistema</w:t>
      </w:r>
    </w:p>
    <w:p w14:paraId="46C45D55" w14:textId="77777777" w:rsidR="005A03C4" w:rsidRPr="00B35ACF" w:rsidRDefault="00000000">
      <w:pPr>
        <w:rPr>
          <w:lang w:val="es-ES"/>
        </w:rPr>
      </w:pPr>
      <w:r w:rsidRPr="00B35ACF">
        <w:rPr>
          <w:lang w:val="es-ES"/>
        </w:rPr>
        <w:t>El modelo se integró en una aplicación web (Python, Streamlit, Plotly, LightGBM) con dos módulos: un mapa de riesgo territorial interactivo por los 25 departamentos del Perú, y un predictor individual (17 variables principales más 26 complementarias) con respuesta en menos de 1 segundo. El operador no ajusta un umbral técnico: define el porcentaje de detección objetivo (por ejemplo, 80%) y el sistema calcula automáticamente el punto de corte que logra esa cobertura, mostrando el costo asociado en visitas preventivas adicionales.</w:t>
      </w:r>
    </w:p>
    <w:p w14:paraId="763D6004" w14:textId="77777777" w:rsidR="005A03C4" w:rsidRPr="00B35ACF" w:rsidRDefault="00000000">
      <w:pPr>
        <w:pStyle w:val="Heading1"/>
        <w:rPr>
          <w:lang w:val="es-ES"/>
        </w:rPr>
      </w:pPr>
      <w:r w:rsidRPr="00B35ACF">
        <w:rPr>
          <w:lang w:val="es-ES"/>
        </w:rPr>
        <w:t>6. Conclusiones</w:t>
      </w:r>
    </w:p>
    <w:p w14:paraId="2B996700" w14:textId="77777777" w:rsidR="005A03C4" w:rsidRPr="00B35ACF" w:rsidRDefault="00000000">
      <w:pPr>
        <w:rPr>
          <w:lang w:val="es-ES"/>
        </w:rPr>
      </w:pPr>
      <w:r w:rsidRPr="00B35ACF">
        <w:rPr>
          <w:b/>
          <w:lang w:val="es-ES"/>
        </w:rPr>
        <w:t xml:space="preserve">Respuesta a la pregunta de investigación: </w:t>
      </w:r>
      <w:r w:rsidRPr="00B35ACF">
        <w:rPr>
          <w:lang w:val="es-ES"/>
        </w:rPr>
        <w:t>Sí. Un modelo LightGBM entrenado con 18 años de datos de la ENDES (2007–2024) y 43 variables de perfil sociodemográfico logra un AUC-ROC de 0.8308 y un Recall de 76.49%, identificando con datos de encuesta de hogar a la mayoría de los niños con riesgo de desnutrición crónica, sin necesidad de medición antropométrica previa.</w:t>
      </w:r>
    </w:p>
    <w:p w14:paraId="3711340E" w14:textId="77777777" w:rsidR="005A03C4" w:rsidRPr="00B35ACF" w:rsidRDefault="00000000">
      <w:pPr>
        <w:rPr>
          <w:lang w:val="es-ES"/>
        </w:rPr>
      </w:pPr>
      <w:r w:rsidRPr="00B35ACF">
        <w:rPr>
          <w:lang w:val="es-ES"/>
        </w:rPr>
        <w:t>El análisis SHAP confirma que la desnutrición crónica infantil en el Perú es, ante todo, un problema de pobreza estructural, con dos capas adicionales: una biológica-prenatal (peso al nacer, lactancia, suplemento de hierro) y una geográfico-fisiológica (altitud y hemoglobina ajustada), cuya relevancia varía según la región natural.</w:t>
      </w:r>
    </w:p>
    <w:p w14:paraId="2A06DABF" w14:textId="77777777" w:rsidR="005A03C4" w:rsidRPr="00B35ACF" w:rsidRDefault="00000000">
      <w:pPr>
        <w:pStyle w:val="Heading2"/>
        <w:rPr>
          <w:lang w:val="es-ES"/>
        </w:rPr>
      </w:pPr>
      <w:r w:rsidRPr="00B35ACF">
        <w:rPr>
          <w:lang w:val="es-ES"/>
        </w:rPr>
        <w:t>Limitaciones y trabajo futuro</w:t>
      </w:r>
    </w:p>
    <w:p w14:paraId="6402AD2C" w14:textId="77777777" w:rsidR="005A03C4" w:rsidRPr="00B35ACF" w:rsidRDefault="00000000">
      <w:pPr>
        <w:rPr>
          <w:lang w:val="es-ES"/>
        </w:rPr>
      </w:pPr>
      <w:r w:rsidRPr="00B35ACF">
        <w:rPr>
          <w:lang w:val="es-ES"/>
        </w:rPr>
        <w:t>El umbral de clasificación de producción (0.5) no ha sido optimizado para el objetivo de política pública de Recall ≥ 80%; el análisis de escenarios sugiere que un umbral cercano a 0.35 cerraría esa brecha sin reentrenar el modelo, a cambio de un mayor número de falsos positivos. Queda pendiente una evaluación de esa disyuntiva costo-cobertura junto con los responsables de la política de focalización, así como el monitoreo del desempeño del modelo frente a futuras ediciones de la ENDES para detectar un eventual nuevo target drift.</w:t>
      </w:r>
    </w:p>
    <w:sectPr w:rsidR="005A03C4" w:rsidRPr="00B35A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863147">
    <w:abstractNumId w:val="8"/>
  </w:num>
  <w:num w:numId="2" w16cid:durableId="1156649719">
    <w:abstractNumId w:val="6"/>
  </w:num>
  <w:num w:numId="3" w16cid:durableId="1534071663">
    <w:abstractNumId w:val="5"/>
  </w:num>
  <w:num w:numId="4" w16cid:durableId="253782322">
    <w:abstractNumId w:val="4"/>
  </w:num>
  <w:num w:numId="5" w16cid:durableId="553004108">
    <w:abstractNumId w:val="7"/>
  </w:num>
  <w:num w:numId="6" w16cid:durableId="1865508926">
    <w:abstractNumId w:val="3"/>
  </w:num>
  <w:num w:numId="7" w16cid:durableId="1364398493">
    <w:abstractNumId w:val="2"/>
  </w:num>
  <w:num w:numId="8" w16cid:durableId="487403299">
    <w:abstractNumId w:val="1"/>
  </w:num>
  <w:num w:numId="9" w16cid:durableId="147937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0F"/>
    <w:rsid w:val="0015074B"/>
    <w:rsid w:val="0029639D"/>
    <w:rsid w:val="00326F90"/>
    <w:rsid w:val="005A03C4"/>
    <w:rsid w:val="005C1DA1"/>
    <w:rsid w:val="00AA1D8D"/>
    <w:rsid w:val="00B35A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B6C41"/>
  <w14:defaultImageDpi w14:val="300"/>
  <w15:docId w15:val="{E611CF6D-14BF-C044-B3ED-5E90D5C8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1610</Words>
  <Characters>9179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Abel Guevara</cp:lastModifiedBy>
  <cp:revision>4</cp:revision>
  <dcterms:created xsi:type="dcterms:W3CDTF">2013-12-23T23:15:00Z</dcterms:created>
  <dcterms:modified xsi:type="dcterms:W3CDTF">2026-08-18T18:52:12.075Z</dcterms:modified>
  <cp:category/>
</cp:coreProperties>
</file>