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hallazgos-de-validación-del-modelo"/>
    <w:p>
      <w:pPr>
        <w:pStyle w:val="Heading1"/>
      </w:pPr>
      <w:r>
        <w:t xml:space="preserve">Hallazgos de validación del modelo</w:t>
      </w:r>
    </w:p>
    <w:p>
      <w:pPr>
        <w:pStyle w:val="FirstParagraph"/>
      </w:pPr>
      <w:r>
        <w:t xml:space="preserve">Registro de las comprobaciones hechas sobre el modelo campeón, con el procedimiento</w:t>
      </w:r>
      <w:r>
        <w:t xml:space="preserve"> </w:t>
      </w:r>
      <w:r>
        <w:t xml:space="preserve">seguido y la lectura de cada resultado. Sirve como respaldo para responder preguntas</w:t>
      </w:r>
      <w:r>
        <w:t xml:space="preserve"> </w:t>
      </w:r>
      <w:r>
        <w:t xml:space="preserve">del panel de expertos y como material para la sección de discusión del artículo.</w:t>
      </w:r>
    </w:p>
    <w:p>
      <w:r>
        <w:pict>
          <v:rect style="width:0;height:1.5pt" o:hralign="center" o:hrstd="t" o:hr="t"/>
        </w:pict>
      </w:r>
    </w:p>
    <w:bookmarkStart w:id="9" w:name="aporte-de-la-hemoglobina-hc56"/>
    <w:p>
      <w:pPr>
        <w:pStyle w:val="Heading2"/>
      </w:pPr>
      <w:r>
        <w:t xml:space="preserve">1. Aporte de la hemoglobina (</w:t>
      </w:r>
      <w:r>
        <w:rPr>
          <w:rStyle w:val="VerbatimChar"/>
        </w:rPr>
        <w:t xml:space="preserve">HC56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Por qué se midió.</w:t>
      </w:r>
      <w:r>
        <w:t xml:space="preserve"> </w:t>
      </w:r>
      <w:r>
        <w:t xml:space="preserve">De las 45 variables del modelo,</w:t>
      </w:r>
      <w:r>
        <w:t xml:space="preserve"> </w:t>
      </w:r>
      <w:r>
        <w:rPr>
          <w:rStyle w:val="VerbatimChar"/>
        </w:rPr>
        <w:t xml:space="preserve">HC56</w:t>
      </w:r>
      <w:r>
        <w:t xml:space="preserve"> </w:t>
      </w:r>
      <w:r>
        <w:t xml:space="preserve">es la única que exige un</w:t>
      </w:r>
      <w:r>
        <w:t xml:space="preserve"> </w:t>
      </w:r>
      <w:r>
        <w:t xml:space="preserve">procedimiento sobre el niño —una punción para el tamizaje de anemia—. El resto se obtiene</w:t>
      </w:r>
      <w:r>
        <w:t xml:space="preserve"> </w:t>
      </w:r>
      <w:r>
        <w:t xml:space="preserve">por entrevista al hogar. Si su aporte fuera pequeño, el sistema podría operar en zonas</w:t>
      </w:r>
      <w:r>
        <w:t xml:space="preserve"> </w:t>
      </w:r>
      <w:r>
        <w:t xml:space="preserve">donde ese tamizaje no está disponible.</w:t>
      </w:r>
    </w:p>
    <w:p>
      <w:pPr>
        <w:pStyle w:val="BodyText"/>
      </w:pPr>
      <w:r>
        <w:rPr>
          <w:b/>
          <w:bCs/>
        </w:rPr>
        <w:t xml:space="preserve">Procedimiento.</w:t>
      </w:r>
      <w:r>
        <w:t xml:space="preserve"> </w:t>
      </w:r>
      <w:r>
        <w:rPr>
          <w:rStyle w:val="VerbatimChar"/>
        </w:rPr>
        <w:t xml:space="preserve">mnp/evaluation/ablation_hemoglobina.py</w:t>
      </w:r>
      <w:r>
        <w:t xml:space="preserve">. Se entrenan dos</w:t>
      </w:r>
      <w:r>
        <w:t xml:space="preserve"> </w:t>
      </w:r>
      <w:r>
        <w:t xml:space="preserve">configuraciones bajo el protocolo del benchmark —</w:t>
      </w:r>
      <w:r>
        <w:rPr>
          <w:rStyle w:val="VerbatimChar"/>
        </w:rPr>
        <w:t xml:space="preserve">StratifiedKFold</w:t>
      </w:r>
      <w:r>
        <w:t xml:space="preserve"> </w:t>
      </w:r>
      <w:r>
        <w:t xml:space="preserve">de 5 pliegues,</w:t>
      </w:r>
      <w:r>
        <w:t xml:space="preserve"> </w:t>
      </w:r>
      <w:r>
        <w:rPr>
          <w:rStyle w:val="VerbatimChar"/>
        </w:rPr>
        <w:t xml:space="preserve">random_state = 42</w:t>
      </w:r>
      <w:r>
        <w:t xml:space="preserve">, ponderación</w:t>
      </w:r>
      <w:r>
        <w:t xml:space="preserve"> </w:t>
      </w:r>
      <w:r>
        <w:rPr>
          <w:rStyle w:val="VerbatimChar"/>
        </w:rPr>
        <w:t xml:space="preserve">HV005</w:t>
      </w:r>
      <w:r>
        <w:t xml:space="preserve"> </w:t>
      </w:r>
      <w:r>
        <w:t xml:space="preserve">en entrenamiento y evaluación, mismos</w:t>
      </w:r>
      <w:r>
        <w:t xml:space="preserve"> </w:t>
      </w:r>
      <w:r>
        <w:t xml:space="preserve">hiperparámetros— de modo que la única fuente de variación sea la ausencia de la variable.</w:t>
      </w:r>
      <w:r>
        <w:t xml:space="preserve"> </w:t>
      </w:r>
      <w:r>
        <w:t xml:space="preserve">Sobre las probabilidades</w:t>
      </w:r>
      <w:r>
        <w:t xml:space="preserve"> </w:t>
      </w:r>
      <w:r>
        <w:rPr>
          <w:i/>
          <w:iCs/>
        </w:rPr>
        <w:t xml:space="preserve">out-of-fold</w:t>
      </w:r>
      <w:r>
        <w:t xml:space="preserve"> </w:t>
      </w:r>
      <w:r>
        <w:t xml:space="preserve">se remuestrea la diferencia de AUC 1,000 veces.</w:t>
      </w:r>
    </w:p>
    <w:p>
      <w:pPr>
        <w:pStyle w:val="BodyText"/>
      </w:pPr>
      <w:r>
        <w:rPr>
          <w:b/>
          <w:bCs/>
        </w:rPr>
        <w:t xml:space="preserve">Resultado.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Cobertura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 hemoglobina (45 variables)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76.43%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36.36%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 hemoglobina (44 variables)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36.19%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Diferencia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−0.13 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−0.17 pts</w:t>
            </w:r>
          </w:p>
        </w:tc>
      </w:tr>
    </w:tbl>
    <w:p>
      <w:pPr>
        <w:pStyle w:val="BodyText"/>
      </w:pPr>
      <w:r>
        <w:t xml:space="preserve">Bootstrap de la diferencia:</w:t>
      </w:r>
      <w:r>
        <w:t xml:space="preserve"> </w:t>
      </w:r>
      <w:r>
        <w:rPr>
          <w:b/>
          <w:bCs/>
        </w:rPr>
        <w:t xml:space="preserve">−0.0014, IC 95% [−0.0019, −0.0009]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Lectura.</w:t>
      </w:r>
      <w:r>
        <w:t xml:space="preserve"> </w:t>
      </w:r>
      <w:r>
        <w:t xml:space="preserve">El intervalo no cruza el cero, de modo que la diferencia es estadísticamente</w:t>
      </w:r>
      <w:r>
        <w:t xml:space="preserve"> </w:t>
      </w:r>
      <w:r>
        <w:t xml:space="preserve">distinguible. Eso era previsible: con 304,271 registros, diferencias muy pequeñas alcanzan</w:t>
      </w:r>
      <w:r>
        <w:t xml:space="preserve"> </w:t>
      </w:r>
      <w:r>
        <w:t xml:space="preserve">significación. Lo relevante es la magnitud:</w:t>
      </w:r>
      <w:r>
        <w:t xml:space="preserve"> </w:t>
      </w:r>
      <w:r>
        <w:rPr>
          <w:b/>
          <w:bCs/>
        </w:rPr>
        <w:t xml:space="preserve">trece casos menos detectados por cada diez</w:t>
      </w:r>
      <w:r>
        <w:rPr>
          <w:b/>
          <w:bCs/>
        </w:rPr>
        <w:t xml:space="preserve"> </w:t>
      </w:r>
      <w:r>
        <w:rPr>
          <w:b/>
          <w:bCs/>
        </w:rPr>
        <w:t xml:space="preserve">mil niños evaluados</w:t>
      </w:r>
      <w:r>
        <w:t xml:space="preserve">.</w:t>
      </w:r>
    </w:p>
    <w:p>
      <w:pPr>
        <w:pStyle w:val="BodyText"/>
      </w:pPr>
      <w:r>
        <w:t xml:space="preserve">La conclusión defendible es que la hemoglobina</w:t>
      </w:r>
      <w:r>
        <w:t xml:space="preserve"> </w:t>
      </w:r>
      <w:r>
        <w:rPr>
          <w:b/>
          <w:bCs/>
        </w:rPr>
        <w:t xml:space="preserve">aporta, pero poco</w:t>
      </w:r>
      <w:r>
        <w:t xml:space="preserve">. El sistema puede</w:t>
      </w:r>
      <w:r>
        <w:t xml:space="preserve"> </w:t>
      </w:r>
      <w:r>
        <w:t xml:space="preserve">operar solo con datos de entrevista a un costo bajo, lo que amplía su aplicabilidad a</w:t>
      </w:r>
      <w:r>
        <w:t xml:space="preserve"> </w:t>
      </w:r>
      <w:r>
        <w:t xml:space="preserve">contextos sin tamizaje rutinario.</w:t>
      </w:r>
    </w:p>
    <w:p>
      <w:pPr>
        <w:pStyle w:val="BlockText"/>
      </w:pPr>
      <w:r>
        <w:rPr>
          <w:b/>
          <w:bCs/>
        </w:rPr>
        <w:t xml:space="preserve">Nota sobre una versión anterior.</w:t>
      </w:r>
      <w:r>
        <w:t xml:space="preserve"> </w:t>
      </w:r>
      <w:r>
        <w:t xml:space="preserve">Una primera corrida exploratoria, sin intervalos de</w:t>
      </w:r>
      <w:r>
        <w:t xml:space="preserve"> </w:t>
      </w:r>
      <w:r>
        <w:t xml:space="preserve">confianza, llevó a describir la diferencia como «inapreciable». Al formalizar el</w:t>
      </w:r>
      <w:r>
        <w:t xml:space="preserve"> </w:t>
      </w:r>
      <w:r>
        <w:t xml:space="preserve">experimento con bootstrap, esa caracterización resultó inexacta y se corrigió tanto aquí</w:t>
      </w:r>
      <w:r>
        <w:t xml:space="preserve"> </w:t>
      </w:r>
      <w:r>
        <w:t xml:space="preserve">como en la presentación al panel.</w:t>
      </w:r>
    </w:p>
    <w:p>
      <w:r>
        <w:pict>
          <v:rect style="width:0;height:1.5pt" o:hralign="center" o:hrstd="t" o:hr="t"/>
        </w:pict>
      </w:r>
    </w:p>
    <w:bookmarkEnd w:id="9"/>
    <w:bookmarkStart w:id="10" w:name="suficiencia-del-subconjunto-de-variables"/>
    <w:p>
      <w:pPr>
        <w:pStyle w:val="Heading2"/>
      </w:pPr>
      <w:r>
        <w:t xml:space="preserve">2. Suficiencia del subconjunto de variables</w:t>
      </w:r>
    </w:p>
    <w:p>
      <w:pPr>
        <w:pStyle w:val="FirstParagraph"/>
      </w:pPr>
      <w:r>
        <w:rPr>
          <w:b/>
          <w:bCs/>
        </w:rPr>
        <w:t xml:space="preserve">Por qué se midió.</w:t>
      </w:r>
      <w:r>
        <w:t xml:space="preserve"> </w:t>
      </w:r>
      <w:r>
        <w:t xml:space="preserve">Para descartar que la reducción de más de 180 variables a 45 hubiera</w:t>
      </w:r>
      <w:r>
        <w:t xml:space="preserve"> </w:t>
      </w:r>
      <w:r>
        <w:t xml:space="preserve">dejado fuera señal predictiva relevante.</w:t>
      </w:r>
    </w:p>
    <w:p>
      <w:pPr>
        <w:pStyle w:val="BodyText"/>
      </w:pPr>
      <w:r>
        <w:rPr>
          <w:b/>
          <w:bCs/>
        </w:rPr>
        <w:t xml:space="preserve">Procedimiento.</w:t>
      </w:r>
      <w:r>
        <w:t xml:space="preserve"> </w:t>
      </w:r>
      <w:r>
        <w:rPr>
          <w:rStyle w:val="VerbatimChar"/>
        </w:rPr>
        <w:t xml:space="preserve">mnp/evaluation/feature_ablation.py</w:t>
      </w:r>
      <w:r>
        <w:t xml:space="preserve">. Se ordenan las 33 columnas</w:t>
      </w:r>
      <w:r>
        <w:t xml:space="preserve"> </w:t>
      </w:r>
      <w:r>
        <w:t xml:space="preserve">descartadas por su señal marginal frente al objetivo y se reincorporan las diez de mayor</w:t>
      </w:r>
      <w:r>
        <w:t xml:space="preserve"> </w:t>
      </w:r>
      <w:r>
        <w:t xml:space="preserve">señal —material de paredes, piso y techo, fuente de agua, departamento, cloro residual,</w:t>
      </w:r>
      <w:r>
        <w:t xml:space="preserve"> </w:t>
      </w:r>
      <w:r>
        <w:t xml:space="preserve">combustible de cocina y servicio higiénico— en tres configuraciones sucesivas.</w:t>
      </w:r>
    </w:p>
    <w:p>
      <w:pPr>
        <w:pStyle w:val="BodyText"/>
      </w:pPr>
      <w:r>
        <w:rPr>
          <w:b/>
          <w:bCs/>
        </w:rPr>
        <w:t xml:space="preserve">Resultado.</w:t>
      </w:r>
      <w:r>
        <w:t xml:space="preserve"> </w:t>
      </w:r>
      <w:r>
        <w:t xml:space="preserve">El AUC, la cobertura y la precisión permanecen invariables hasta la cuarta</w:t>
      </w:r>
      <w:r>
        <w:t xml:space="preserve"> </w:t>
      </w:r>
      <w:r>
        <w:t xml:space="preserve">cifra decimal en las tres ampliaciones (0.8295 y 76.44% en todas).</w:t>
      </w:r>
    </w:p>
    <w:p>
      <w:pPr>
        <w:pStyle w:val="BodyText"/>
      </w:pPr>
      <w:r>
        <w:rPr>
          <w:b/>
          <w:bCs/>
        </w:rPr>
        <w:t xml:space="preserve">Lectura.</w:t>
      </w:r>
      <w:r>
        <w:t xml:space="preserve"> </w:t>
      </w:r>
      <w:r>
        <w:t xml:space="preserve">Las variables candidatas no aportan porque el subconjunto retenido</w:t>
      </w:r>
      <w:r>
        <w:t xml:space="preserve"> </w:t>
      </w:r>
      <w:r>
        <w:rPr>
          <w:b/>
          <w:bCs/>
        </w:rPr>
        <w:t xml:space="preserve">ya</w:t>
      </w:r>
      <w:r>
        <w:rPr>
          <w:b/>
          <w:bCs/>
        </w:rPr>
        <w:t xml:space="preserve"> </w:t>
      </w:r>
      <w:r>
        <w:rPr>
          <w:b/>
          <w:bCs/>
        </w:rPr>
        <w:t xml:space="preserve">representa el mismo constructo</w:t>
      </w:r>
      <w:r>
        <w:t xml:space="preserve"> </w:t>
      </w:r>
      <w:r>
        <w:t xml:space="preserve">a través de diecinueve atributos correlacionados de</w:t>
      </w:r>
      <w:r>
        <w:t xml:space="preserve"> </w:t>
      </w:r>
      <w:r>
        <w:t xml:space="preserve">vivienda, agua y saneamiento. Su exclusión fue una decisión correcta, no una omisión.</w:t>
      </w:r>
    </w:p>
    <w:p>
      <w:pPr>
        <w:pStyle w:val="BodyText"/>
      </w:pPr>
      <w:r>
        <w:t xml:space="preserve">Un clasificador entrenado</w:t>
      </w:r>
      <w:r>
        <w:t xml:space="preserve"> </w:t>
      </w:r>
      <w:r>
        <w:rPr>
          <w:i/>
          <w:iCs/>
        </w:rPr>
        <w:t xml:space="preserve">solo</w:t>
      </w:r>
      <w:r>
        <w:t xml:space="preserve"> </w:t>
      </w:r>
      <w:r>
        <w:t xml:space="preserve">con el bloque de agua, saneamiento y vivienda alcanza AUC</w:t>
      </w:r>
      <w:r>
        <w:t xml:space="preserve"> </w:t>
      </w:r>
      <w:r>
        <w:t xml:space="preserve">0.6895, de modo que la señal existe; simplemente está ya capturada.</w:t>
      </w:r>
    </w:p>
    <w:p>
      <w:r>
        <w:pict>
          <v:rect style="width:0;height:1.5pt" o:hralign="center" o:hrstd="t" o:hr="t"/>
        </w:pict>
      </w:r>
    </w:p>
    <w:bookmarkEnd w:id="10"/>
    <w:bookmarkStart w:id="11" w:name="X943a9b5f39b48ad28fdcb27efb0aaa84c818708"/>
    <w:p>
      <w:pPr>
        <w:pStyle w:val="Heading2"/>
      </w:pPr>
      <w:r>
        <w:t xml:space="preserve">3. Estabilidad frente a la incorporación de un año nuevo</w:t>
      </w:r>
    </w:p>
    <w:p>
      <w:pPr>
        <w:pStyle w:val="FirstParagraph"/>
      </w:pPr>
      <w:r>
        <w:rPr>
          <w:b/>
          <w:bCs/>
        </w:rPr>
        <w:t xml:space="preserve">Por qué se midió.</w:t>
      </w:r>
      <w:r>
        <w:t xml:space="preserve"> </w:t>
      </w:r>
      <w:r>
        <w:t xml:space="preserve">El INEI publicó la ENDES 2025 durante la ejecución del proyecto, y</w:t>
      </w:r>
      <w:r>
        <w:t xml:space="preserve"> </w:t>
      </w:r>
      <w:r>
        <w:t xml:space="preserve">convenía comprobar si el modelo se sostenía al ampliar la serie de 18 a 19 años.</w:t>
      </w:r>
    </w:p>
    <w:p>
      <w:pPr>
        <w:pStyle w:val="BodyText"/>
      </w:pPr>
      <w:r>
        <w:rPr>
          <w:b/>
          <w:bCs/>
        </w:rPr>
        <w:t xml:space="preserve">Resultado.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18 años (2007–2024)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 años (2007–2025)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285,284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304,271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Cobertura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76.49%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76.44%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</w:tbl>
    <w:p>
      <w:pPr>
        <w:pStyle w:val="BodyText"/>
      </w:pPr>
      <w:r>
        <w:rPr>
          <w:b/>
          <w:bCs/>
        </w:rPr>
        <w:t xml:space="preserve">Lectura.</w:t>
      </w:r>
      <w:r>
        <w:t xml:space="preserve"> </w:t>
      </w:r>
      <w:r>
        <w:t xml:space="preserve">El desplazamiento del AUC (−0.0013) queda dentro de la dispersión entre</w:t>
      </w:r>
      <w:r>
        <w:t xml:space="preserve"> </w:t>
      </w:r>
      <w:r>
        <w:t xml:space="preserve">pliegues (0.8230–0.8353), de modo que el modelo es estable. LightGBM se mantiene como</w:t>
      </w:r>
      <w:r>
        <w:t xml:space="preserve"> </w:t>
      </w:r>
      <w:r>
        <w:t xml:space="preserve">campeón y el orden del</w:t>
      </w:r>
      <w:r>
        <w:t xml:space="preserve"> </w:t>
      </w:r>
      <w:r>
        <w:rPr>
          <w:i/>
          <w:iCs/>
        </w:rPr>
        <w:t xml:space="preserve">benchmarking</w:t>
      </w:r>
      <w:r>
        <w:t xml:space="preserve"> </w:t>
      </w:r>
      <w:r>
        <w:t xml:space="preserve">no varía.</w:t>
      </w:r>
    </w:p>
    <w:p>
      <w:pPr>
        <w:pStyle w:val="BodyText"/>
      </w:pPr>
      <w:r>
        <w:t xml:space="preserve">Dos variables nuevas —</w:t>
      </w:r>
      <w:r>
        <w:rPr>
          <w:rStyle w:val="VerbatimChar"/>
        </w:rPr>
        <w:t xml:space="preserve">HV219</w:t>
      </w:r>
      <w:r>
        <w:t xml:space="preserve">, sexo del jefe del hogar, y</w:t>
      </w:r>
      <w:r>
        <w:t xml:space="preserve"> </w:t>
      </w:r>
      <w:r>
        <w:rPr>
          <w:rStyle w:val="VerbatimChar"/>
        </w:rPr>
        <w:t xml:space="preserve">SH77F</w:t>
      </w:r>
      <w:r>
        <w:t xml:space="preserve">, otro tipo de</w:t>
      </w:r>
      <w:r>
        <w:t xml:space="preserve"> </w:t>
      </w:r>
      <w:r>
        <w:t xml:space="preserve">transporte— cruzaron el umbral de importancia con el año adicional, sin que ninguna de las</w:t>
      </w:r>
      <w:r>
        <w:t xml:space="preserve"> </w:t>
      </w:r>
      <w:r>
        <w:t xml:space="preserve">43 originales fuera descartada. Esto refuerza el resultado del punto 2: cuando una variable</w:t>
      </w:r>
      <w:r>
        <w:t xml:space="preserve"> </w:t>
      </w:r>
      <w:r>
        <w:t xml:space="preserve">descartada tiene señal real, el propio criterio de importancia la recupera al haber más</w:t>
      </w:r>
      <w:r>
        <w:t xml:space="preserve"> </w:t>
      </w:r>
      <w:r>
        <w:t xml:space="preserve">datos.</w:t>
      </w:r>
    </w:p>
    <w:p>
      <w:r>
        <w:pict>
          <v:rect style="width:0;height:1.5pt" o:hralign="center" o:hrstd="t" o:hr="t"/>
        </w:pict>
      </w:r>
    </w:p>
    <w:bookmarkEnd w:id="11"/>
    <w:bookmarkStart w:id="12" w:name="Xc139c3f1ac212e5eaa7e5582ba3c45ba859ca78"/>
    <w:p>
      <w:pPr>
        <w:pStyle w:val="Heading2"/>
      </w:pPr>
      <w:r>
        <w:t xml:space="preserve">4. Confiabilidad estadística del modelo campeón</w:t>
      </w:r>
    </w:p>
    <w:p>
      <w:pPr>
        <w:pStyle w:val="FirstParagraph"/>
      </w:pPr>
      <w:r>
        <w:rPr>
          <w:b/>
          <w:bCs/>
        </w:rPr>
        <w:t xml:space="preserve">Procedimiento.</w:t>
      </w:r>
      <w:r>
        <w:t xml:space="preserve"> </w:t>
      </w:r>
      <w:r>
        <w:rPr>
          <w:rStyle w:val="VerbatimChar"/>
        </w:rPr>
        <w:t xml:space="preserve">mnp/evaluation/bootstrap_validation.py</w:t>
      </w:r>
      <w:r>
        <w:t xml:space="preserve">. Remuestreo no paramétrico de</w:t>
      </w:r>
      <w:r>
        <w:t xml:space="preserve"> </w:t>
      </w:r>
      <w:r>
        <w:t xml:space="preserve">1,000 repeticiones sobre las probabilidades</w:t>
      </w:r>
      <w:r>
        <w:t xml:space="preserve"> </w:t>
      </w:r>
      <w:r>
        <w:rPr>
          <w:i/>
          <w:iCs/>
        </w:rPr>
        <w:t xml:space="preserve">out-of-fold</w:t>
      </w:r>
      <w:r>
        <w:t xml:space="preserve">, y prueba de DeLong sobre curvas</w:t>
      </w:r>
      <w:r>
        <w:t xml:space="preserve"> </w:t>
      </w:r>
      <w:r>
        <w:t xml:space="preserve">ROC correlacionadas frente a los dos algoritmos de referencia.</w:t>
      </w:r>
    </w:p>
    <w:p>
      <w:pPr>
        <w:pStyle w:val="BodyText"/>
      </w:pPr>
      <w:r>
        <w:rPr>
          <w:b/>
          <w:bCs/>
        </w:rPr>
        <w:t xml:space="preserve">Resultado.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Estimación</w:t>
            </w:r>
          </w:p>
        </w:tc>
        <w:tc>
          <w:tcPr/>
          <w:p>
            <w:pPr>
              <w:pStyle w:val="Compact"/>
            </w:pPr>
            <w:r>
              <w:t xml:space="preserve">IC 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AUC-ROC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0.8294</w:t>
            </w:r>
          </w:p>
        </w:tc>
        <w:tc>
          <w:tcPr/>
          <w:p>
            <w:pPr>
              <w:pStyle w:val="Compact"/>
            </w:pPr>
            <w:r>
              <w:t xml:space="preserve">[0.8267, 0.8324]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Cobertura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76.43%</w:t>
            </w:r>
          </w:p>
        </w:tc>
        <w:tc>
          <w:tcPr/>
          <w:p>
            <w:pPr>
              <w:pStyle w:val="Compact"/>
            </w:pPr>
            <w:r>
              <w:t xml:space="preserve">[75.88%, 76.98%]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36.36%</w:t>
            </w:r>
          </w:p>
        </w:tc>
        <w:tc>
          <w:tcPr/>
          <w:p>
            <w:pPr>
              <w:pStyle w:val="Compact"/>
            </w:pPr>
            <w:r>
              <w:t xml:space="preserve">[35.94%, 36.71%]</w:t>
            </w:r>
          </w:p>
        </w:tc>
      </w:tr>
    </w:tbl>
    <w:p>
      <w:pPr>
        <w:pStyle w:val="BodyText"/>
      </w:pPr>
      <w:r>
        <w:t xml:space="preserve">Prueba de DeLong: LightGBM supera a XGBoost (</w:t>
      </w:r>
      <w:r>
        <w:rPr>
          <w:i/>
          <w:iCs/>
        </w:rPr>
        <w:t xml:space="preserve">z</w:t>
      </w:r>
      <w:r>
        <w:t xml:space="preserve"> </w:t>
      </w:r>
      <w:r>
        <w:t xml:space="preserve">= 62.32) y a Regresión Logística</w:t>
      </w:r>
      <w:r>
        <w:t xml:space="preserve"> </w:t>
      </w:r>
      <w:r>
        <w:t xml:space="preserve">(</w:t>
      </w:r>
      <w:r>
        <w:rPr>
          <w:i/>
          <w:iCs/>
        </w:rPr>
        <w:t xml:space="preserve">z</w:t>
      </w:r>
      <w:r>
        <w:t xml:space="preserve"> </w:t>
      </w:r>
      <w:r>
        <w:t xml:space="preserve">= 61.48), ambos con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10⁻³⁰⁰.</w:t>
      </w:r>
    </w:p>
    <w:p>
      <w:pPr>
        <w:pStyle w:val="BodyText"/>
      </w:pPr>
      <w:r>
        <w:rPr>
          <w:b/>
          <w:bCs/>
        </w:rPr>
        <w:t xml:space="preserve">Lectura.</w:t>
      </w:r>
      <w:r>
        <w:t xml:space="preserve"> </w:t>
      </w:r>
      <w:r>
        <w:t xml:space="preserve">La amplitud de los intervalos es inferior a medio punto porcentual, lo que</w:t>
      </w:r>
      <w:r>
        <w:t xml:space="preserve"> </w:t>
      </w:r>
      <w:r>
        <w:t xml:space="preserve">indica que las estimaciones no dependen del subconjunto de evaluación. La superioridad</w:t>
      </w:r>
      <w:r>
        <w:t xml:space="preserve"> </w:t>
      </w:r>
      <w:r>
        <w:t xml:space="preserve">sobre los modelos de referencia no es atribuible al azar.</w:t>
      </w:r>
    </w:p>
    <w:p>
      <w:pPr>
        <w:pStyle w:val="BlockText"/>
      </w:pPr>
      <w:r>
        <w:rPr>
          <w:b/>
          <w:bCs/>
        </w:rPr>
        <w:t xml:space="preserve">Precisión metodológica.</w:t>
      </w:r>
      <w:r>
        <w:t xml:space="preserve"> </w:t>
      </w:r>
      <w:r>
        <w:t xml:space="preserve">El estadístico de DeLong se define sobre rangos y no admite</w:t>
      </w:r>
      <w:r>
        <w:t xml:space="preserve"> </w:t>
      </w:r>
      <w:r>
        <w:t xml:space="preserve">ponderación muestral, de modo que los AUC de ese contraste (0.8193, 0.7775 y 0.7767) van</w:t>
      </w:r>
      <w:r>
        <w:t xml:space="preserve"> </w:t>
      </w:r>
      <w:r>
        <w:t xml:space="preserve">sin expandir por</w:t>
      </w:r>
      <w:r>
        <w:t xml:space="preserve"> </w:t>
      </w:r>
      <w:r>
        <w:rPr>
          <w:rStyle w:val="VerbatimChar"/>
        </w:rPr>
        <w:t xml:space="preserve">HV005</w:t>
      </w:r>
      <w:r>
        <w:t xml:space="preserve"> </w:t>
      </w:r>
      <w:r>
        <w:t xml:space="preserve">y quedan sistemáticamente por debajo de los ponderados. La</w:t>
      </w:r>
      <w:r>
        <w:t xml:space="preserve"> </w:t>
      </w:r>
      <w:r>
        <w:t xml:space="preserve">comparación sigue siendo válida porque los tres modelos se evalúan sobre los mismos</w:t>
      </w:r>
      <w:r>
        <w:t xml:space="preserve"> </w:t>
      </w:r>
      <w:r>
        <w:t xml:space="preserve">individuos.</w:t>
      </w:r>
    </w:p>
    <w:p>
      <w:r>
        <w:pict>
          <v:rect style="width:0;height:1.5pt" o:hralign="center" o:hrstd="t" o:hr="t"/>
        </w:pict>
      </w:r>
    </w:p>
    <w:bookmarkEnd w:id="12"/>
    <w:bookmarkStart w:id="13" w:name="calibración-del-umbral-de-decisión"/>
    <w:p>
      <w:pPr>
        <w:pStyle w:val="Heading2"/>
      </w:pPr>
      <w:r>
        <w:t xml:space="preserve">5. Calibración del umbral de decisión</w:t>
      </w:r>
    </w:p>
    <w:p>
      <w:pPr>
        <w:pStyle w:val="FirstParagraph"/>
      </w:pPr>
      <w:r>
        <w:rPr>
          <w:b/>
          <w:bCs/>
        </w:rPr>
        <w:t xml:space="preserve">Procedimiento.</w:t>
      </w:r>
      <w:r>
        <w:t xml:space="preserve"> </w:t>
      </w:r>
      <w:r>
        <w:rPr>
          <w:rStyle w:val="VerbatimChar"/>
        </w:rPr>
        <w:t xml:space="preserve">mnp/evaluation/threshold_curve.py</w:t>
      </w:r>
      <w:r>
        <w:t xml:space="preserve">. Barrido del punto de corte sobre</w:t>
      </w:r>
      <w:r>
        <w:t xml:space="preserve"> </w:t>
      </w:r>
      <w:r>
        <w:t xml:space="preserve">probabilidades</w:t>
      </w:r>
      <w:r>
        <w:t xml:space="preserve"> </w:t>
      </w:r>
      <w:r>
        <w:rPr>
          <w:i/>
          <w:iCs/>
        </w:rPr>
        <w:t xml:space="preserve">out-of-fold</w:t>
      </w:r>
      <w:r>
        <w:t xml:space="preserve">, con el mismo protocolo del benchmark.</w:t>
      </w:r>
    </w:p>
    <w:p>
      <w:pPr>
        <w:pStyle w:val="BodyText"/>
      </w:pPr>
      <w:r>
        <w:rPr>
          <w:b/>
          <w:bCs/>
        </w:rPr>
        <w:t xml:space="preserve">Resultado.</w:t>
      </w:r>
      <w:r>
        <w:t xml:space="preserve"> </w:t>
      </w:r>
      <w:r>
        <w:t xml:space="preserve">El valor mínimo que garantiza una cobertura ≥ 80% es</w:t>
      </w:r>
      <w:r>
        <w:t xml:space="preserve"> </w:t>
      </w:r>
      <w:r>
        <w:rPr>
          <w:b/>
          <w:bCs/>
        </w:rPr>
        <w:t xml:space="preserve">τ = 0.45</w:t>
      </w:r>
      <w:r>
        <w:t xml:space="preserve">, con</w:t>
      </w:r>
      <w:r>
        <w:t xml:space="preserve"> </w:t>
      </w:r>
      <w:r>
        <w:t xml:space="preserve">cobertura 80.46% y precisión 34.04%.</w:t>
      </w:r>
    </w:p>
    <w:p>
      <w:pPr>
        <w:pStyle w:val="BodyText"/>
      </w:pPr>
      <w:r>
        <w:rPr>
          <w:b/>
          <w:bCs/>
        </w:rPr>
        <w:t xml:space="preserve">Lectura.</w:t>
      </w:r>
      <w:r>
        <w:t xml:space="preserve"> </w:t>
      </w:r>
      <w:r>
        <w:t xml:space="preserve">Los documentos del ciclo anterior consignaban τ ≈ 0.35 para esa meta. Ese</w:t>
      </w:r>
      <w:r>
        <w:t xml:space="preserve"> </w:t>
      </w:r>
      <w:r>
        <w:t xml:space="preserve">valor produce en realidad 87.95% de cobertura y 29.36% de precisión: sobrepasa el objetivo</w:t>
      </w:r>
      <w:r>
        <w:t xml:space="preserve"> </w:t>
      </w:r>
      <w:r>
        <w:t xml:space="preserve">y sacrifica precisión sin necesidad. La cifra fue corregida en la metodología y en el plan</w:t>
      </w:r>
      <w:r>
        <w:t xml:space="preserve"> </w:t>
      </w:r>
      <w:r>
        <w:t xml:space="preserve">de validación.</w:t>
      </w:r>
    </w:p>
    <w:p>
      <w:r>
        <w:pict>
          <v:rect style="width:0;height:1.5pt" o:hralign="center" o:hrstd="t" o:hr="t"/>
        </w:pict>
      </w:r>
    </w:p>
    <w:bookmarkEnd w:id="13"/>
    <w:bookmarkStart w:id="18" w:name="figuras-disponibles-para-la-presentación"/>
    <w:p>
      <w:pPr>
        <w:pStyle w:val="Heading2"/>
      </w:pPr>
      <w:r>
        <w:t xml:space="preserve">6. Figuras disponibles para la presentación</w:t>
      </w:r>
    </w:p>
    <w:p>
      <w:pPr>
        <w:pStyle w:val="FirstParagraph"/>
      </w:pPr>
      <w:r>
        <w:t xml:space="preserve">Inventario de las 45 figuras que generan los scripts, con su aptitud para un panel clínico.</w:t>
      </w:r>
      <w:r>
        <w:t xml:space="preserve"> </w:t>
      </w:r>
      <w:r>
        <w:t xml:space="preserve">Ruta base:</w:t>
      </w:r>
      <w:r>
        <w:t xml:space="preserve"> </w:t>
      </w:r>
      <w:r>
        <w:rPr>
          <w:rStyle w:val="VerbatimChar"/>
        </w:rPr>
        <w:t xml:space="preserve">reports/figures/</w:t>
      </w:r>
      <w:r>
        <w:t xml:space="preserve">.</w:t>
      </w:r>
    </w:p>
    <w:bookmarkStart w:id="14" w:name="recomendadas"/>
    <w:p>
      <w:pPr>
        <w:pStyle w:val="Heading3"/>
      </w:pPr>
      <w:r>
        <w:t xml:space="preserve">Recomendadas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Figura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Por qué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Evolución del desbalance de clases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01_data_understanding/clean/01_eda_interim_rech6/09_*</w:t>
            </w:r>
          </w:p>
        </w:tc>
        <w:tc>
          <w:tcPr/>
          <w:p>
            <w:pPr>
              <w:pStyle w:val="Compact"/>
            </w:pPr>
            <w:r>
              <w:t xml:space="preserve">Muestra la caída de la desnutrición crónica del 32% en 2007 al 12% en 2025. Autoexplicativa, sin vocabulario técnico, y justifica de un vistazo por qué el problema sigue vigente pese a la mejora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Curva de acumulación clínica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01_data_understanding/clean/01_eda_interim_rech6/11_*</w:t>
            </w:r>
          </w:p>
        </w:tc>
        <w:tc>
          <w:tcPr/>
          <w:p>
            <w:pPr>
              <w:pStyle w:val="Compact"/>
            </w:pPr>
            <w:r>
              <w:t xml:space="preserve">El Z-score cae entre los 15 y 22 meses de edad: es la ventana de los primeros 1000 días que el panel conoce bien. Requiere recortarla a un solo año y corregir el título, que aún dice 2019-2024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Distribución del Z-score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01_data_understanding/clean/01_eda_interim_rech6/10_*</w:t>
            </w:r>
          </w:p>
        </w:tc>
        <w:tc>
          <w:tcPr/>
          <w:p>
            <w:pPr>
              <w:pStyle w:val="Compact"/>
            </w:pPr>
            <w:r>
              <w:t xml:space="preserve">Sitúa el umbral de −2 DE sobre la distribución real, y explica el criterio diagnóstico sin recurrir a la definición formal</w:t>
            </w:r>
          </w:p>
        </w:tc>
      </w:tr>
    </w:tbl>
    <w:bookmarkEnd w:id="14"/>
    <w:bookmarkStart w:id="15" w:name="solo-si-hay-preguntas-técnicas"/>
    <w:p>
      <w:pPr>
        <w:pStyle w:val="Heading3"/>
      </w:pPr>
      <w:r>
        <w:t xml:space="preserve">Solo si hay preguntas técnicas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Figura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Observación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Curvas ROC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03_modeling/03_model_benchmarking_extended/01_*</w:t>
            </w:r>
          </w:p>
        </w:tc>
        <w:tc>
          <w:tcPr/>
          <w:p>
            <w:pPr>
              <w:pStyle w:val="Compact"/>
            </w:pPr>
            <w:r>
              <w:t xml:space="preserve">Estándar para comparar los seis algoritmos, pero exige explicar qué es una curva ROC. Reservar para el anexo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Mapa de calor SHAP por departamento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03_modeling/03_model_explainability/02_*</w:t>
            </w:r>
          </w:p>
        </w:tc>
        <w:tc>
          <w:tcPr/>
          <w:p>
            <w:pPr>
              <w:pStyle w:val="Compact"/>
            </w:pPr>
            <w:r>
              <w:t xml:space="preserve">Versión original, con los ejes rotulados en nomenclatura ENDES. Sustituida para el panel por la que genera</w:t>
            </w:r>
            <w:r>
              <w:t xml:space="preserve"> </w:t>
            </w:r>
            <w:r>
              <w:rPr>
                <w:rStyle w:val="VerbatimChar"/>
              </w:rPr>
              <w:t xml:space="preserve">mnp/plots_panel.py</w:t>
            </w:r>
          </w:p>
        </w:tc>
      </w:tr>
    </w:tbl>
    <w:bookmarkEnd w:id="15"/>
    <w:bookmarkStart w:id="16" w:name="regenerada-para-el-panel"/>
    <w:p>
      <w:pPr>
        <w:pStyle w:val="Heading3"/>
      </w:pPr>
      <w:r>
        <w:t xml:space="preserve">Regenerada para el panel</w:t>
      </w:r>
    </w:p>
    <w:p>
      <w:pPr>
        <w:pStyle w:val="FirstParagraph"/>
      </w:pPr>
      <w:r>
        <w:rPr>
          <w:rStyle w:val="VerbatimChar"/>
        </w:rPr>
        <w:t xml:space="preserve">mnp/plots_panel.py</w:t>
      </w:r>
      <w:r>
        <w:t xml:space="preserve"> </w:t>
      </w:r>
      <w:r>
        <w:t xml:space="preserve">produce</w:t>
      </w:r>
      <w:r>
        <w:t xml:space="preserve"> </w:t>
      </w:r>
      <w:r>
        <w:rPr>
          <w:rStyle w:val="VerbatimChar"/>
        </w:rPr>
        <w:t xml:space="preserve">reports/figures/panel/mapa_riesgo_departamental.png</w:t>
      </w:r>
      <w:r>
        <w:t xml:space="preserve">, que es la versión</w:t>
      </w:r>
      <w:r>
        <w:t xml:space="preserve"> </w:t>
      </w:r>
      <w:r>
        <w:t xml:space="preserve">del mapa de calor incorporada a la presentación. Frente a la original: los factores se rotulan en</w:t>
      </w:r>
      <w:r>
        <w:t xml:space="preserve"> </w:t>
      </w:r>
      <w:r>
        <w:t xml:space="preserve">lenguaje sanitario («Pobreza del hogar» en lugar de</w:t>
      </w:r>
      <w:r>
        <w:t xml:space="preserve"> </w:t>
      </w:r>
      <w:r>
        <w:rPr>
          <w:rStyle w:val="VerbatimChar"/>
        </w:rPr>
        <w:t xml:space="preserve">HV271_Factor_de_puntuacion_del_indice_de_riqueza</w:t>
      </w:r>
      <w:r>
        <w:t xml:space="preserve">),</w:t>
      </w:r>
      <w:r>
        <w:t xml:space="preserve"> </w:t>
      </w:r>
      <w:r>
        <w:t xml:space="preserve">se muestran los diez de mayor importancia en el modelo en lugar de quince, los departamentos se agrupan</w:t>
      </w:r>
      <w:r>
        <w:t xml:space="preserve"> </w:t>
      </w:r>
      <w:r>
        <w:t xml:space="preserve">por región natural con separadores, y el formato es apaisado para ocupar una diapositiva completa.</w:t>
      </w:r>
    </w:p>
    <w:p>
      <w:pPr>
        <w:pStyle w:val="BodyText"/>
      </w:pPr>
      <w:r>
        <w:t xml:space="preserve">Las columnas se eligen por la importancia que les asigna el modelo, no por su media en el csv: los</w:t>
      </w:r>
      <w:r>
        <w:t xml:space="preserve"> </w:t>
      </w:r>
      <w:r>
        <w:t xml:space="preserve">valores vienen normalizados por departamento y promediarlos no distingue entre factores.</w:t>
      </w:r>
    </w:p>
    <w:bookmarkEnd w:id="16"/>
    <w:bookmarkStart w:id="17" w:name="no-recomendadas-para-esta-sesión"/>
    <w:p>
      <w:pPr>
        <w:pStyle w:val="Heading3"/>
      </w:pPr>
      <w:r>
        <w:t xml:space="preserve">No recomendadas para esta sesión</w:t>
      </w:r>
    </w:p>
    <w:p>
      <w:pPr>
        <w:pStyle w:val="FirstParagraph"/>
      </w:pPr>
      <w:r>
        <w:t xml:space="preserve">Las figuras de auditoría de nulos, deriva de esquema y evolución de materiales de vivienda</w:t>
      </w:r>
      <w:r>
        <w:t xml:space="preserve"> </w:t>
      </w:r>
      <w:r>
        <w:t xml:space="preserve">(</w:t>
      </w:r>
      <w:r>
        <w:rPr>
          <w:rStyle w:val="VerbatimChar"/>
        </w:rPr>
        <w:t xml:space="preserve">05_evolucion_de_las_excusas_de_no</w:t>
      </w:r>
      <w:r>
        <w:t xml:space="preserve">,</w:t>
      </w:r>
      <w:r>
        <w:t xml:space="preserve"> </w:t>
      </w:r>
      <w:r>
        <w:rPr>
          <w:rStyle w:val="VerbatimChar"/>
        </w:rPr>
        <w:t xml:space="preserve">15_variables_con_mayor_de_valores_nulos</w:t>
      </w:r>
      <w:r>
        <w:t xml:space="preserve">,</w:t>
      </w:r>
      <w:r>
        <w:t xml:space="preserve"> </w:t>
      </w:r>
      <w:r>
        <w:rPr>
          <w:rStyle w:val="VerbatimChar"/>
        </w:rPr>
        <w:t xml:space="preserve">03_evolucion_historica_del_material_de_techos</w:t>
      </w:r>
      <w:r>
        <w:t xml:space="preserve">, entre otras) documentan el trabajo de</w:t>
      </w:r>
      <w:r>
        <w:t xml:space="preserve"> </w:t>
      </w:r>
      <w:r>
        <w:t xml:space="preserve">preparación de datos. Son pertinentes para el artículo y para un jurado de ingeniería, pero</w:t>
      </w:r>
      <w:r>
        <w:t xml:space="preserve"> </w:t>
      </w:r>
      <w:r>
        <w:t xml:space="preserve">no aportan al juicio de utilidad que se pide al panel clínico.</w:t>
      </w:r>
    </w:p>
    <w:p>
      <w:pPr>
        <w:pStyle w:val="BlockText"/>
      </w:pPr>
      <w:r>
        <w:rPr>
          <w:b/>
          <w:bCs/>
        </w:rPr>
        <w:t xml:space="preserve">Preferible a cualquier figura:</w:t>
      </w:r>
      <w:r>
        <w:t xml:space="preserve"> </w:t>
      </w:r>
      <w:r>
        <w:t xml:space="preserve">la demostración en vivo del aplicativo. El panel valora</w:t>
      </w:r>
      <w:r>
        <w:t xml:space="preserve"> </w:t>
      </w:r>
      <w:r>
        <w:t xml:space="preserve">la facilidad de uso, y para responder esa mitad del instrumento necesita haber visto la</w:t>
      </w:r>
      <w:r>
        <w:t xml:space="preserve"> </w:t>
      </w:r>
      <w:r>
        <w:t xml:space="preserve">interfaz en funcionamiento.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2026-09-21T23:03:46Z</dcterms:created>
  <dcterms:modified xsi:type="dcterms:W3CDTF">2026-09-21T23:03:46Z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