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65f67493c61caaa123f1f8d68ab7cc02703792a"/>
    <w:p>
      <w:pPr>
        <w:pStyle w:val="Heading1"/>
      </w:pPr>
      <w:r>
        <w:t xml:space="preserve">SOLICITUD DE VALIDACIÓN POR JUICIO DE EXPERTOS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rPr>
          <w:i/>
          <w:iCs/>
        </w:rPr>
        <w:t xml:space="preserve">Modelo Predictivo de Riesgo de Desnutrición Crónica Infantil en el Perú mediante Machine Learning</w:t>
      </w:r>
    </w:p>
    <w:p>
      <w:pPr>
        <w:pStyle w:val="BodyText"/>
      </w:pPr>
      <w:r>
        <w:rPr>
          <w:b/>
          <w:bCs/>
        </w:rPr>
        <w:t xml:space="preserve">Institución:</w:t>
      </w:r>
      <w:r>
        <w:t xml:space="preserve"> </w:t>
      </w:r>
      <w:r>
        <w:t xml:space="preserve">Universidad Peruana Unión (UPeU) — Facultad de Ingeniería y Arquitectura, EP Ingeniería de Sistemas</w:t>
      </w:r>
      <w:r>
        <w:t xml:space="preserve"> </w:t>
      </w:r>
      <w:r>
        <w:rPr>
          <w:b/>
          <w:bCs/>
        </w:rPr>
        <w:t xml:space="preserve">Asignatura:</w:t>
      </w:r>
      <w:r>
        <w:t xml:space="preserve"> </w:t>
      </w:r>
      <w:r>
        <w:t xml:space="preserve">Investigación V (Ciclo X – 2026-II) ·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Mg. Nemias Saboya Rios</w:t>
      </w:r>
      <w:r>
        <w:t xml:space="preserve"> </w:t>
      </w:r>
      <w:r>
        <w:rPr>
          <w:b/>
          <w:bCs/>
        </w:rPr>
        <w:t xml:space="preserve">Equipo:</w:t>
      </w:r>
      <w:r>
        <w:t xml:space="preserve"> </w:t>
      </w:r>
      <w:r>
        <w:t xml:space="preserve">Abel Guevara Huasco · Verónica Vergara Rojas · Pamela Vallejos Cotrina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Predecir el</w:t>
      </w:r>
      <w:r>
        <w:t xml:space="preserve"> </w:t>
      </w:r>
      <w:r>
        <w:rPr>
          <w:b/>
          <w:bCs/>
        </w:rPr>
        <w:t xml:space="preserve">perfil de riesgo de desnutrición crónica infantil</w:t>
      </w:r>
      <w:r>
        <w:t xml:space="preserve"> </w:t>
      </w:r>
      <w:r>
        <w:t xml:space="preserve">en menores de 5 años a partir de</w:t>
      </w:r>
      <w:r>
        <w:t xml:space="preserve"> </w:t>
      </w:r>
      <w:r>
        <w:t xml:space="preserve">variables sociodemográficas, del hogar y de salud materna recogidas por encuesta, con el fin de</w:t>
      </w:r>
      <w:r>
        <w:t xml:space="preserve"> </w:t>
      </w:r>
      <w:r>
        <w:rPr>
          <w:b/>
          <w:bCs/>
        </w:rPr>
        <w:t xml:space="preserve">orientar la focalización de recursos</w:t>
      </w:r>
      <w:r>
        <w:t xml:space="preserve"> </w:t>
      </w:r>
      <w:r>
        <w:t xml:space="preserve">en salud pública.</w:t>
      </w:r>
    </w:p>
    <w:p>
      <w:pPr>
        <w:pStyle w:val="BodyText"/>
      </w:pPr>
      <w:r>
        <w:t xml:space="preserve">El sistema</w:t>
      </w:r>
      <w:r>
        <w:t xml:space="preserve"> </w:t>
      </w:r>
      <w:r>
        <w:rPr>
          <w:b/>
          <w:bCs/>
        </w:rPr>
        <w:t xml:space="preserve">no reemplaza el diagnóstico clínico ni la medición antropométrica</w:t>
      </w:r>
      <w:r>
        <w:t xml:space="preserve">. Funciona como una</w:t>
      </w:r>
      <w:r>
        <w:t xml:space="preserve"> </w:t>
      </w:r>
      <w:r>
        <w:t xml:space="preserve">herramienta de</w:t>
      </w:r>
      <w:r>
        <w:t xml:space="preserve"> </w:t>
      </w:r>
      <w:r>
        <w:rPr>
          <w:b/>
          <w:bCs/>
        </w:rPr>
        <w:t xml:space="preserve">triaje previo</w:t>
      </w:r>
      <w:r>
        <w:t xml:space="preserve">: dado el perfil de un hogar, estima la probabilidad de que el niño</w:t>
      </w:r>
      <w:r>
        <w:t xml:space="preserve"> </w:t>
      </w:r>
      <w:r>
        <w:t xml:space="preserve">presente desnutrición crónica, permitiendo priorizar a quién visitar primero cuando el presupuesto no</w:t>
      </w:r>
      <w:r>
        <w:t xml:space="preserve"> </w:t>
      </w:r>
      <w:r>
        <w:t xml:space="preserve">alcanza para cubrir a toda la población.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un modelo de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identificar, con datos de</w:t>
      </w:r>
      <w:r>
        <w:t xml:space="preserve"> </w:t>
      </w:r>
      <w:r>
        <w:t xml:space="preserve">encuesta de hogar, qué niños tienen mayor riesgo de desnutrición crónica antes de que un agente de</w:t>
      </w:r>
      <w:r>
        <w:t xml:space="preserve"> </w:t>
      </w:r>
      <w:r>
        <w:t xml:space="preserve">salud llegue al domicilio?</w:t>
      </w:r>
    </w:p>
    <w:p>
      <w:r>
        <w:pict>
          <v:rect style="width:0;height:1.5pt" o:hralign="center" o:hrstd="t" o:hr="t"/>
        </w:pict>
      </w:r>
    </w:p>
    <w:bookmarkEnd w:id="9"/>
    <w:bookmarkStart w:id="10" w:name="método"/>
    <w:p>
      <w:pPr>
        <w:pStyle w:val="Heading2"/>
      </w:pPr>
      <w:r>
        <w:t xml:space="preserve">2. Método</w:t>
      </w:r>
    </w:p>
    <w:p>
      <w:pPr>
        <w:pStyle w:val="FirstParagraph"/>
      </w:pPr>
      <w:r>
        <w:t xml:space="preserve">Se siguió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</w:t>
      </w:r>
      <w:r>
        <w:rPr>
          <w:i/>
          <w:iCs/>
        </w:rPr>
        <w:t xml:space="preserve">Cross-Industry Standard Process for Data Mining</w:t>
      </w:r>
      <w:r>
        <w:t xml:space="preserve">), estándar de la industria</w:t>
      </w:r>
      <w:r>
        <w:t xml:space="preserve"> </w:t>
      </w:r>
      <w:r>
        <w:t xml:space="preserve">para proyectos de ciencia de datos, organizado en seis fases:</w:t>
      </w:r>
    </w:p>
    <w:p>
      <w:pPr>
        <w:pStyle w:val="SourceCode"/>
      </w:pPr>
      <w:r>
        <w:rPr>
          <w:rStyle w:val="VerbatimChar"/>
        </w:rPr>
        <w:t xml:space="preserve">1. Comprensión    2. Comprensión    3. Preparación</w:t>
      </w:r>
      <w:r>
        <w:br/>
      </w:r>
      <w:r>
        <w:rPr>
          <w:rStyle w:val="VerbatimChar"/>
        </w:rPr>
        <w:t xml:space="preserve">   del Negocio   →   de los Datos  →   de los Datos</w:t>
      </w:r>
      <w:r>
        <w:br/>
      </w:r>
      <w:r>
        <w:rPr>
          <w:rStyle w:val="VerbatimChar"/>
        </w:rPr>
        <w:t xml:space="preserve">                                            ↓</w:t>
      </w:r>
      <w:r>
        <w:br/>
      </w:r>
      <w:r>
        <w:rPr>
          <w:rStyle w:val="VerbatimChar"/>
        </w:rPr>
        <w:t xml:space="preserve">6. Despliegue  ←  5. Evaluación   ←   4. Modelado</w:t>
      </w:r>
      <w:r>
        <w:br/>
      </w:r>
      <w:r>
        <w:rPr>
          <w:rStyle w:val="VerbatimChar"/>
        </w:rPr>
        <w:t xml:space="preserve">   (aplicativo)     (explicabilidad)     (algoritmos)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ENDES — INEI (Encuesta Demográfica y de Salud Familiar), datos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  <w:r>
              <w:t xml:space="preserve">2007 – 2025 (19 años)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304,271 niños</w:t>
            </w:r>
            <w:r>
              <w:t xml:space="preserve"> </w:t>
            </w:r>
            <w:r>
              <w:t xml:space="preserve">menores de 5 años con antropometría válida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objetivo</w:t>
            </w:r>
          </w:p>
        </w:tc>
        <w:tc>
          <w:tcPr/>
          <w:p>
            <w:pPr>
              <w:pStyle w:val="Compact"/>
            </w:pPr>
            <w:r>
              <w:t xml:space="preserve">Desnutrición crónica: Z-score Talla/Edad (</w:t>
            </w:r>
            <w:r>
              <w:rPr>
                <w:rStyle w:val="VerbatimChar"/>
              </w:rPr>
              <w:t xml:space="preserve">HC70</w:t>
            </w:r>
            <w:r>
              <w:t xml:space="preserve">) &lt; −2 DE, estándar OMS / KPI 4 del INEI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Prevalencia</w:t>
            </w:r>
          </w:p>
        </w:tc>
        <w:tc>
          <w:tcPr/>
          <w:p>
            <w:pPr>
              <w:pStyle w:val="Compact"/>
            </w:pPr>
            <w:r>
              <w:t xml:space="preserve">15.8%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problema</w:t>
            </w:r>
          </w:p>
        </w:tc>
        <w:tc>
          <w:tcPr/>
          <w:p>
            <w:pPr>
              <w:pStyle w:val="Compact"/>
            </w:pPr>
            <w:r>
              <w:t xml:space="preserve">Clasificación binaria supervisada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Validación cruzada estratificada 5-</w:t>
            </w:r>
            <w:r>
              <w:rPr>
                <w:i/>
                <w:iCs/>
              </w:rPr>
              <w:t xml:space="preserve">fold</w:t>
            </w:r>
            <w:r>
              <w:t xml:space="preserve"> </w:t>
            </w:r>
            <w:r>
              <w:t xml:space="preserve">con ponderación muestral del INEI (</w:t>
            </w:r>
            <w:r>
              <w:rPr>
                <w:rStyle w:val="VerbatimChar"/>
              </w:rPr>
              <w:t xml:space="preserve">HV005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Decisión metodológica central: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excluyeron deliberadamente el peso y la talla directos del</w:t>
      </w:r>
      <w:r>
        <w:rPr>
          <w:b/>
          <w:bCs/>
        </w:rPr>
        <w:t xml:space="preserve"> </w:t>
      </w:r>
      <w:r>
        <w:rPr>
          <w:b/>
          <w:bCs/>
        </w:rPr>
        <w:t xml:space="preserve">niño</w:t>
      </w:r>
      <w:r>
        <w:t xml:space="preserve"> </w:t>
      </w:r>
      <w:r>
        <w:t xml:space="preserve">(</w:t>
      </w:r>
      <w:r>
        <w:rPr>
          <w:rStyle w:val="VerbatimChar"/>
        </w:rPr>
        <w:t xml:space="preserve">HC2</w:t>
      </w:r>
      <w:r>
        <w:t xml:space="preserve">,</w:t>
      </w:r>
      <w:r>
        <w:t xml:space="preserve"> </w:t>
      </w:r>
      <w:r>
        <w:rPr>
          <w:rStyle w:val="VerbatimChar"/>
        </w:rPr>
        <w:t xml:space="preserve">HC3</w:t>
      </w:r>
      <w:r>
        <w:t xml:space="preserve">) y los Z-scores derivados, siguiendo el criterio de prevención de fuga de</w:t>
      </w:r>
      <w:r>
        <w:t xml:space="preserve"> </w:t>
      </w:r>
      <w:r>
        <w:t xml:space="preserve">información (Kaufman et al., 2011). Si el modelo conociera la talla, el diagnóstico sería</w:t>
      </w:r>
      <w:r>
        <w:t xml:space="preserve"> </w:t>
      </w:r>
      <w:r>
        <w:t xml:space="preserve">trivial y no habría predicción. El modelo aprende únicamente de variables</w:t>
      </w:r>
      <w:r>
        <w:t xml:space="preserve"> </w:t>
      </w:r>
      <w:r>
        <w:rPr>
          <w:i/>
          <w:iCs/>
        </w:rPr>
        <w:t xml:space="preserve">no obvias</w:t>
      </w:r>
      <w:r>
        <w:t xml:space="preserve"> </w:t>
      </w:r>
      <w:r>
        <w:t xml:space="preserve">—condiciones del</w:t>
      </w:r>
      <w:r>
        <w:t xml:space="preserve"> </w:t>
      </w:r>
      <w:r>
        <w:t xml:space="preserve">hogar, historia materna y entorno— que la encuesta puede recoger sin medir al niño.</w:t>
      </w:r>
    </w:p>
    <w:p>
      <w:pPr>
        <w:pStyle w:val="BodyText"/>
      </w:pPr>
      <w:r>
        <w:rPr>
          <w:b/>
          <w:bCs/>
        </w:rPr>
        <w:t xml:space="preserve">Resultados actuales:</w:t>
      </w:r>
      <w:r>
        <w:t xml:space="preserve"> </w:t>
      </w:r>
      <w:r>
        <w:t xml:space="preserve">LightGBM resultó el algoritmo campeón entre seis evaluados, con</w:t>
      </w:r>
      <w:r>
        <w:t xml:space="preserve"> </w:t>
      </w:r>
      <w:r>
        <w:rPr>
          <w:b/>
          <w:bCs/>
        </w:rPr>
        <w:t xml:space="preserve">AUC-ROC 0.8294</w:t>
      </w:r>
      <w:r>
        <w:t xml:space="preserve"> </w:t>
      </w:r>
      <w:r>
        <w:t xml:space="preserve">(IC 95%: 0.8267 – 0.8324) y</w:t>
      </w:r>
      <w:r>
        <w:t xml:space="preserve"> </w:t>
      </w:r>
      <w:r>
        <w:rPr>
          <w:b/>
          <w:bCs/>
        </w:rPr>
        <w:t xml:space="preserve">sensibilidad 76.43%</w:t>
      </w:r>
      <w:r>
        <w:t xml:space="preserve"> </w:t>
      </w:r>
      <w:r>
        <w:t xml:space="preserve">(IC 95%: 75.88% – 76.98%),</w:t>
      </w:r>
      <w:r>
        <w:t xml:space="preserve"> </w:t>
      </w:r>
      <w:r>
        <w:t xml:space="preserve">verificados mediante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de 1,000 repeticiones. El umbral de decisión es ajustable: elevando la</w:t>
      </w:r>
      <w:r>
        <w:t xml:space="preserve"> </w:t>
      </w:r>
      <w:r>
        <w:t xml:space="preserve">sensibilidad a ≥ 80% el sistema detecta más casos reales a costa de más falsos positivos, criterio</w:t>
      </w:r>
      <w:r>
        <w:t xml:space="preserve"> </w:t>
      </w:r>
      <w:r>
        <w:t xml:space="preserve">deliberado en triaje preventivo, donde no detectar a un niño desnutrido es más costoso que una visita</w:t>
      </w:r>
      <w:r>
        <w:t xml:space="preserve"> </w:t>
      </w:r>
      <w:r>
        <w:t xml:space="preserve">de verificación innecesaria.</w:t>
      </w:r>
    </w:p>
    <w:p>
      <w:r>
        <w:pict>
          <v:rect style="width:0;height:1.5pt" o:hralign="center" o:hrstd="t" o:hr="t"/>
        </w:pict>
      </w:r>
    </w:p>
    <w:bookmarkEnd w:id="10"/>
    <w:bookmarkStart w:id="16" w:name="variables-que-intervienen-45"/>
    <w:p>
      <w:pPr>
        <w:pStyle w:val="Heading2"/>
      </w:pPr>
      <w:r>
        <w:t xml:space="preserve">3. Variables que intervienen (45)</w:t>
      </w:r>
    </w:p>
    <w:p>
      <w:pPr>
        <w:pStyle w:val="FirstParagraph"/>
      </w:pPr>
      <w:r>
        <w:t xml:space="preserve">Esta tabla define</w:t>
      </w:r>
      <w:r>
        <w:t xml:space="preserve"> </w:t>
      </w:r>
      <w:r>
        <w:rPr>
          <w:b/>
          <w:bCs/>
        </w:rPr>
        <w:t xml:space="preserve">cómo debe venir codificada cada variable</w:t>
      </w:r>
      <w:r>
        <w:t xml:space="preserve"> </w:t>
      </w:r>
      <w:r>
        <w:t xml:space="preserve">en un conjunto de datos externo. El</w:t>
      </w:r>
      <w:r>
        <w:t xml:space="preserve"> </w:t>
      </w:r>
      <w:r>
        <w:t xml:space="preserve">modelo compara valores de forma literal: una categoría escrita de otra manera (</w:t>
      </w:r>
      <w:r>
        <w:rPr>
          <w:rStyle w:val="VerbatimChar"/>
        </w:rPr>
        <w:t xml:space="preserve">"URBANO"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"Urbano"</w:t>
      </w:r>
      <w:r>
        <w:t xml:space="preserve">, 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"Si"</w:t>
      </w:r>
      <w:r>
        <w:t xml:space="preserve">/</w:t>
      </w:r>
      <w:r>
        <w:rPr>
          <w:rStyle w:val="VerbatimChar"/>
        </w:rPr>
        <w:t xml:space="preserve">"No"</w:t>
      </w:r>
      <w:r>
        <w:t xml:space="preserve">) no produce un error visible, sino una predicción</w:t>
      </w:r>
      <w:r>
        <w:t xml:space="preserve"> </w:t>
      </w:r>
      <w:r>
        <w:t xml:space="preserve">degradada en silencio. Por eso el formato importa tanto como la variable misma.</w:t>
      </w:r>
    </w:p>
    <w:p>
      <w:pPr>
        <w:pStyle w:val="BodyText"/>
      </w:pPr>
      <w:r>
        <w:rPr>
          <w:b/>
          <w:bCs/>
        </w:rPr>
        <w:t xml:space="preserve">Convenciones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Categórica nominal</w:t>
      </w:r>
      <w:r>
        <w:t xml:space="preserve">: texto, exactamente uno de los valores listados. No hay orden entre ellos.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Categórica ordinal</w:t>
      </w:r>
      <w:r>
        <w:t xml:space="preserve">: texto, con orden implícito (de mayor a menor, según se lista).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Binaria</w:t>
      </w:r>
      <w:r>
        <w:t xml:space="preserve">: texto,</w:t>
      </w:r>
      <w:r>
        <w:t xml:space="preserve"> </w:t>
      </w:r>
      <w:r>
        <w:rPr>
          <w:rStyle w:val="VerbatimChar"/>
        </w:rPr>
        <w:t xml:space="preserve">Sí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Numérica</w:t>
      </w:r>
      <w:r>
        <w:t xml:space="preserve">: magnitud real, en la unidad indicada. Aquí el número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representa una cantidad.</w:t>
      </w:r>
    </w:p>
    <w:p>
      <w:pPr>
        <w:pStyle w:val="Compact"/>
        <w:numPr>
          <w:ilvl w:val="0"/>
          <w:numId w:val="1001"/>
        </w:numPr>
      </w:pPr>
      <w:r>
        <w:t xml:space="preserve">Un campo ausente debe dejarse</w:t>
      </w:r>
      <w:r>
        <w:t xml:space="preserve"> </w:t>
      </w:r>
      <w:r>
        <w:rPr>
          <w:b/>
          <w:bCs/>
        </w:rPr>
        <w:t xml:space="preserve">vacío</w:t>
      </w:r>
      <w:r>
        <w:t xml:space="preserve">, nunca rellenarse con 0, 999 o</w:t>
      </w:r>
      <w:r>
        <w:t xml:space="preserve"> </w:t>
      </w:r>
      <w:r>
        <w:t xml:space="preserve">“NA”</w:t>
      </w:r>
      <w:r>
        <w:t xml:space="preserve">: el modelo maneja</w:t>
      </w:r>
      <w:r>
        <w:t xml:space="preserve"> </w:t>
      </w:r>
      <w:r>
        <w:t xml:space="preserve">valores faltantes de forma nativa y cada variable tolera el porcentaje de vacíos que se indica.</w:t>
      </w:r>
    </w:p>
    <w:p>
      <w:pPr>
        <w:pStyle w:val="FirstParagraph"/>
      </w:pPr>
      <w:r>
        <w:t xml:space="preserve">Las categorías se entregan</w:t>
      </w:r>
      <w:r>
        <w:t xml:space="preserve"> </w:t>
      </w:r>
      <w:r>
        <w:rPr>
          <w:b/>
          <w:bCs/>
        </w:rPr>
        <w:t xml:space="preserve">en texto, no en código numérico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de una variable nominal no es</w:t>
      </w:r>
      <w:r>
        <w:t xml:space="preserve"> </w:t>
      </w:r>
      <w:r>
        <w:t xml:space="preserve">una cantidad sino una etiqueta arbitraria, y su significado cambia entre ediciones de la encuesta: es</w:t>
      </w:r>
      <w:r>
        <w:t xml:space="preserve"> </w:t>
      </w:r>
      <w:r>
        <w:t xml:space="preserve">preferible escribir</w:t>
      </w:r>
      <w:r>
        <w:t xml:space="preserve"> </w:t>
      </w:r>
      <w:r>
        <w:rPr>
          <w:rStyle w:val="VerbatimChar"/>
        </w:rPr>
        <w:t xml:space="preserve">Electricidad</w:t>
      </w:r>
      <w:r>
        <w:t xml:space="preserve"> </w:t>
      </w:r>
      <w:r>
        <w:t xml:space="preserve">antes que</w:t>
      </w:r>
      <w:r>
        <w:t xml:space="preserve"> </w:t>
      </w:r>
      <w:r>
        <w:rPr>
          <w:rStyle w:val="VerbatimChar"/>
        </w:rPr>
        <w:t xml:space="preserve">1</w:t>
      </w:r>
      <w:r>
        <w:t xml:space="preserve">. Si el sistema de origen almacena códigos, basta con</w:t>
      </w:r>
      <w:r>
        <w:t xml:space="preserve"> </w:t>
      </w:r>
      <w:r>
        <w:t xml:space="preserve">adjuntar su diccionario de valores.</w:t>
      </w:r>
    </w:p>
    <w:bookmarkStart w:id="11" w:name="niño"/>
    <w:p>
      <w:pPr>
        <w:pStyle w:val="Heading3"/>
      </w:pPr>
      <w:r>
        <w:t xml:space="preserve">Niño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Hombre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Mujer</w:t>
            </w:r>
          </w:p>
        </w:tc>
        <w:tc>
          <w:tcPr/>
          <w:p>
            <w:pPr>
              <w:pStyle w:val="Compact"/>
            </w:pPr>
            <w:r>
              <w:t xml:space="preserve">sexo del niño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4 – 20 (hemoglobina ajustada)</w:t>
            </w:r>
          </w:p>
        </w:tc>
        <w:tc>
          <w:tcPr/>
          <w:p>
            <w:pPr>
              <w:pStyle w:val="Compact"/>
            </w:pPr>
            <w:r>
              <w:t xml:space="preserve">g/dL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7 – 388</w:t>
            </w:r>
          </w:p>
        </w:tc>
        <w:tc>
          <w:tcPr/>
          <w:p>
            <w:pPr>
              <w:pStyle w:val="Compact"/>
            </w:pPr>
            <w:r>
              <w:t xml:space="preserve">meses desde el parto anterior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</w:t>
            </w:r>
          </w:p>
        </w:tc>
      </w:tr>
    </w:tbl>
    <w:bookmarkEnd w:id="11"/>
    <w:bookmarkStart w:id="12" w:name="salud-materna-embarazo-y-lactancia"/>
    <w:p>
      <w:pPr>
        <w:pStyle w:val="Heading3"/>
      </w:pPr>
      <w:r>
        <w:t xml:space="preserve">Salud materna, embarazo y lactancia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mes de gestación del 1.er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20</w:t>
            </w:r>
          </w:p>
        </w:tc>
        <w:tc>
          <w:tcPr/>
          <w:p>
            <w:pPr>
              <w:pStyle w:val="Compact"/>
            </w:pPr>
            <w:r>
              <w:t xml:space="preserve">número de visitas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Institucional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Domiciliario</w:t>
            </w:r>
          </w:p>
        </w:tc>
        <w:tc>
          <w:tcPr/>
          <w:p>
            <w:pPr>
              <w:pStyle w:val="Compact"/>
            </w:pPr>
            <w:r>
              <w:t xml:space="preserve">lugar del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¿el parto fue por cesárea?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Categórica ordinal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Muy 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Mediano (normal)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Pequeño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Muy pequeño</w:t>
            </w:r>
          </w:p>
        </w:tc>
        <w:tc>
          <w:tcPr/>
          <w:p>
            <w:pPr>
              <w:pStyle w:val="Compact"/>
            </w:pPr>
            <w:r>
              <w:t xml:space="preserve">tamaño percibido al nacer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0.5 – 6.0</w:t>
            </w:r>
          </w:p>
        </w:tc>
        <w:tc>
          <w:tcPr/>
          <w:p>
            <w:pPr>
              <w:pStyle w:val="Compact"/>
            </w:pPr>
            <w:r>
              <w:t xml:space="preserve">kilogramos (decimal)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 de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2352</w:t>
            </w:r>
          </w:p>
        </w:tc>
        <w:tc>
          <w:tcPr/>
          <w:p>
            <w:pPr>
              <w:pStyle w:val="Compact"/>
            </w:pPr>
            <w:r>
              <w:t xml:space="preserve">horas hasta iniciar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364</w:t>
            </w:r>
          </w:p>
        </w:tc>
        <w:tc>
          <w:tcPr/>
          <w:p>
            <w:pPr>
              <w:pStyle w:val="Compact"/>
            </w:pPr>
            <w:r>
              <w:t xml:space="preserve">días que tomó hierro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vitamina A en los 2 meses post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fórmula en los 3 primeros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antiparasitarios durante el embarazo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años de educación aprobados por la madre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</w:tbl>
    <w:bookmarkEnd w:id="12"/>
    <w:bookmarkStart w:id="13" w:name="hogar-y-nivel-socioeconómico"/>
    <w:p>
      <w:pPr>
        <w:pStyle w:val="Heading3"/>
      </w:pPr>
      <w:r>
        <w:t xml:space="preserve">Hogar y nivel socioeconómico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−215987 a 205316</w:t>
            </w:r>
          </w:p>
        </w:tc>
        <w:tc>
          <w:tcPr/>
          <w:p>
            <w:pPr>
              <w:pStyle w:val="Compact"/>
            </w:pPr>
            <w:r>
              <w:t xml:space="preserve">índice de riqueza (escala INEI ×10⁵)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25</w:t>
            </w:r>
          </w:p>
        </w:tc>
        <w:tc>
          <w:tcPr/>
          <w:p>
            <w:pPr>
              <w:pStyle w:val="Compact"/>
            </w:pPr>
            <w:r>
              <w:t xml:space="preserve">personas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10</w:t>
            </w:r>
          </w:p>
        </w:tc>
        <w:tc>
          <w:tcPr/>
          <w:p>
            <w:pPr>
              <w:pStyle w:val="Compact"/>
            </w:pPr>
            <w:r>
              <w:t xml:space="preserve">niños menores de 5 años en 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Masculino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Femenino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12 – 97</w:t>
            </w:r>
          </w:p>
        </w:tc>
        <w:tc>
          <w:tcPr/>
          <w:p>
            <w:pPr>
              <w:pStyle w:val="Compact"/>
            </w:pPr>
            <w:r>
              <w:t xml:space="preserve">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residente habitual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Rural</w:t>
            </w:r>
          </w:p>
        </w:tc>
        <w:tc>
          <w:tcPr/>
          <w:p>
            <w:pPr>
              <w:pStyle w:val="Compact"/>
            </w:pPr>
            <w:r>
              <w:t xml:space="preserve">área de residencia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3"/>
    <w:bookmarkStart w:id="14" w:name="agua-saneamiento-e-higiene-wash"/>
    <w:p>
      <w:pPr>
        <w:pStyle w:val="Heading3"/>
      </w:pPr>
      <w:r>
        <w:t xml:space="preserve">Agua, saneamiento e higiene (WASH)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600</w:t>
            </w:r>
          </w:p>
        </w:tc>
        <w:tc>
          <w:tcPr/>
          <w:p>
            <w:pPr>
              <w:pStyle w:val="Compact"/>
            </w:pPr>
            <w:r>
              <w:t xml:space="preserve">minutos hasta la fuente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¿comparte servicio higiénico?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0, 7, 15, 30</w:t>
            </w:r>
          </w:p>
        </w:tc>
        <w:tc>
          <w:tcPr/>
          <w:p>
            <w:pPr>
              <w:pStyle w:val="Compact"/>
            </w:pPr>
            <w:r>
              <w:t xml:space="preserve">yodo en sal (ppm por colorimetría)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¿trata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¿hierve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¿consume agua embotellada?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¿dispone de agua todo el día?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¿conserva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Olla, tetera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Balde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Jarra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Bidón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recipiente donde conserva el agua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el recipiente con tapa?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</w:tr>
    </w:tbl>
    <w:bookmarkEnd w:id="14"/>
    <w:bookmarkStart w:id="15" w:name="vivienda-y-entorno"/>
    <w:p>
      <w:pPr>
        <w:pStyle w:val="Heading3"/>
      </w:pPr>
      <w:r>
        <w:t xml:space="preserve">Vivienda y entorno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5053</w:t>
            </w:r>
          </w:p>
        </w:tc>
        <w:tc>
          <w:tcPr/>
          <w:p>
            <w:pPr>
              <w:pStyle w:val="Compact"/>
            </w:pPr>
            <w:r>
              <w:t xml:space="preserve">metros sobre el nivel del 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14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 chimenea ni campana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Tubo de lámpara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Capucha</w:t>
            </w:r>
          </w:p>
        </w:tc>
        <w:tc>
          <w:tcPr/>
          <w:p>
            <w:pPr>
              <w:pStyle w:val="Compact"/>
            </w:pPr>
            <w:r>
              <w:t xml:space="preserve">extracción de humo en la cocina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¿cuarto separado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otro combustible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Electricidad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Gas natural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Kerosene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Velas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Batería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tipo de alumbrado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 – 30</w:t>
            </w:r>
          </w:p>
        </w:tc>
        <w:tc>
          <w:tcPr/>
          <w:p>
            <w:pPr>
              <w:pStyle w:val="Compact"/>
            </w:pPr>
            <w:r>
              <w:t xml:space="preserve">habitaciones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cristal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SH76C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de madera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malla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5"/>
    <w:bookmarkEnd w:id="16"/>
    <w:bookmarkStart w:id="20" w:name="variables-adicionales-deseables"/>
    <w:p>
      <w:pPr>
        <w:pStyle w:val="Heading2"/>
      </w:pPr>
      <w:r>
        <w:t xml:space="preserve">4. Variables adicionales deseables</w:t>
      </w:r>
    </w:p>
    <w:p>
      <w:pPr>
        <w:pStyle w:val="FirstParagraph"/>
      </w:pPr>
      <w:r>
        <w:t xml:space="preserve">Las 45 variables anteriores son las que el modelo</w:t>
      </w:r>
      <w:r>
        <w:t xml:space="preserve"> </w:t>
      </w:r>
      <w:r>
        <w:rPr>
          <w:b/>
          <w:bCs/>
        </w:rPr>
        <w:t xml:space="preserve">usa hoy</w:t>
      </w:r>
      <w:r>
        <w:t xml:space="preserve"> </w:t>
      </w:r>
      <w:r>
        <w:t xml:space="preserve">y constituyen el mínimo necesario para</w:t>
      </w:r>
      <w:r>
        <w:t xml:space="preserve"> </w:t>
      </w:r>
      <w:r>
        <w:t xml:space="preserve">contrastarlo. Las que siguen</w:t>
      </w:r>
      <w:r>
        <w:t xml:space="preserve"> </w:t>
      </w:r>
      <w:r>
        <w:rPr>
          <w:b/>
          <w:bCs/>
        </w:rPr>
        <w:t xml:space="preserve">no están en el modelo actual</w:t>
      </w:r>
      <w:r>
        <w:t xml:space="preserve"> </w:t>
      </w:r>
      <w:r>
        <w:t xml:space="preserve">y se solicitan porque la literatura</w:t>
      </w:r>
      <w:r>
        <w:t xml:space="preserve"> </w:t>
      </w:r>
      <w:r>
        <w:t xml:space="preserve">epidemiológica las identifica como determinantes de la desnutrición crónica que la ENDES no permite</w:t>
      </w:r>
      <w:r>
        <w:t xml:space="preserve"> </w:t>
      </w:r>
      <w:r>
        <w:t xml:space="preserve">cubrir con suficiente completitud.</w:t>
      </w:r>
    </w:p>
    <w:p>
      <w:pPr>
        <w:pStyle w:val="BodyText"/>
      </w:pPr>
      <w:r>
        <w:t xml:space="preserve">Su inclusión es</w:t>
      </w:r>
      <w:r>
        <w:t xml:space="preserve"> </w:t>
      </w:r>
      <w:r>
        <w:rPr>
          <w:b/>
          <w:bCs/>
        </w:rPr>
        <w:t xml:space="preserve">opcional</w:t>
      </w:r>
      <w:r>
        <w:t xml:space="preserve">: el sistema funciona sin ellas. Pero cada dimensión que el conjunto de</w:t>
      </w:r>
      <w:r>
        <w:t xml:space="preserve"> </w:t>
      </w:r>
      <w:r>
        <w:t xml:space="preserve">datos externo pueda aportar abre la posibilidad de una versión mejorada del modelo, y su ausencia es</w:t>
      </w:r>
      <w:r>
        <w:t xml:space="preserve"> </w:t>
      </w:r>
      <w:r>
        <w:t xml:space="preserve">hoy una limitación declarada del estudio.</w:t>
      </w:r>
    </w:p>
    <w:p>
      <w:pPr>
        <w:pStyle w:val="BodyText"/>
      </w:pPr>
      <w:r>
        <w:t xml:space="preserve">El marco de referencia es el</w:t>
      </w:r>
      <w:r>
        <w:t xml:space="preserve"> </w:t>
      </w:r>
      <w:r>
        <w:rPr>
          <w:b/>
          <w:bCs/>
        </w:rPr>
        <w:t xml:space="preserve">modelo conceptual de UNICEF</w:t>
      </w:r>
      <w:r>
        <w:t xml:space="preserve"> </w:t>
      </w:r>
      <w:r>
        <w:t xml:space="preserve">sobre desnutrición infantil, que ordena</w:t>
      </w:r>
      <w:r>
        <w:t xml:space="preserve"> </w:t>
      </w:r>
      <w:r>
        <w:t xml:space="preserve">las causas en tres niveles y que la serie de nutrición materno-infantil de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sistematiza</w:t>
      </w:r>
      <w:r>
        <w:t xml:space="preserve"> </w:t>
      </w:r>
      <w:r>
        <w:t xml:space="preserve">(Black et al., 2013; Victora et al., 2021). El modelo actual cubre bien los niveles básico y subyacente —pobreza,</w:t>
      </w:r>
      <w:r>
        <w:t xml:space="preserve"> </w:t>
      </w:r>
      <w:r>
        <w:t xml:space="preserve">educación, agua y saneamiento, vivienda— pero tiene un vacío en el</w:t>
      </w:r>
      <w:r>
        <w:t xml:space="preserve"> </w:t>
      </w:r>
      <w:r>
        <w:rPr>
          <w:b/>
          <w:bCs/>
        </w:rPr>
        <w:t xml:space="preserve">nivel inmediato</w:t>
      </w:r>
      <w:r>
        <w:t xml:space="preserve">, que es</w:t>
      </w:r>
      <w:r>
        <w:t xml:space="preserve"> </w:t>
      </w:r>
      <w:r>
        <w:t xml:space="preserve">precisamente donde actúa la intervención nutricional.</w:t>
      </w:r>
    </w:p>
    <w:bookmarkStart w:id="17" w:name="Xa28ccaee8b3810007f607d5dc6ef3df53e6a5a3"/>
    <w:p>
      <w:pPr>
        <w:pStyle w:val="Heading3"/>
      </w:pPr>
      <w:r>
        <w:t xml:space="preserve">Prioridad alta — nivel inmediato (el vacío principal)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Episodios de diarrea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Vía infecciosa hacia la malabsorción de nutrientes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Infección respiratoria aguda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Impacto directo sobre el estado nutricional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Diversidad dietética mínima (número de grupos de alimentos en 24 h)</w:t>
            </w:r>
          </w:p>
        </w:tc>
        <w:tc>
          <w:tcPr/>
          <w:p>
            <w:pPr>
              <w:pStyle w:val="Compact"/>
            </w:pPr>
            <w:r>
              <w:t xml:space="preserve">Indicador OMS de calidad de la alimentación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Frecuencia mínima de comidas según edad</w:t>
            </w:r>
          </w:p>
        </w:tc>
        <w:tc>
          <w:tcPr/>
          <w:p>
            <w:pPr>
              <w:pStyle w:val="Compact"/>
            </w:pPr>
            <w:r>
              <w:t xml:space="preserve">Complemento del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Suplementación</w:t>
            </w:r>
          </w:p>
        </w:tc>
        <w:tc>
          <w:tcPr/>
          <w:p>
            <w:pPr>
              <w:pStyle w:val="Compact"/>
            </w:pPr>
            <w:r>
              <w:t xml:space="preserve">Recibe micronutrientes o hierro (sí/no, frecuencia)</w:t>
            </w:r>
          </w:p>
        </w:tc>
        <w:tc>
          <w:tcPr/>
          <w:p>
            <w:pPr>
              <w:pStyle w:val="Compact"/>
            </w:pPr>
            <w:r>
              <w:t xml:space="preserve">Intervención directa y modificable</w:t>
            </w:r>
          </w:p>
        </w:tc>
      </w:tr>
    </w:tbl>
    <w:bookmarkEnd w:id="17"/>
    <w:bookmarkStart w:id="18" w:name="Xea480f4cdf50012eed58a23ba12f3601238dacf"/>
    <w:p>
      <w:pPr>
        <w:pStyle w:val="Heading3"/>
      </w:pPr>
      <w:r>
        <w:t xml:space="preserve">Prioridad media — estado nutricional materno y 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Talla de la madre (cm)</w:t>
            </w:r>
          </w:p>
        </w:tc>
        <w:tc>
          <w:tcPr/>
          <w:p>
            <w:pPr>
              <w:pStyle w:val="Compact"/>
            </w:pPr>
            <w:r>
              <w:t xml:space="preserve">Predictor consistente de retraso del crecimiento intergeneracional; resultó la variable más influyente en un modelo equivalente sobre datos DHS (Ndagijimana et al.,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Peso / IMC de la madre</w:t>
            </w:r>
          </w:p>
        </w:tc>
        <w:tc>
          <w:tcPr/>
          <w:p>
            <w:pPr>
              <w:pStyle w:val="Compact"/>
            </w:pPr>
            <w:r>
              <w:t xml:space="preserve">Estado nutricional del hogar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Controles CRED al día (sí/no, número)</w:t>
            </w:r>
          </w:p>
        </w:tc>
        <w:tc>
          <w:tcPr/>
          <w:p>
            <w:pPr>
              <w:pStyle w:val="Compact"/>
            </w:pPr>
            <w:r>
              <w:t xml:space="preserve">Seguimiento del crecimiento en el sistema peruano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Esquema de vacunación completo para la edad (sí/no)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Proxy</w:t>
            </w:r>
            <w:r>
              <w:t xml:space="preserve"> </w:t>
            </w:r>
            <w:r>
              <w:t xml:space="preserve">de acceso efectivo a servicios</w:t>
            </w:r>
          </w:p>
        </w:tc>
      </w:tr>
    </w:tbl>
    <w:bookmarkEnd w:id="18"/>
    <w:bookmarkStart w:id="19" w:name="prioridad-media-contexto-social"/>
    <w:p>
      <w:pPr>
        <w:pStyle w:val="Heading3"/>
      </w:pPr>
      <w:r>
        <w:t xml:space="preserve">Prioridad media — contexto social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Etnicidad</w:t>
            </w:r>
          </w:p>
        </w:tc>
        <w:tc>
          <w:tcPr/>
          <w:p>
            <w:pPr>
              <w:pStyle w:val="Compact"/>
            </w:pPr>
            <w:r>
              <w:t xml:space="preserve">Lengua materna de la madre</w:t>
            </w:r>
          </w:p>
        </w:tc>
        <w:tc>
          <w:tcPr/>
          <w:p>
            <w:pPr>
              <w:pStyle w:val="Compact"/>
            </w:pPr>
            <w:r>
              <w:t xml:space="preserve">Marcador de exclusión estructural especialmente relevante en el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 alimentaria</w:t>
            </w:r>
          </w:p>
        </w:tc>
        <w:tc>
          <w:tcPr/>
          <w:p>
            <w:pPr>
              <w:pStyle w:val="Compact"/>
            </w:pPr>
            <w:r>
              <w:t xml:space="preserve">Escala de inseguridad alimentaria del hogar (ELCSA o similar)</w:t>
            </w:r>
          </w:p>
        </w:tc>
        <w:tc>
          <w:tcPr/>
          <w:p>
            <w:pPr>
              <w:pStyle w:val="Compact"/>
            </w:pPr>
            <w:r>
              <w:t xml:space="preserve">Acceso efectivo a alimentos, no solo capacidad económica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Cuidado</w:t>
            </w:r>
          </w:p>
        </w:tc>
        <w:tc>
          <w:tcPr/>
          <w:p>
            <w:pPr>
              <w:pStyle w:val="Compact"/>
            </w:pPr>
            <w:r>
              <w:t xml:space="preserve">Situación laboral de la madre / cuidador principal</w:t>
            </w:r>
          </w:p>
        </w:tc>
        <w:tc>
          <w:tcPr/>
          <w:p>
            <w:pPr>
              <w:pStyle w:val="Compact"/>
            </w:pPr>
            <w:r>
              <w:t xml:space="preserve">Tiempo disponible para prácticas de 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Beneficiario de Juntos, Cuna Más, Qali Warma (sí/no)</w:t>
            </w:r>
          </w:p>
        </w:tc>
        <w:tc>
          <w:tcPr/>
          <w:p>
            <w:pPr>
              <w:pStyle w:val="Compact"/>
            </w:pPr>
            <w:r>
              <w:t xml:space="preserve">Permite evaluar cobertura frente a necesidad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3" w:name="qué-esperamos-de-esta-validación"/>
    <w:p>
      <w:pPr>
        <w:pStyle w:val="Heading2"/>
      </w:pPr>
      <w:r>
        <w:t xml:space="preserve">5. Qué esperamos de esta validación</w:t>
      </w:r>
    </w:p>
    <w:p>
      <w:pPr>
        <w:pStyle w:val="FirstParagraph"/>
      </w:pPr>
      <w:r>
        <w:t xml:space="preserve">Solicitamos la participación de</w:t>
      </w:r>
      <w:r>
        <w:t xml:space="preserve"> </w:t>
      </w:r>
      <w:r>
        <w:rPr>
          <w:b/>
          <w:bCs/>
        </w:rPr>
        <w:t xml:space="preserve">cinco especialistas</w:t>
      </w:r>
      <w:r>
        <w:t xml:space="preserve"> </w:t>
      </w:r>
      <w:r>
        <w:t xml:space="preserve">en nutrición, salud pública, epidemiología o</w:t>
      </w:r>
      <w:r>
        <w:t xml:space="preserve"> </w:t>
      </w:r>
      <w:r>
        <w:t xml:space="preserve">enfermería, idealmente con representación territorial (</w:t>
      </w:r>
      <w:r>
        <w:rPr>
          <w:b/>
          <w:bCs/>
        </w:rPr>
        <w:t xml:space="preserve">2 de costa, 2 de sierra, 1 de selva</w:t>
      </w:r>
      <w:r>
        <w:t xml:space="preserve">), para</w:t>
      </w:r>
      <w:r>
        <w:t xml:space="preserve"> </w:t>
      </w:r>
      <w:r>
        <w:t xml:space="preserve">dos procesos complementarios:</w:t>
      </w:r>
    </w:p>
    <w:bookmarkStart w:id="21" w:name="pertinencia"/>
    <w:p>
      <w:pPr>
        <w:pStyle w:val="Heading3"/>
      </w:pPr>
      <w:r>
        <w:t xml:space="preserve">5.1 Pertinencia</w:t>
      </w:r>
    </w:p>
    <w:p>
      <w:pPr>
        <w:pStyle w:val="FirstParagraph"/>
      </w:pPr>
      <w:r>
        <w:t xml:space="preserve">Valoración de la</w:t>
      </w:r>
      <w:r>
        <w:t xml:space="preserve"> </w:t>
      </w:r>
      <w:r>
        <w:rPr>
          <w:b/>
          <w:bCs/>
        </w:rPr>
        <w:t xml:space="preserve">utilidad percibida</w:t>
      </w:r>
      <w:r>
        <w:t xml:space="preserve"> </w:t>
      </w:r>
      <w:r>
        <w:t xml:space="preserve">del sistema mediante un instrumento estructurado que el</w:t>
      </w:r>
      <w:r>
        <w:t xml:space="preserve"> </w:t>
      </w:r>
      <w:r>
        <w:t xml:space="preserve">especialista completará tras una demostración del aplicativo. Se evalúa si la herramienta resulta útil,</w:t>
      </w:r>
      <w:r>
        <w:t xml:space="preserve"> </w:t>
      </w:r>
      <w:r>
        <w:t xml:space="preserve">comprensible y aplicable en la práctica real de focalización sanitaria, y qué limitaciones o variables</w:t>
      </w:r>
      <w:r>
        <w:t xml:space="preserve"> </w:t>
      </w:r>
      <w:r>
        <w:t xml:space="preserve">faltantes identifica desde su experiencia profesional.</w:t>
      </w:r>
    </w:p>
    <w:p>
      <w:pPr>
        <w:pStyle w:val="BodyText"/>
      </w:pPr>
      <w:r>
        <w:rPr>
          <w:i/>
          <w:iCs/>
        </w:rPr>
        <w:t xml:space="preserve">Modalidad:</w:t>
      </w:r>
      <w:r>
        <w:t xml:space="preserve"> </w:t>
      </w:r>
      <w:r>
        <w:t xml:space="preserve">sesión virtual, coordinada según disponibilidad. El equipo provee el protocolo, conduce la</w:t>
      </w:r>
      <w:r>
        <w:t xml:space="preserve"> </w:t>
      </w:r>
      <w:r>
        <w:t xml:space="preserve">demostración y registra la sesión.</w:t>
      </w:r>
    </w:p>
    <w:bookmarkEnd w:id="21"/>
    <w:bookmarkStart w:id="22" w:name="replicabilidad"/>
    <w:p>
      <w:pPr>
        <w:pStyle w:val="Heading3"/>
      </w:pPr>
      <w:r>
        <w:t xml:space="preserve">5.2 Replicabilidad</w:t>
      </w:r>
    </w:p>
    <w:p>
      <w:pPr>
        <w:pStyle w:val="FirstParagraph"/>
      </w:pPr>
      <w:r>
        <w:t xml:space="preserve">Contraste del modelo frente a</w:t>
      </w:r>
      <w:r>
        <w:t xml:space="preserve"> </w:t>
      </w:r>
      <w:r>
        <w:rPr>
          <w:b/>
          <w:bCs/>
        </w:rPr>
        <w:t xml:space="preserve">datos externos</w:t>
      </w:r>
      <w:r>
        <w:t xml:space="preserve"> </w:t>
      </w:r>
      <w:r>
        <w:t xml:space="preserve">distintos de la ENDES. El procedimiento consiste en que</w:t>
      </w:r>
      <w:r>
        <w:t xml:space="preserve"> </w:t>
      </w:r>
      <w:r>
        <w:t xml:space="preserve">el especialista aporte registros de su ámbito —incluyendo casos con y sin desnutrición diagnosticada—,</w:t>
      </w:r>
      <w:r>
        <w:t xml:space="preserve"> </w:t>
      </w:r>
      <w:r>
        <w:t xml:space="preserve">el sistema emita su estimación de riesgo, y se compare con el diagnóstico clínico conocido.</w:t>
      </w:r>
    </w:p>
    <w:p>
      <w:pPr>
        <w:pStyle w:val="BodyText"/>
      </w:pPr>
      <w:r>
        <w:t xml:space="preserve">Esto permite medir si el modelo mantiene su desempeño en una realidad distinta de aquella con la que fue</w:t>
      </w:r>
      <w:r>
        <w:t xml:space="preserve"> </w:t>
      </w:r>
      <w:r>
        <w:t xml:space="preserve">entrenado. Se requieren</w:t>
      </w:r>
      <w:r>
        <w:t xml:space="preserve"> </w:t>
      </w:r>
      <w:r>
        <w:rPr>
          <w:b/>
          <w:bCs/>
        </w:rPr>
        <w:t xml:space="preserve">datos crudos</w:t>
      </w:r>
      <w:r>
        <w:t xml:space="preserve"> </w:t>
      </w:r>
      <w:r>
        <w:t xml:space="preserve">(no reportes agregados), con las variables listadas en la</w:t>
      </w:r>
      <w:r>
        <w:t xml:space="preserve"> </w:t>
      </w:r>
      <w:r>
        <w:t xml:space="preserve">sección 3.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onsideraciones-éticas"/>
    <w:p>
      <w:pPr>
        <w:pStyle w:val="Heading2"/>
      </w:pPr>
      <w:r>
        <w:t xml:space="preserve">6. Consideraciones éticas</w:t>
      </w:r>
    </w:p>
    <w:p>
      <w:pPr>
        <w:pStyle w:val="FirstParagraph"/>
      </w:pPr>
      <w:r>
        <w:t xml:space="preserve">Los datos con los que se construyó el modelo son de</w:t>
      </w:r>
      <w:r>
        <w:t xml:space="preserve"> </w:t>
      </w:r>
      <w:r>
        <w:rPr>
          <w:b/>
          <w:bCs/>
        </w:rPr>
        <w:t xml:space="preserve">acceso público y libre</w:t>
      </w:r>
      <w:r>
        <w:t xml:space="preserve"> </w:t>
      </w:r>
      <w:r>
        <w:t xml:space="preserve">(portal de microdatos del</w:t>
      </w:r>
      <w:r>
        <w:t xml:space="preserve"> </w:t>
      </w:r>
      <w:r>
        <w:t xml:space="preserve">INEI), por lo que su tratamiento no requirió aprobación de comité de ética.</w:t>
      </w:r>
    </w:p>
    <w:p>
      <w:pPr>
        <w:pStyle w:val="BodyText"/>
      </w:pPr>
      <w:r>
        <w:t xml:space="preserve">Para la fase de validación con datos institucionales, el equipo se compromete a tramitar los permisos</w:t>
      </w:r>
      <w:r>
        <w:t xml:space="preserve"> </w:t>
      </w:r>
      <w:r>
        <w:t xml:space="preserve">formales correspondientes y a someter el protocolo a comité de ética cuando la institución lo exija. Los</w:t>
      </w:r>
      <w:r>
        <w:t xml:space="preserve"> </w:t>
      </w:r>
      <w:r>
        <w:t xml:space="preserve">datos que se reciban se usarán exclusivamente con fines de validación técnica, de forma anonimizada, y</w:t>
      </w:r>
      <w:r>
        <w:t xml:space="preserve"> </w:t>
      </w:r>
      <w:r>
        <w:t xml:space="preserve">no serán publicados ni compartidos con terceros.</w:t>
      </w:r>
    </w:p>
    <w:p>
      <w:r>
        <w:pict>
          <v:rect style="width:0;height:1.5pt" o:hralign="center" o:hrstd="t" o:hr="t"/>
        </w:pict>
      </w:r>
    </w:p>
    <w:bookmarkEnd w:id="24"/>
    <w:bookmarkStart w:id="25" w:name="X391304481d104eba4e8178b9fcdf0d8c3b107bd"/>
    <w:p>
      <w:pPr>
        <w:pStyle w:val="Heading2"/>
      </w:pPr>
      <w:r>
        <w:t xml:space="preserve">7. Contribución esperada para los participantes</w:t>
      </w:r>
    </w:p>
    <w:p>
      <w:pPr>
        <w:pStyle w:val="FirstParagraph"/>
      </w:pPr>
      <w:r>
        <w:t xml:space="preserve">Los especialistas que participen serán reconocidos en el artículo científico resultante. Asimismo, el</w:t>
      </w:r>
      <w:r>
        <w:t xml:space="preserve"> </w:t>
      </w:r>
      <w:r>
        <w:t xml:space="preserve">equipo queda disponible para integrarse como soporte técnico en investigaciones posteriores que deseen</w:t>
      </w:r>
      <w:r>
        <w:t xml:space="preserve"> </w:t>
      </w:r>
      <w:r>
        <w:t xml:space="preserve">aplicar el modelo en estudios de campo, intervención o gestión sanitaria.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Contacto: equipo de investigación — EP Ingeniería de Sistemas, Universidad Peruana Unión.</w:t>
      </w:r>
    </w:p>
    <w:p>
      <w:r>
        <w:pict>
          <v:rect style="width:0;height:1.5pt" o:hralign="center" o:hrstd="t" o:hr="t"/>
        </w:pict>
      </w:r>
    </w:p>
    <w:bookmarkEnd w:id="25"/>
    <w:bookmarkStart w:id="26" w:name="referencias-citadas"/>
    <w:p>
      <w:pPr>
        <w:pStyle w:val="Heading2"/>
      </w:pPr>
      <w:r>
        <w:t xml:space="preserve">Referencias citadas</w:t>
      </w:r>
    </w:p>
    <w:p>
      <w:pPr>
        <w:pStyle w:val="Compact"/>
        <w:numPr>
          <w:ilvl w:val="0"/>
          <w:numId w:val="1002"/>
        </w:numPr>
      </w:pPr>
      <w:r>
        <w:t xml:space="preserve">Black, R. E., Victora, C. G., Walker, S. P.,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(2013). Maternal and child undernutrition and</w:t>
      </w:r>
      <w:r>
        <w:t xml:space="preserve"> </w:t>
      </w:r>
      <w:r>
        <w:t xml:space="preserve">overweight in low-income and middle-income countries.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382(9890), 427–451.</w:t>
      </w:r>
    </w:p>
    <w:p>
      <w:pPr>
        <w:pStyle w:val="Compact"/>
        <w:numPr>
          <w:ilvl w:val="0"/>
          <w:numId w:val="1002"/>
        </w:numPr>
      </w:pPr>
      <w:r>
        <w:t xml:space="preserve">Kaufman, S., Rosset, S., &amp; Perlich, C. (2011). Leakage in data mining: formulation, detection, and</w:t>
      </w:r>
      <w:r>
        <w:t xml:space="preserve"> </w:t>
      </w:r>
      <w:r>
        <w:t xml:space="preserve">avoidance.</w:t>
      </w:r>
      <w:r>
        <w:t xml:space="preserve"> </w:t>
      </w:r>
      <w:r>
        <w:rPr>
          <w:i/>
          <w:iCs/>
        </w:rPr>
        <w:t xml:space="preserve">Proceedings of the 17th ACM SIGKDD</w:t>
      </w:r>
      <w:r>
        <w:t xml:space="preserve">, 556–563.</w:t>
      </w:r>
    </w:p>
    <w:p>
      <w:pPr>
        <w:pStyle w:val="Compact"/>
        <w:numPr>
          <w:ilvl w:val="0"/>
          <w:numId w:val="1002"/>
        </w:numPr>
      </w:pPr>
      <w:r>
        <w:t xml:space="preserve">Ndagijimana, S., Kabano, I., Masabo, E., &amp; Ntaganda, J. M. (2025). Predicting stunting status among</w:t>
      </w:r>
      <w:r>
        <w:t xml:space="preserve"> </w:t>
      </w:r>
      <w:r>
        <w:t xml:space="preserve">under-5 children in Rwanda using neural network model.</w:t>
      </w:r>
      <w:r>
        <w:t xml:space="preserve"> </w:t>
      </w:r>
      <w:r>
        <w:rPr>
          <w:i/>
          <w:iCs/>
        </w:rPr>
        <w:t xml:space="preserve">F1000Research</w:t>
      </w:r>
      <w:r>
        <w:t xml:space="preserve">, 13, 128.</w:t>
      </w:r>
    </w:p>
    <w:p>
      <w:pPr>
        <w:pStyle w:val="Compact"/>
        <w:numPr>
          <w:ilvl w:val="0"/>
          <w:numId w:val="1002"/>
        </w:numPr>
      </w:pPr>
      <w:r>
        <w:t xml:space="preserve">Victora, C. G., Christian, P., Vidaletti, L. P.,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(2021). Revisiting maternal and child</w:t>
      </w:r>
      <w:r>
        <w:t xml:space="preserve"> </w:t>
      </w:r>
      <w:r>
        <w:t xml:space="preserve">undernutrition in low-income and middle-income countries.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397(10282), 1388–1399.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2026-09-18T00:16:05Z</dcterms:created>
  <dcterms:modified xsi:type="dcterms:W3CDTF">2026-09-18T00:16:05Z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