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Esta investigação emerge do meu mestrado em Arte e Ciência do Vidro e Cerâmica (VICARTE, FCT NOVA), que investigou a relação entre cerâmica e arquitectura a partir de práticas com terra e barro cru. Marcadas pela instabilidade, pela transformação e pela vulnerabilidade às condições ambientais, essas práticas desafiam ideais de permanência historicamente associados a ambas as disciplinas ao assumirem a precariedade como condição constitutiva.</w:t>
      </w:r>
    </w:p>
    <w:p>
      <w:pPr>
        <w:pStyle w:val="BodyText"/>
      </w:pPr>
      <w:r>
        <w:t xml:space="preserve">Os resultados apontaram que a precariedade, em vez de ser compreendida como fragilidade, constitui condição essencial para o surgimento de formas de organização emergentes, nas quais o cuidado se revelou elemento recorrente na sustentação dos processos colectivos e materiais.</w:t>
      </w:r>
    </w:p>
    <w:p>
      <w:pPr>
        <w:pStyle w:val="BodyText"/>
      </w:pPr>
      <w:r>
        <w:t xml:space="preserve">Neste contexto, o cuidado emergiu inicialmente da própria prática material, enquanto elemento recorrente na sustentação de relações em processos instáveis e precários, aproximando-se posteriormente da formulação proposta por</w:t>
      </w:r>
      <w:r>
        <w:t xml:space="preserve"> </w:t>
      </w:r>
      <w:r>
        <w:t xml:space="preserve">de la Bellacasa (2012)</w:t>
      </w:r>
      <w:r>
        <w:t xml:space="preserve">.</w:t>
      </w:r>
    </w:p>
    <w:p>
      <w:pPr>
        <w:pStyle w:val="BodyText"/>
      </w:pPr>
      <w:r>
        <w:t xml:space="preserve">O encerramento da dissertação, contudo, não esgotou a questão. O próprio trabalho reconheceu as limitações de desenvolver-se a partir de metodologias autoetnográficas e qualitativas condicionadas pelo âmbito e pela duração de um programa de mestrado.</w:t>
      </w:r>
    </w:p>
    <w:p>
      <w:pPr>
        <w:pStyle w:val="BodyText"/>
      </w:pPr>
      <w:r>
        <w:t xml:space="preserve">É a partir dessas questões que a presente investigação procura desenvolver-se.</w:t>
      </w:r>
    </w:p>
    <w:bookmarkEnd w:id="9"/>
    <w:bookmarkStart w:id="10" w:name="enquadramento-teórico"/>
    <w:p>
      <w:pPr>
        <w:pStyle w:val="Heading1"/>
      </w:pPr>
      <w:r>
        <w:t xml:space="preserve">Enquadramento teórico</w:t>
      </w:r>
    </w:p>
    <w:p>
      <w:pPr>
        <w:pStyle w:val="FirstParagraph"/>
      </w:pPr>
      <w:r>
        <w:t xml:space="preserve">Os estudos existentes documentam técnicas construtivas, caracterizam materiais e analisam estratégias de conservação e transmissão de saberes vernáculos relacionados à construção com terra</w:t>
      </w:r>
      <w:r>
        <w:t xml:space="preserve"> </w:t>
      </w:r>
      <w:r>
        <w:t xml:space="preserve">(Faria &amp; Lima, 2018; Fathy, 2009; Fernandes &amp; Tavares, 2016; Lengen, 2010; Mendes, 2023; Rocha, 2015)</w:t>
      </w:r>
      <w:r>
        <w:t xml:space="preserve">. Embora fundamentais, essas abordagens tendem a concentrar-se sobretudo nas dimensões técnicas, patrimoniais e funcionais da terra enquanto material construtivo.</w:t>
      </w:r>
    </w:p>
    <w:p>
      <w:pPr>
        <w:pStyle w:val="BodyText"/>
      </w:pPr>
      <w:r>
        <w:t xml:space="preserve">Paralelamente, a antropologia da prática e reflexões sobre técnica e ofício, nomeadamente através do trabalho de</w:t>
      </w:r>
      <w:r>
        <w:t xml:space="preserve"> </w:t>
      </w:r>
      <w:r>
        <w:t xml:space="preserve">Ingold (2022)</w:t>
      </w:r>
      <w:r>
        <w:t xml:space="preserve"> </w:t>
      </w:r>
      <w:r>
        <w:t xml:space="preserve">e de</w:t>
      </w:r>
      <w:r>
        <w:t xml:space="preserve"> </w:t>
      </w:r>
      <w:r>
        <w:t xml:space="preserve">Sennett (2012)</w:t>
      </w:r>
      <w:r>
        <w:t xml:space="preserve">, compreendem a experiência como emergente do envolvimento corpóreo com materiais, gestos e contextos. Ainda que o barro apareça pontualmente nesses debates como exemplo de materialidade relacional, raramente é abordado a partir do aprofundamento técnico e sensível que decorre do ofício e da prática continuada com terra e barro cru.</w:t>
      </w:r>
    </w:p>
    <w:p>
      <w:pPr>
        <w:pStyle w:val="BodyText"/>
      </w:pPr>
      <w:r>
        <w:t xml:space="preserve">O enquadramento teórico desenvolvido durante o mestrado aproximou essas questões de debates relacionados à emergência de formas colectivas de organização, à dimensão simbólica da matéria e às relações entre materialidade, técnica e produção de conhecimento. Nesse contexto, o barro e a terra passaram a ser compreendidos não apenas como materiais técnicos, construtivos ou expressivos, mas como meios relacionais através dos quais gesto, matéria, ambiente e forma se coproduzem.</w:t>
      </w:r>
    </w:p>
    <w:p>
      <w:pPr>
        <w:pStyle w:val="BodyText"/>
      </w:pPr>
      <w:r>
        <w:t xml:space="preserve">Em investigações recentes desenvolvidas por mim no âmbito da paisagem cultural e da prática artística</w:t>
      </w:r>
      <w:r>
        <w:t xml:space="preserve"> </w:t>
      </w:r>
      <w:r>
        <w:t xml:space="preserve">(Teodoro de Assis, 2026)</w:t>
      </w:r>
      <w:r>
        <w:t xml:space="preserve">, o barro foi também abordado como operador simbólico capaz de articular corpo, memória, território e experiência material. Nessa perspectiva, a terra não é encarada como elemento passivo e passa a ser compreendida como matéria através da qual relações entre sujeito, comunidade e paisagem são continuamente produzidas e transformadas. A partir do envolvimento material com a terra, tornam-se perceptíveis experiências relacionadas à origem, pertença, precariedade e resistência, permitindo aceder a dimensões da paisagem cultural que frequentemente permanecem invisíveis em abordagens centradas apenas nos seus aspectos físicos.</w:t>
      </w:r>
    </w:p>
    <w:bookmarkEnd w:id="10"/>
    <w:bookmarkStart w:id="11" w:name="questão-de-investigação"/>
    <w:p>
      <w:pPr>
        <w:pStyle w:val="Heading1"/>
      </w:pPr>
      <w:r>
        <w:t xml:space="preserve">Questão de investigação</w:t>
      </w:r>
    </w:p>
    <w:p>
      <w:pPr>
        <w:pStyle w:val="FirstParagraph"/>
      </w:pPr>
      <w:r>
        <w:t xml:space="preserve">Diante desse quadro, a investigação parte da hipótese de que a terra e o barro possuem a capacidade de evocar sentidos e conhecimentos que, através do contacto material, de narrativas e imaginários, e da escuta atenta de saberes técnicos, permaneceriam de outro modo inacessíveis.</w:t>
      </w:r>
    </w:p>
    <w:p>
      <w:pPr>
        <w:pStyle w:val="BodyText"/>
      </w:pPr>
      <w:r>
        <w:t xml:space="preserve">A proposta procura aceder a essas dimensões através de metodologias etnográficas e baseadas na prática, articulando participação directa em processos construtivos e práticas colectivas com terra, leitura de narrativas, estudo de saberes técnicos e diálogo com imaginários e memórias culturais associados ao material.</w:t>
      </w:r>
    </w:p>
    <w:p>
      <w:pPr>
        <w:pStyle w:val="BodyText"/>
      </w:pPr>
      <w:r>
        <w:t xml:space="preserve">Esta abordagem é informada por uma trajectória que articula prática artística, cerâmica e investigação académica, permitindo manter uma proximidade contínua com o material e as suas manifestações para que aquilo que evoca possa ser identificado, documentado e colocado em diálogo com debates teóricos contemporâneos.</w:t>
      </w:r>
    </w:p>
    <w:bookmarkEnd w:id="11"/>
    <w:bookmarkStart w:id="12" w:name="metodologia"/>
    <w:p>
      <w:pPr>
        <w:pStyle w:val="Heading1"/>
      </w:pPr>
      <w:r>
        <w:t xml:space="preserve">Metodologia</w:t>
      </w:r>
    </w:p>
    <w:p>
      <w:pPr>
        <w:pStyle w:val="FirstParagraph"/>
      </w:pPr>
      <w:r>
        <w:t xml:space="preserve">A investigação prevê desenvolver-se através de metodologias etnográficas, investigação baseada na prática (</w:t>
      </w:r>
      <w:r>
        <w:rPr>
          <w:i/>
          <w:iCs/>
        </w:rPr>
        <w:t xml:space="preserve">practice-based research</w:t>
      </w:r>
      <w:r>
        <w:t xml:space="preserve">) e autoetnografia situada, articulando participação directa em oficinas, processos construtivos e práticas colectivas com terra em contextos distintos, nomeadamente em Portugal, no Brasil e em outros contextos relevantes, além de registos de campo, documentação audiovisual e reflexão teórica.</w:t>
      </w:r>
    </w:p>
    <w:bookmarkEnd w:id="12"/>
    <w:bookmarkStart w:id="26" w:name="referências"/>
    <w:p>
      <w:pPr>
        <w:pStyle w:val="Heading1"/>
      </w:pPr>
      <w:r>
        <w:t xml:space="preserve">Referências</w:t>
      </w:r>
    </w:p>
    <w:bookmarkStart w:id="25" w:name="refs"/>
    <w:bookmarkStart w:id="14" w:name="ref-delabellacasaNothingComesIts2012"/>
    <w:p>
      <w:pPr>
        <w:pStyle w:val="Bibliography"/>
      </w:pPr>
      <w:r>
        <w:t xml:space="preserve">de la Bellacasa, M.P. (2012). "</w:t>
      </w:r>
      <w:r>
        <w:t xml:space="preserve">Nothing</w:t>
      </w:r>
      <w:r>
        <w:t xml:space="preserve"> </w:t>
      </w:r>
      <w:r>
        <w:t xml:space="preserve">comes without its world":</w:t>
      </w:r>
      <w:r>
        <w:t xml:space="preserve"> </w:t>
      </w:r>
      <w:r>
        <w:t xml:space="preserve">Thinking</w:t>
      </w:r>
      <w:r>
        <w:t xml:space="preserve"> </w:t>
      </w:r>
      <w:r>
        <w:t xml:space="preserve">with care.</w:t>
      </w:r>
      <w:r>
        <w:t xml:space="preserve"> </w:t>
      </w:r>
      <w:r>
        <w:rPr>
          <w:i/>
          <w:iCs/>
        </w:rPr>
        <w:t xml:space="preserve">The Sociological Review</w:t>
      </w:r>
      <w:r>
        <w:t xml:space="preserve">,</w:t>
      </w:r>
      <w:r>
        <w:t xml:space="preserve"> </w:t>
      </w:r>
      <w:r>
        <w:rPr>
          <w:i/>
          <w:iCs/>
        </w:rPr>
        <w:t xml:space="preserve">60</w:t>
      </w:r>
      <w:r>
        <w:t xml:space="preserve">(2), 197–216.</w:t>
      </w:r>
      <w:r>
        <w:t xml:space="preserve"> </w:t>
      </w:r>
      <w:hyperlink r:id="rId13">
        <w:r>
          <w:rPr>
            <w:rStyle w:val="Hyperlink"/>
          </w:rPr>
          <w:t xml:space="preserve">https://doi.org/10.1111/j.1467-954X.2012.02070.x</w:t>
        </w:r>
      </w:hyperlink>
    </w:p>
    <w:bookmarkEnd w:id="14"/>
    <w:bookmarkStart w:id="15" w:name="ref-faria2018"/>
    <w:p>
      <w:pPr>
        <w:pStyle w:val="Bibliography"/>
      </w:pPr>
      <w:r>
        <w:t xml:space="preserve">Faria, P., &amp; Lima, J. (2018).</w:t>
      </w:r>
      <w:r>
        <w:t xml:space="preserve"> </w:t>
      </w:r>
      <w:r>
        <w:rPr>
          <w:i/>
          <w:iCs/>
        </w:rPr>
        <w:t xml:space="preserve">Cadernos de construção com terra 3:</w:t>
      </w:r>
      <w:r>
        <w:rPr>
          <w:i/>
          <w:iCs/>
        </w:rPr>
        <w:t xml:space="preserve"> </w:t>
      </w:r>
      <w:r>
        <w:rPr>
          <w:i/>
          <w:iCs/>
        </w:rPr>
        <w:t xml:space="preserve">Rebocos</w:t>
      </w:r>
      <w:r>
        <w:rPr>
          <w:i/>
          <w:iCs/>
        </w:rPr>
        <w:t xml:space="preserve"> </w:t>
      </w:r>
      <w:r>
        <w:rPr>
          <w:i/>
          <w:iCs/>
        </w:rPr>
        <w:t xml:space="preserve">de terra</w:t>
      </w:r>
      <w:r>
        <w:t xml:space="preserve"> </w:t>
      </w:r>
      <w:r>
        <w:t xml:space="preserve">(1.ª ed.). Argumentum.</w:t>
      </w:r>
    </w:p>
    <w:bookmarkEnd w:id="15"/>
    <w:bookmarkStart w:id="16" w:name="ref-fathy2000"/>
    <w:p>
      <w:pPr>
        <w:pStyle w:val="Bibliography"/>
      </w:pPr>
      <w:r>
        <w:t xml:space="preserve">Fathy, H. (2009).</w:t>
      </w:r>
      <w:r>
        <w:t xml:space="preserve"> </w:t>
      </w:r>
      <w:r>
        <w:rPr>
          <w:i/>
          <w:iCs/>
        </w:rPr>
        <w:t xml:space="preserve">Arquitectura para os pobres:</w:t>
      </w:r>
      <w:r>
        <w:rPr>
          <w:i/>
          <w:iCs/>
        </w:rPr>
        <w:t xml:space="preserve"> </w:t>
      </w:r>
      <w:r>
        <w:rPr>
          <w:i/>
          <w:iCs/>
        </w:rPr>
        <w:t xml:space="preserve">Uma</w:t>
      </w:r>
      <w:r>
        <w:rPr>
          <w:i/>
          <w:iCs/>
        </w:rPr>
        <w:t xml:space="preserve"> </w:t>
      </w:r>
      <w:r>
        <w:rPr>
          <w:i/>
          <w:iCs/>
        </w:rPr>
        <w:t xml:space="preserve">experiência o</w:t>
      </w:r>
      <w:r>
        <w:rPr>
          <w:i/>
          <w:iCs/>
        </w:rPr>
        <w:t xml:space="preserve"> </w:t>
      </w:r>
      <w:r>
        <w:rPr>
          <w:i/>
          <w:iCs/>
        </w:rPr>
        <w:t xml:space="preserve">Egipto</w:t>
      </w:r>
      <w:r>
        <w:rPr>
          <w:i/>
          <w:iCs/>
        </w:rPr>
        <w:t xml:space="preserve"> </w:t>
      </w:r>
      <w:r>
        <w:rPr>
          <w:i/>
          <w:iCs/>
        </w:rPr>
        <w:t xml:space="preserve">rural</w:t>
      </w:r>
      <w:r>
        <w:t xml:space="preserve">. Dinalivro/ Argumentum.</w:t>
      </w:r>
    </w:p>
    <w:bookmarkEnd w:id="16"/>
    <w:bookmarkStart w:id="17" w:name="ref-fernandesCadernosConstrucaoCom2016"/>
    <w:p>
      <w:pPr>
        <w:pStyle w:val="Bibliography"/>
      </w:pPr>
      <w:r>
        <w:t xml:space="preserve">Fernandes, M., &amp; Tavares, A. (2016).</w:t>
      </w:r>
      <w:r>
        <w:t xml:space="preserve"> </w:t>
      </w:r>
      <w:r>
        <w:rPr>
          <w:i/>
          <w:iCs/>
        </w:rPr>
        <w:t xml:space="preserve">Cadernos de construção com terra 2: O adobe</w:t>
      </w:r>
      <w:r>
        <w:t xml:space="preserve">. Argumentum.</w:t>
      </w:r>
    </w:p>
    <w:bookmarkEnd w:id="17"/>
    <w:bookmarkStart w:id="18" w:name="X2874f112dff39661d4af63b4b19fc10bcbf8e66"/>
    <w:p>
      <w:pPr>
        <w:pStyle w:val="Bibliography"/>
      </w:pPr>
      <w:r>
        <w:t xml:space="preserve">Ingold, T. (2022).</w:t>
      </w:r>
      <w:r>
        <w:t xml:space="preserve"> </w:t>
      </w:r>
      <w:r>
        <w:rPr>
          <w:i/>
          <w:iCs/>
        </w:rPr>
        <w:t xml:space="preserve">Fazer: Antropologia, arqueologia, arte e arquitetura</w:t>
      </w:r>
      <w:r>
        <w:t xml:space="preserve"> </w:t>
      </w:r>
      <w:r>
        <w:t xml:space="preserve">(L.P. Rouanet, Trad.). Editora Vozes.</w:t>
      </w:r>
    </w:p>
    <w:bookmarkEnd w:id="18"/>
    <w:bookmarkStart w:id="19" w:name="ref-lengenManualArquitectoDescalco2010"/>
    <w:p>
      <w:pPr>
        <w:pStyle w:val="Bibliography"/>
      </w:pPr>
      <w:r>
        <w:t xml:space="preserve">Lengen, J. van. (2010).</w:t>
      </w:r>
      <w:r>
        <w:t xml:space="preserve"> </w:t>
      </w:r>
      <w:r>
        <w:rPr>
          <w:i/>
          <w:iCs/>
        </w:rPr>
        <w:t xml:space="preserve">Manual do arquitecto descalço</w:t>
      </w:r>
      <w:r>
        <w:t xml:space="preserve">. Dinalivro.</w:t>
      </w:r>
    </w:p>
    <w:bookmarkEnd w:id="19"/>
    <w:bookmarkStart w:id="20" w:name="ref-mendesCadernosConstrucaoCom2023"/>
    <w:p>
      <w:pPr>
        <w:pStyle w:val="Bibliography"/>
      </w:pPr>
      <w:r>
        <w:t xml:space="preserve">Mendes, M.F. (2023).</w:t>
      </w:r>
      <w:r>
        <w:t xml:space="preserve"> </w:t>
      </w:r>
      <w:r>
        <w:rPr>
          <w:i/>
          <w:iCs/>
        </w:rPr>
        <w:t xml:space="preserve">Cadernos de construção com terra 4: Taipa</w:t>
      </w:r>
      <w:r>
        <w:t xml:space="preserve"> </w:t>
      </w:r>
      <w:r>
        <w:t xml:space="preserve">(1.ª ed.). Argumentum.</w:t>
      </w:r>
    </w:p>
    <w:bookmarkEnd w:id="20"/>
    <w:bookmarkStart w:id="21" w:name="ref-rocha2015"/>
    <w:p>
      <w:pPr>
        <w:pStyle w:val="Bibliography"/>
      </w:pPr>
      <w:r>
        <w:t xml:space="preserve">Rocha, M. (2015).</w:t>
      </w:r>
      <w:r>
        <w:t xml:space="preserve"> </w:t>
      </w:r>
      <w:r>
        <w:rPr>
          <w:i/>
          <w:iCs/>
        </w:rPr>
        <w:t xml:space="preserve">Cadernos de construção com terra 1:</w:t>
      </w:r>
      <w:r>
        <w:rPr>
          <w:i/>
          <w:iCs/>
        </w:rPr>
        <w:t xml:space="preserve"> </w:t>
      </w:r>
      <w:r>
        <w:rPr>
          <w:i/>
          <w:iCs/>
        </w:rPr>
        <w:t xml:space="preserve">Técnicas</w:t>
      </w:r>
      <w:r>
        <w:rPr>
          <w:i/>
          <w:iCs/>
        </w:rPr>
        <w:t xml:space="preserve"> </w:t>
      </w:r>
      <w:r>
        <w:rPr>
          <w:i/>
          <w:iCs/>
        </w:rPr>
        <w:t xml:space="preserve">de construção com terra, uma introdução</w:t>
      </w:r>
      <w:r>
        <w:t xml:space="preserve"> </w:t>
      </w:r>
      <w:r>
        <w:t xml:space="preserve">(1.ª ed.). Argumentum.</w:t>
      </w:r>
    </w:p>
    <w:bookmarkEnd w:id="21"/>
    <w:bookmarkStart w:id="22" w:name="ref-sennettArtifice2012"/>
    <w:p>
      <w:pPr>
        <w:pStyle w:val="Bibliography"/>
      </w:pPr>
      <w:r>
        <w:t xml:space="preserve">Sennett, R. (2012).</w:t>
      </w:r>
      <w:r>
        <w:t xml:space="preserve"> </w:t>
      </w:r>
      <w:r>
        <w:rPr>
          <w:i/>
          <w:iCs/>
        </w:rPr>
        <w:t xml:space="preserve">O artífice</w:t>
      </w:r>
      <w:r>
        <w:t xml:space="preserve"> </w:t>
      </w:r>
      <w:r>
        <w:t xml:space="preserve">(3.ª ed.). Record.</w:t>
      </w:r>
    </w:p>
    <w:bookmarkEnd w:id="22"/>
    <w:bookmarkStart w:id="24" w:name="ref-teodorodeassisEntreTerraAgua2026"/>
    <w:p>
      <w:pPr>
        <w:pStyle w:val="Bibliography"/>
      </w:pPr>
      <w:r>
        <w:t xml:space="preserve">Teodoro de Assis, G. (2026, maio 20).</w:t>
      </w:r>
      <w:r>
        <w:t xml:space="preserve"> </w:t>
      </w:r>
      <w:r>
        <w:rPr>
          <w:i/>
          <w:iCs/>
        </w:rPr>
        <w:t xml:space="preserve">Entre a terra e a água: O barro como operador simbólico da paisagem cultural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https://doi.org/10.5281/ZENODO.20315570</w:t>
        </w:r>
      </w:hyperlink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doi.org/10.1111/j.1467-954X.2012.02070.x" TargetMode="External" /><Relationship Type="http://schemas.openxmlformats.org/officeDocument/2006/relationships/hyperlink" Id="rId23" Target="https://doi.org/10.5281/ZENODO.2031557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doi.org/10.1111/j.1467-954X.2012.02070.x" TargetMode="External" /><Relationship Type="http://schemas.openxmlformats.org/officeDocument/2006/relationships/hyperlink" Id="rId23" Target="https://doi.org/10.5281/ZENODO.2031557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2026-05-22T16:34:48Z</dcterms:created>
  <dcterms:modified xsi:type="dcterms:W3CDTF">2026-05-22T16:34:48Z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../../tese/4-Bibliography/Doutorado.bib</vt:lpwstr>
  </property>
  <property fmtid="{D5CDD505-2E9C-101B-9397-08002B2CF9AE}" pid="4" name="csl">
    <vt:lpwstr>apa.csl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Índice</vt:lpwstr>
  </property>
</Properties>
</file>