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Barro como pensamento</w:t>
      </w:r>
    </w:p>
    <w:p>
      <w:pPr>
        <w:pStyle w:val="Subtitle"/>
      </w:pPr>
      <w:r>
        <w:t xml:space="preserve">Práticas coletivas de construção com terra como campos de elaboração conceitual</w:t>
      </w:r>
    </w:p>
    <w:bookmarkStart w:id="9" w:name="questão-de-investigação"/>
    <w:p>
      <w:pPr>
        <w:pStyle w:val="Heading1"/>
      </w:pPr>
      <w:r>
        <w:t xml:space="preserve">Questão de investigação</w:t>
      </w:r>
    </w:p>
    <w:p>
      <w:pPr>
        <w:pStyle w:val="FirstParagraph"/>
      </w:pPr>
      <w:r>
        <w:t xml:space="preserve">Este projeto investiga práticas coletivas com terra não prioritariamente como objetos culturais a serem documentados ou preservados, mas como campos materiais de pensamento capazes de produzir elaboração conceitual. Em vez de tratar práticas com barro e terra como casos empíricos aos quais uma teoria seria posteriormente aplicada, a investigação propõe abordá-las como interlocutoras epistemológicas através das quais conceitos como cuidado, materialidade, técnica e agenciamento coletivo podem ser repensados.</w:t>
      </w:r>
    </w:p>
    <w:p>
      <w:pPr>
        <w:pStyle w:val="BodyText"/>
      </w:pPr>
      <w:r>
        <w:t xml:space="preserve">No centro da investigação encontra-se a questão do cuidado — não como prescrição ética ou moral aplicada, mas como condição ontológica que emerge através do envolvimento material. Práticas construtivas com terra frequentemente exigem negociação contínua com instabilidade, humidade, gravidade, erosão, ritmo e atenção coletiva. Nesse contexto, o cuidado aparece menos como virtude abstrata e mais como modo de sustentar relações em processos nos quais a forma nunca é totalmente fixa ou autónoma. É precisamente nessa instabilidade constitutiva que as práticas com terra se tornam produtoras de pensamento — e não apenas objetos dele.</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operadores epistemológicos através dos quais relações, formas de atenção e modos de conhecimento se tornam materialmente pensáveis.</w:t>
      </w:r>
    </w:p>
    <w:bookmarkEnd w:id="9"/>
    <w:bookmarkStart w:id="14" w:name="estado-da-arte"/>
    <w:p>
      <w:pPr>
        <w:pStyle w:val="Heading1"/>
      </w:pPr>
      <w:r>
        <w:t xml:space="preserve">Estado da Arte</w:t>
      </w:r>
    </w:p>
    <w:bookmarkStart w:id="10"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0"/>
    <w:bookmarkStart w:id="11"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1"/>
    <w:bookmarkStart w:id="12"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2"/>
    <w:bookmarkStart w:id="13"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as práticas com terra como interlocutoras epistemológicas — não como casos empíricos que ilustram teorias, mas como campos em que conceitos como cuidado, agenciamento coletivo e instabilidade constitutiva se tornam materialmente pensáveis.</w:t>
      </w:r>
    </w:p>
    <w:bookmarkEnd w:id="13"/>
    <w:bookmarkEnd w:id="14"/>
    <w:bookmarkStart w:id="15"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não estuda a prática de fora, mas aprende através dela — o que significa que o próprio processo de aprendizagem é um dado metodológico.</w:t>
      </w:r>
    </w:p>
    <w:p>
      <w:pPr>
        <w:pStyle w:val="BodyText"/>
      </w:pPr>
      <w:r>
        <w:t xml:space="preserve">A segunda modalidade é a</w:t>
      </w:r>
      <w:r>
        <w:t xml:space="preserve"> </w:t>
      </w:r>
      <w:r>
        <w:rPr>
          <w:b/>
          <w:bCs/>
        </w:rPr>
        <w:t xml:space="preserve">documentação etnográfica</w:t>
      </w:r>
      <w:r>
        <w:t xml:space="preserve"> </w:t>
      </w:r>
      <w:r>
        <w:t xml:space="preserve">— registos em diário de campo, fotografia e vídeo — orientada não para a captura de factos, mas para a atenção a momentos de tensão, improvisação, negociação e falha.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5"/>
    <w:bookmarkStart w:id="16"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6"/>
    <w:bookmarkStart w:id="17"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Barro como pensamento</dc:title>
  <dc:creator/>
  <dc:language>pt</dc:language>
  <cp:keywords/>
  <dcterms:created xsi:type="dcterms:W3CDTF">2026-05-19T13:48:17Z</dcterms:created>
  <dcterms:modified xsi:type="dcterms:W3CDTF">2026-05-19T13:48:17Z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Práticas coletivas de construção com terra como campos de elaboração conceitual</vt:lpwstr>
  </property>
  <property fmtid="{D5CDD505-2E9C-101B-9397-08002B2CF9AE}" pid="10" name="toc-title">
    <vt:lpwstr>Índice</vt:lpwstr>
  </property>
</Properties>
</file>