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2E5BFF"/>
          <w:sz w:val="56"/>
          <w:szCs w:val="56"/>
        </w:rPr>
        <w:t xml:space="preserve">RESUMIKA</w:t>
      </w:r>
    </w:p>
    <w:p>
      <w:pPr>
        <w:spacing w:after="80"/>
        <w:jc w:val="center"/>
      </w:pPr>
      <w:r>
        <w:rPr>
          <w:b/>
          <w:bCs/>
          <w:sz w:val="32"/>
          <w:szCs w:val="32"/>
        </w:rPr>
        <w:t xml:space="preserve">Addendum al Documento Maestro de Producto</w:t>
      </w:r>
    </w:p>
    <w:p>
      <w:pPr>
        <w:spacing w:after="80"/>
        <w:jc w:val="center"/>
      </w:pPr>
      <w:r>
        <w:rPr>
          <w:color w:val="555555"/>
          <w:sz w:val="28"/>
          <w:szCs w:val="28"/>
        </w:rPr>
        <w:t xml:space="preserve">Módulo: Sistema de Embajadores y Referidos</w:t>
      </w:r>
    </w:p>
    <w:p>
      <w:pPr>
        <w:spacing w:after="40"/>
        <w:jc w:val="center"/>
      </w:pPr>
      <w:r>
        <w:rPr>
          <w:color w:val="555555"/>
          <w:sz w:val="22"/>
          <w:szCs w:val="22"/>
        </w:rPr>
        <w:t xml:space="preserve">Versión 1.0 — Extensión de Documento Maestro v3</w:t>
      </w:r>
    </w:p>
    <w:p>
      <w:pPr>
        <w:spacing w:after="2400"/>
        <w:jc w:val="center"/>
      </w:pPr>
      <w:r>
        <w:rPr>
          <w:i/>
          <w:iCs/>
          <w:color w:val="555555"/>
          <w:sz w:val="20"/>
          <w:szCs w:val="20"/>
        </w:rPr>
        <w:t xml:space="preserve">Fuente única de verdad para producto, arquitectura e implementación</w:t>
      </w:r>
    </w:p>
    <w:p>
      <w:pPr>
        <w:pageBreakBefore/>
      </w:pPr>
    </w:p>
    <w:p>
      <w:pPr>
        <w:pStyle w:val="Heading1"/>
      </w:pPr>
      <w:r>
        <w:t xml:space="preserve">Propósito de este documento</w:t>
      </w:r>
    </w:p>
    <w:p>
      <w:pPr>
        <w:spacing w:after="120"/>
      </w:pPr>
      <w:r>
        <w:t xml:space="preserve">Este addendum extiende el Documento Maestro de Producto v3 de Resumika (antes Resumint) e incorpora el Sistema de Embajadores y Referidos como un módulo nuevo del producto.</w:t>
      </w:r>
    </w:p>
    <w:p>
      <w:pPr>
        <w:spacing w:after="120"/>
      </w:pPr>
      <w:r>
        <w:t xml:space="preserve">Todas las decisiones contenidas aquí se consideran cerradas y aprobadas, salvo las marcadas explícitamente como pendientes. Este documento debe leerse como contexto base antes de redactar instrucciones de desarrollo, diseñar pantallas o modificar la base de datos.</w:t>
      </w:r>
    </w:p>
    <w:p>
      <w:pPr>
        <w:spacing w:after="120"/>
      </w:pPr>
      <w:r>
        <w:t xml:space="preserve">Nota de marca: el producto cambia de nombre comercial de Resumint a Resumika. Toda referencia a Resumint en el Documento Maestro v3 debe entenderse como Resumika. El branding del footer del CV pasa a leerse Creado con Resumika.</w:t>
      </w:r>
    </w:p>
    <w:p>
      <w:pPr>
        <w:pStyle w:val="Heading1"/>
      </w:pPr>
      <w:r>
        <w:t xml:space="preserve">Cambios estructurales que este addendum introduce en el producto</w:t>
      </w:r>
    </w:p>
    <w:p>
      <w:pPr>
        <w:spacing w:after="120"/>
      </w:pPr>
      <w:r>
        <w:t xml:space="preserve">La adopción del sistema de embajadores trae cambios que afectan al núcleo del producto y modifican decisiones cerradas previas del Documento Maestro v3.</w:t>
      </w:r>
    </w:p>
    <w:p>
      <w:pPr>
        <w:pStyle w:val="Heading2"/>
      </w:pPr>
      <w:r>
        <w:t xml:space="preserve">Cambio 1 — Nuevo modelo de precios (reemplaza al modelo Gratuito/Pro v3)</w:t>
      </w:r>
    </w:p>
    <w:p>
      <w:pPr>
        <w:spacing w:after="120"/>
      </w:pPr>
      <w:r>
        <w:t xml:space="preserve">El modelo Gratuito $0 más Pro $9.99 del Documento Maestro v3 queda derogado. Ya no existe plan totalmente gratuito. La nueva estructura comercial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E8EDFF" w:val="clear"/>
            <w:tcMar>
              <w:top w:type="dxa" w:w="80"/>
              <w:left w:type="dxa" w:w="120"/>
              <w:bottom w:type="dxa" w:w="80"/>
              <w:right w:type="dxa" w:w="120"/>
            </w:tcMar>
          </w:tcPr>
          <w:p>
            <w:r>
              <w:rPr>
                <w:b/>
                <w:bCs/>
              </w:rPr>
              <w:t xml:space="preserve">Producto</w:t>
            </w:r>
          </w:p>
        </w:tc>
        <w:tc>
          <w:tcPr>
            <w:tcW w:type="dxa" w:w="2400"/>
            <w:tcBorders>
              <w:top w:val="single" w:color="CCCCCC" w:sz="1"/>
              <w:left w:val="single" w:color="CCCCCC" w:sz="1"/>
              <w:bottom w:val="single" w:color="CCCCCC" w:sz="1"/>
              <w:right w:val="single" w:color="CCCCCC" w:sz="1"/>
            </w:tcBorders>
            <w:shd w:fill="E8EDFF" w:val="clear"/>
            <w:tcMar>
              <w:top w:type="dxa" w:w="80"/>
              <w:left w:type="dxa" w:w="120"/>
              <w:bottom w:type="dxa" w:w="80"/>
              <w:right w:type="dxa" w:w="120"/>
            </w:tcMar>
          </w:tcPr>
          <w:p>
            <w:r>
              <w:rPr>
                <w:b/>
                <w:bCs/>
              </w:rPr>
              <w:t xml:space="preserve">Precio</w:t>
            </w:r>
          </w:p>
        </w:tc>
        <w:tc>
          <w:tcPr>
            <w:tcW w:type="dxa" w:w="4360"/>
            <w:tcBorders>
              <w:top w:val="single" w:color="CCCCCC" w:sz="1"/>
              <w:left w:val="single" w:color="CCCCCC" w:sz="1"/>
              <w:bottom w:val="single" w:color="CCCCCC" w:sz="1"/>
              <w:right w:val="single" w:color="CCCCCC" w:sz="1"/>
            </w:tcBorders>
            <w:shd w:fill="E8EDFF" w:val="clear"/>
            <w:tcMar>
              <w:top w:type="dxa" w:w="80"/>
              <w:left w:type="dxa" w:w="120"/>
              <w:bottom w:type="dxa" w:w="80"/>
              <w:right w:type="dxa" w:w="120"/>
            </w:tcMar>
          </w:tcPr>
          <w:p>
            <w:r>
              <w:rPr>
                <w:b/>
                <w:bCs/>
              </w:rPr>
              <w:t xml:space="preserve">Naturaleza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CV único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$2.99 USD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Pago único por un CV (modelo de entrada, reemplaza al gratuito)</w:t>
            </w:r>
          </w:p>
        </w:tc>
      </w:tr>
      <w:tr>
        <w:tc>
          <w:tcPr>
            <w:tcW w:type="dxa" w:w="2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Suscripción Mensual</w:t>
            </w:r>
          </w:p>
        </w:tc>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$9.99 o $12.99 USD/mes</w:t>
            </w:r>
          </w:p>
        </w:tc>
        <w:tc>
          <w:tcPr>
            <w:tcW w:type="dxa" w:w="4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Recurrente mensual (precio final por definir)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Suscripción Anual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 USD/año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Pago único anual</w:t>
            </w:r>
          </w:p>
        </w:tc>
      </w:tr>
    </w:tbl>
    <w:p>
      <w:pPr>
        <w:spacing w:after="120"/>
      </w:pPr>
    </w:p>
    <w:p>
      <w:pPr>
        <w:spacing w:after="120"/>
      </w:pPr>
      <w:r>
        <w:t xml:space="preserve">Decisión pendiente del CEO: definir el precio mensual final entre $9.99 y $12.99. El resto de la estructura queda cerrada.</w:t>
      </w:r>
    </w:p>
    <w:p>
      <w:pPr>
        <w:spacing w:after="120"/>
      </w:pPr>
      <w:r>
        <w:t xml:space="preserve">Implicación sobre el Documento Maestro v3: las secciones de planes, branding, límites por plan y reglas de descuento de créditos deben reinterpretarse contra esta nueva estructura. El branding sutil del footer aplica al producto de entrada (CV único), no a las suscripciones.</w:t>
      </w:r>
    </w:p>
    <w:p>
      <w:pPr>
        <w:pStyle w:val="Heading2"/>
      </w:pPr>
      <w:r>
        <w:t xml:space="preserve">Cambio 2 — Nuevo rol de usuario: Embajador</w:t>
      </w:r>
    </w:p>
    <w:p>
      <w:pPr>
        <w:spacing w:after="120"/>
      </w:pPr>
      <w:r>
        <w:t xml:space="preserve">Se introduce un tercer rol en el sistema, además de usuario final y administrador interno:</w:t>
      </w:r>
    </w:p>
    <w:p>
      <w:pPr>
        <w:pStyle w:val="ListParagraph"/>
        <w:numPr>
          <w:ilvl w:val="0"/>
          <w:numId w:val="2"/>
        </w:numPr>
        <w:spacing w:after="60"/>
      </w:pPr>
      <w:r>
        <w:t xml:space="preserve">Usuario final: rol estándar descrito en el Documento Maestro v3.</w:t>
      </w:r>
    </w:p>
    <w:p>
      <w:pPr>
        <w:pStyle w:val="ListParagraph"/>
        <w:numPr>
          <w:ilvl w:val="0"/>
          <w:numId w:val="2"/>
        </w:numPr>
        <w:spacing w:after="60"/>
      </w:pPr>
      <w:r>
        <w:t xml:space="preserve">Embajador: usuario con acceso a un panel exclusivo de referidos y comisiones. Hereda todas las capacidades del usuario final.</w:t>
      </w:r>
    </w:p>
    <w:p>
      <w:pPr>
        <w:pStyle w:val="ListParagraph"/>
        <w:numPr>
          <w:ilvl w:val="0"/>
          <w:numId w:val="2"/>
        </w:numPr>
        <w:spacing w:after="60"/>
      </w:pPr>
      <w:r>
        <w:t xml:space="preserve">Administrador: equipo interno de Resumika. Gestiona pagos de embajadores y panel administrativo.</w:t>
      </w:r>
    </w:p>
    <w:p>
      <w:pPr>
        <w:spacing w:after="120"/>
      </w:pPr>
      <w:r>
        <w:t xml:space="preserve">El rol de embajador no es auto-asignable. Se otorga exclusivamente mediante un enlace de invitación que envía el CEO. El módulo de invitación ya está construido y no forma parte del alcance de este documento.</w:t>
      </w:r>
    </w:p>
    <w:p>
      <w:pPr>
        <w:pStyle w:val="Heading2"/>
      </w:pPr>
      <w:r>
        <w:t xml:space="preserve">Cambio 3 — Beneficio Pro gratuito para embajadores</w:t>
      </w:r>
    </w:p>
    <w:p>
      <w:pPr>
        <w:spacing w:after="120"/>
      </w:pPr>
      <w:r>
        <w:t xml:space="preserve">Mientras un usuario tenga el rol de embajador activo, accede a todas las funcionalidades de la suscripción de pago sin costo. Esto se trata como un beneficio derivado del rol, no como una suscripción real, y por lo tanto no genera comisión ni registro de pago.</w:t>
      </w:r>
    </w:p>
    <w:p>
      <w:pPr>
        <w:spacing w:after="120"/>
      </w:pPr>
      <w:r>
        <w:t xml:space="preserve">Si el rol de embajador se suspende o revoca, el usuario pierde el acceso Pro y vuelve a depender de lo que haya pagado por su cuenta. Sus CVs ya creados se conservan; solo se restringen funcionalidades de plan superior hacia adelante.</w:t>
      </w:r>
    </w:p>
    <w:p>
      <w:pPr>
        <w:pStyle w:val="Heading1"/>
      </w:pPr>
      <w:r>
        <w:t xml:space="preserve">Modelo de comisión (decisión cerrada)</w:t>
      </w:r>
    </w:p>
    <w:p>
      <w:pPr>
        <w:spacing w:after="120"/>
      </w:pPr>
      <w:r>
        <w:t xml:space="preserve">El modelo de comisión es híbrido y se ajusta a la naturaleza de cada producto. El criterio de diseño prioriza que cada referido tenga un valor de comisión máximo finito y calculable desde el primer día, para que la operación de pago manual nunca acumule una cola infinita de microcomisiones.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E8EDFF" w:val="clear"/>
            <w:tcMar>
              <w:top w:type="dxa" w:w="80"/>
              <w:left w:type="dxa" w:w="120"/>
              <w:bottom w:type="dxa" w:w="80"/>
              <w:right w:type="dxa" w:w="120"/>
            </w:tcMar>
          </w:tcPr>
          <w:p>
            <w:r>
              <w:rPr>
                <w:b/>
                <w:bCs/>
              </w:rPr>
              <w:t xml:space="preserve">Producto pagado por el referido</w:t>
            </w:r>
          </w:p>
        </w:tc>
        <w:tc>
          <w:tcPr>
            <w:tcW w:type="dxa" w:w="2200"/>
            <w:tcBorders>
              <w:top w:val="single" w:color="CCCCCC" w:sz="1"/>
              <w:left w:val="single" w:color="CCCCCC" w:sz="1"/>
              <w:bottom w:val="single" w:color="CCCCCC" w:sz="1"/>
              <w:right w:val="single" w:color="CCCCCC" w:sz="1"/>
            </w:tcBorders>
            <w:shd w:fill="E8EDFF" w:val="clear"/>
            <w:tcMar>
              <w:top w:type="dxa" w:w="80"/>
              <w:left w:type="dxa" w:w="120"/>
              <w:bottom w:type="dxa" w:w="80"/>
              <w:right w:type="dxa" w:w="120"/>
            </w:tcMar>
          </w:tcPr>
          <w:p>
            <w:r>
              <w:rPr>
                <w:b/>
                <w:bCs/>
              </w:rPr>
              <w:t xml:space="preserve">Tipo de comisión</w:t>
            </w:r>
          </w:p>
        </w:tc>
        <w:tc>
          <w:tcPr>
            <w:tcW w:type="dxa" w:w="4560"/>
            <w:tcBorders>
              <w:top w:val="single" w:color="CCCCCC" w:sz="1"/>
              <w:left w:val="single" w:color="CCCCCC" w:sz="1"/>
              <w:bottom w:val="single" w:color="CCCCCC" w:sz="1"/>
              <w:right w:val="single" w:color="CCCCCC" w:sz="1"/>
            </w:tcBorders>
            <w:shd w:fill="E8EDFF" w:val="clear"/>
            <w:tcMar>
              <w:top w:type="dxa" w:w="80"/>
              <w:left w:type="dxa" w:w="120"/>
              <w:bottom w:type="dxa" w:w="80"/>
              <w:right w:type="dxa" w:w="120"/>
            </w:tcMar>
          </w:tcPr>
          <w:p>
            <w:r>
              <w:rPr>
                <w:b/>
                <w:bCs/>
              </w:rPr>
              <w:t xml:space="preserve">Regla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CV único $2.99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Única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 genera una sola comisión sobre ese pago.</w:t>
            </w:r>
          </w:p>
        </w:tc>
      </w:tr>
      <w:tr>
        <w:tc>
          <w:tcPr>
            <w:tcW w:type="dxa" w:w="2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Suscripción mensual</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Recurrente limitada</w:t>
            </w:r>
          </w:p>
        </w:tc>
        <w:tc>
          <w:tcPr>
            <w:tcW w:type="dxa" w:w="4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Se genera comisión en cada pago mensual del referido, durante un máximo de 6 meses contados desde su primera suscripción. Después del mes 6 deja de generar comisión aunque el referido siga pagando.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Suscripción anual $25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Única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 genera una sola comisión sobre el pago anual. No se renueva automáticamente la comisión al renovar la suscripción al año siguiente, salvo decisión futura.</w:t>
            </w:r>
          </w:p>
        </w:tc>
      </w:tr>
    </w:tbl>
    <w:p>
      <w:pPr>
        <w:spacing w:after="120"/>
      </w:pPr>
    </w:p>
    <w:p>
      <w:pPr>
        <w:pStyle w:val="Heading2"/>
      </w:pPr>
      <w:r>
        <w:t xml:space="preserve">Porcentaje de comisión</w:t>
      </w:r>
    </w:p>
    <w:p>
      <w:pPr>
        <w:spacing w:after="120"/>
      </w:pPr>
      <w:r>
        <w:t xml:space="preserve">El porcentaje de comisión es variable por embajador y lo decide el CEO caso a caso. No existe un porcentaje global fijo. El modelo de datos almacena el porcentaje individual en el perfil de cada embajador, de modo que cambiarlo es una operación de datos y no requiere modificar código.</w:t>
      </w:r>
    </w:p>
    <w:p>
      <w:pPr>
        <w:spacing w:after="120"/>
      </w:pPr>
      <w:r>
        <w:t xml:space="preserve">Valor sugerido de referencia para nuevos embajadores: 25 por ciento. El CEO puede asignar valores distintos (por ejemplo 20 por ciento a un embajador pequeño y 30 por ciento a un influenciador grande).</w:t>
      </w:r>
    </w:p>
    <w:p>
      <w:pPr>
        <w:pStyle w:val="Heading2"/>
      </w:pPr>
      <w:r>
        <w:t xml:space="preserve">Base de cálculo de la comisión</w:t>
      </w:r>
    </w:p>
    <w:p>
      <w:pPr>
        <w:pStyle w:val="ListParagraph"/>
        <w:numPr>
          <w:ilvl w:val="0"/>
          <w:numId w:val="2"/>
        </w:numPr>
        <w:spacing w:after="60"/>
      </w:pPr>
      <w:r>
        <w:t xml:space="preserve">La comisión se calcula sobre el monto efectivamente pagado por el referido, después de aplicar cualquier descuento del código del embajador.</w:t>
      </w:r>
    </w:p>
    <w:p>
      <w:pPr>
        <w:pStyle w:val="ListParagraph"/>
        <w:numPr>
          <w:ilvl w:val="0"/>
          <w:numId w:val="2"/>
        </w:numPr>
        <w:spacing w:after="60"/>
      </w:pPr>
      <w:r>
        <w:t xml:space="preserve">Si el referido usó un código de descuento, la base de la comisión es el precio ya rebajado, no el precio de lista. Esto alinea el incentivo del embajador para no regalar el producto.</w:t>
      </w:r>
    </w:p>
    <w:p>
      <w:pPr>
        <w:pStyle w:val="ListParagraph"/>
        <w:numPr>
          <w:ilvl w:val="0"/>
          <w:numId w:val="2"/>
        </w:numPr>
        <w:spacing w:after="60"/>
      </w:pPr>
      <w:r>
        <w:t xml:space="preserve">La comisión se calcula sobre el monto neto de comisiones de la pasarela de pago, cuando aplique. Esta regla queda cerrada para evitar pagar comisión sobre dinero que Resumika no recibe.</w:t>
      </w:r>
    </w:p>
    <w:p>
      <w:pPr>
        <w:pStyle w:val="Heading1"/>
      </w:pPr>
      <w:r>
        <w:t xml:space="preserve">Códigos de descuento (decisión cerrada)</w:t>
      </w:r>
    </w:p>
    <w:p>
      <w:pPr>
        <w:spacing w:after="120"/>
      </w:pPr>
      <w:r>
        <w:t xml:space="preserve">El descuento que un embajador ofrece a través de un código propio reduce la base sobre la que se calcula su propia comisión. El descuento no lo absorbe el margen de Resumika.</w:t>
      </w:r>
    </w:p>
    <w:p>
      <w:pPr>
        <w:pStyle w:val="Heading3"/>
      </w:pPr>
      <w:r>
        <w:t xml:space="preserve">Ejemplo de cálculo</w:t>
      </w:r>
    </w:p>
    <w:p>
      <w:pPr>
        <w:spacing w:after="120"/>
      </w:pPr>
      <w:r>
        <w:t xml:space="preserve">Suscripción mensual de lista: $9.99. El embajador tiene un código de 15 por ciento de descuento y un porcentaje de comisión del 25 por ciento.</w:t>
      </w:r>
    </w:p>
    <w:p>
      <w:pPr>
        <w:pStyle w:val="ListParagraph"/>
        <w:numPr>
          <w:ilvl w:val="0"/>
          <w:numId w:val="2"/>
        </w:numPr>
        <w:spacing w:after="60"/>
      </w:pPr>
      <w:r>
        <w:t xml:space="preserve">El referido paga: $9.99 menos 15 por ciento = $8.49.</w:t>
      </w:r>
    </w:p>
    <w:p>
      <w:pPr>
        <w:pStyle w:val="ListParagraph"/>
        <w:numPr>
          <w:ilvl w:val="0"/>
          <w:numId w:val="2"/>
        </w:numPr>
        <w:spacing w:after="60"/>
      </w:pPr>
      <w:r>
        <w:t xml:space="preserve">La comisión del embajador: 25 por ciento de $8.49 = $2.12 (no 25 por ciento de $9.99).</w:t>
      </w:r>
    </w:p>
    <w:p>
      <w:pPr>
        <w:pStyle w:val="Heading3"/>
      </w:pPr>
      <w:r>
        <w:t xml:space="preserve">Reglas de los códigos</w:t>
      </w:r>
    </w:p>
    <w:p>
      <w:pPr>
        <w:pStyle w:val="ListParagraph"/>
        <w:numPr>
          <w:ilvl w:val="0"/>
          <w:numId w:val="2"/>
        </w:numPr>
        <w:spacing w:after="60"/>
      </w:pPr>
      <w:r>
        <w:t xml:space="preserve">Cada embajador puede crear uno o más códigos de descuento únicos en el sistema.</w:t>
      </w:r>
    </w:p>
    <w:p>
      <w:pPr>
        <w:pStyle w:val="ListParagraph"/>
        <w:numPr>
          <w:ilvl w:val="0"/>
          <w:numId w:val="2"/>
        </w:numPr>
        <w:spacing w:after="60"/>
      </w:pPr>
      <w:r>
        <w:t xml:space="preserve">El embajador define el porcentaje de descuento del código, pero el sistema impone un tope máximo controlado por el CEO. Tope inicial sugerido: 20 por ciento. El embajador no puede crear códigos por encima del tope.</w:t>
      </w:r>
    </w:p>
    <w:p>
      <w:pPr>
        <w:pStyle w:val="ListParagraph"/>
        <w:numPr>
          <w:ilvl w:val="0"/>
          <w:numId w:val="2"/>
        </w:numPr>
        <w:spacing w:after="60"/>
      </w:pPr>
      <w:r>
        <w:t xml:space="preserve">Cada código puede tener un límite de usos máximos y una fecha de expiración opcional.</w:t>
      </w:r>
    </w:p>
    <w:p>
      <w:pPr>
        <w:pStyle w:val="ListParagraph"/>
        <w:numPr>
          <w:ilvl w:val="0"/>
          <w:numId w:val="2"/>
        </w:numPr>
        <w:spacing w:after="60"/>
      </w:pPr>
      <w:r>
        <w:t xml:space="preserve">Un código puede activarse o desactivarse sin eliminarlo.</w:t>
      </w:r>
    </w:p>
    <w:p>
      <w:pPr>
        <w:pStyle w:val="ListParagraph"/>
        <w:numPr>
          <w:ilvl w:val="0"/>
          <w:numId w:val="2"/>
        </w:numPr>
        <w:spacing w:after="60"/>
      </w:pPr>
      <w:r>
        <w:t xml:space="preserve">El descuento del código nunca puede dejar el precio en cero ni en negativo.</w:t>
      </w:r>
    </w:p>
    <w:p>
      <w:pPr>
        <w:pStyle w:val="Heading1"/>
      </w:pPr>
      <w:r>
        <w:t xml:space="preserve">Atribución de referidos (decisión cerrada)</w:t>
      </w:r>
    </w:p>
    <w:p>
      <w:pPr>
        <w:spacing w:after="120"/>
      </w:pPr>
      <w:r>
        <w:t xml:space="preserve">La atribución determina a qué embajador se le acredita un referido. Es la parte más sensible del sistema y sus reglas quedan cerradas para evitar disputas.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EDFF" w:val="clear"/>
            <w:tcMar>
              <w:top w:type="dxa" w:w="80"/>
              <w:left w:type="dxa" w:w="120"/>
              <w:bottom w:type="dxa" w:w="80"/>
              <w:right w:type="dxa" w:w="120"/>
            </w:tcMar>
          </w:tcPr>
          <w:p>
            <w:r>
              <w:rPr>
                <w:b/>
                <w:bCs/>
              </w:rPr>
              <w:t xml:space="preserve">Situación</w:t>
            </w:r>
          </w:p>
        </w:tc>
        <w:tc>
          <w:tcPr>
            <w:tcW w:type="dxa" w:w="6360"/>
            <w:tcBorders>
              <w:top w:val="single" w:color="CCCCCC" w:sz="1"/>
              <w:left w:val="single" w:color="CCCCCC" w:sz="1"/>
              <w:bottom w:val="single" w:color="CCCCCC" w:sz="1"/>
              <w:right w:val="single" w:color="CCCCCC" w:sz="1"/>
            </w:tcBorders>
            <w:shd w:fill="E8EDFF" w:val="clear"/>
            <w:tcMar>
              <w:top w:type="dxa" w:w="80"/>
              <w:left w:type="dxa" w:w="120"/>
              <w:bottom w:type="dxa" w:w="80"/>
              <w:right w:type="dxa" w:w="120"/>
            </w:tcMar>
          </w:tcPr>
          <w:p>
            <w:r>
              <w:rPr>
                <w:b/>
                <w:bCs/>
              </w:rPr>
              <w:t xml:space="preserve">Regla de atribución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 usuario llega por el enlace de referido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 registra la atribución en el momento del clic, no en el momento del registro. Ventana de atribución: 30 días desde el clic.</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El usuario usa un código de descuento de un embajador</w:t>
            </w:r>
          </w:p>
        </w:tc>
        <w:tc>
          <w:tcPr>
            <w:tcW w:type="dxa" w:w="6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El código de descuento gana siempre sobre el enlace, por ser una acción intencional explícita del usuario.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 usuario pasó por enlaces de dos embajadores distintos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Gana el último clic válido antes del registro, dentro de la ventana de 30 días.</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Conflicto entre enlace de un embajador y código de otro</w:t>
            </w:r>
          </w:p>
        </w:tc>
        <w:tc>
          <w:tcPr>
            <w:tcW w:type="dxa" w:w="6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El código de descuento prevalece y se acredita al embajador dueño del código.</w:t>
            </w:r>
          </w:p>
        </w:tc>
      </w:tr>
    </w:tbl>
    <w:p>
      <w:pPr>
        <w:spacing w:after="120"/>
      </w:pPr>
    </w:p>
    <w:p>
      <w:pPr>
        <w:pStyle w:val="Heading2"/>
      </w:pPr>
      <w:r>
        <w:t xml:space="preserve">Reglas anti-fraude mínimas</w:t>
      </w:r>
    </w:p>
    <w:p>
      <w:pPr>
        <w:pStyle w:val="ListParagraph"/>
        <w:numPr>
          <w:ilvl w:val="0"/>
          <w:numId w:val="2"/>
        </w:numPr>
        <w:spacing w:after="60"/>
      </w:pPr>
      <w:r>
        <w:t xml:space="preserve">Un embajador no puede referirse a sí mismo. Si el correo del registro coincide con el correo del embajador, la atribución se rechaza.</w:t>
      </w:r>
    </w:p>
    <w:p>
      <w:pPr>
        <w:pStyle w:val="ListParagraph"/>
        <w:numPr>
          <w:ilvl w:val="0"/>
          <w:numId w:val="2"/>
        </w:numPr>
        <w:spacing w:after="60"/>
      </w:pPr>
      <w:r>
        <w:t xml:space="preserve">Registros que nunca convierten a pago y comparten señales sospechosas (misma dirección IP, ráfagas anómalas) se marcan para revisión manual del administrador antes de habilitar comisiones.</w:t>
      </w:r>
    </w:p>
    <w:p>
      <w:pPr>
        <w:pStyle w:val="ListParagraph"/>
        <w:numPr>
          <w:ilvl w:val="0"/>
          <w:numId w:val="2"/>
        </w:numPr>
        <w:spacing w:after="60"/>
      </w:pPr>
      <w:r>
        <w:t xml:space="preserve">Una comisión solo se considera real cuando existe un pago confirmado del referido. Un registro sin pago no genera comisión.</w:t>
      </w:r>
    </w:p>
    <w:p>
      <w:pPr>
        <w:pStyle w:val="Heading1"/>
      </w:pPr>
      <w:r>
        <w:t xml:space="preserve">Estados del dinero (modelo conceptual cerrado)</w:t>
      </w:r>
    </w:p>
    <w:p>
      <w:pPr>
        <w:spacing w:after="120"/>
      </w:pPr>
      <w:r>
        <w:t xml:space="preserve">Toda comisión recorre una máquina de estados. Este modelo es el corazón del sistema y no debe simplificarse.</w:t>
      </w:r>
    </w:p>
    <w:p>
      <w:pPr>
        <w:spacing w:after="120"/>
      </w:pPr>
      <w:r>
        <w:t xml:space="preserve">Flujo normal: pendiente, luego disponible, luego solicitada, luego pagada.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8EDFF" w:val="clear"/>
            <w:tcMar>
              <w:top w:type="dxa" w:w="80"/>
              <w:left w:type="dxa" w:w="120"/>
              <w:bottom w:type="dxa" w:w="80"/>
              <w:right w:type="dxa" w:w="120"/>
            </w:tcMar>
          </w:tcPr>
          <w:p>
            <w:r>
              <w:rPr>
                <w:b/>
                <w:bCs/>
              </w:rPr>
              <w:t xml:space="preserve">Estado</w:t>
            </w:r>
          </w:p>
        </w:tc>
        <w:tc>
          <w:tcPr>
            <w:tcW w:type="dxa" w:w="7160"/>
            <w:tcBorders>
              <w:top w:val="single" w:color="CCCCCC" w:sz="1"/>
              <w:left w:val="single" w:color="CCCCCC" w:sz="1"/>
              <w:bottom w:val="single" w:color="CCCCCC" w:sz="1"/>
              <w:right w:val="single" w:color="CCCCCC" w:sz="1"/>
            </w:tcBorders>
            <w:shd w:fill="E8EDFF" w:val="clear"/>
            <w:tcMar>
              <w:top w:type="dxa" w:w="80"/>
              <w:left w:type="dxa" w:w="120"/>
              <w:bottom w:type="dxa" w:w="80"/>
              <w:right w:type="dxa" w:w="120"/>
            </w:tcMar>
          </w:tcPr>
          <w:p>
            <w:r>
              <w:rPr>
                <w:b/>
                <w:bCs/>
              </w:rPr>
              <w:t xml:space="preserve">Significado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pendiente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comisión se generó por un pago del referido pero aún está en periodo de retención (holdback). No se puede retirar.</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disponible</w:t>
            </w:r>
          </w:p>
        </w:tc>
        <w:tc>
          <w:tcPr>
            <w:tcW w:type="dxa" w:w="71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El periodo de retención venció sin reembolso ni disputa. La comisión cuenta para el saldo retirable del embajador.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solicitada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 embajador incluyó esta comisión en una solicitud de pago. Queda bloqueada para no solicitarse dos veces.</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pagada</w:t>
            </w:r>
          </w:p>
        </w:tc>
        <w:tc>
          <w:tcPr>
            <w:tcW w:type="dxa" w:w="71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El CEO ejecutó el pago manual y registró el comprobante. Comisión cerrada.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anulada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 referido pidió reembolso o canceló dentro del holdback. La comisión se invalida y no se paga.</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rechazada</w:t>
            </w:r>
          </w:p>
        </w:tc>
        <w:tc>
          <w:tcPr>
            <w:tcW w:type="dxa" w:w="71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b w:val="false"/>
                <w:bCs w:val="false"/>
              </w:rPr>
              <w:t xml:space="preserve">El administrador decidió no procesar el pago (por ejemplo, fraude detectado). Se registra el motivo.</w:t>
            </w:r>
          </w:p>
        </w:tc>
      </w:tr>
    </w:tbl>
    <w:p>
      <w:pPr>
        <w:spacing w:after="120"/>
      </w:pPr>
    </w:p>
    <w:p>
      <w:pPr>
        <w:pStyle w:val="Heading2"/>
      </w:pPr>
      <w:r>
        <w:t xml:space="preserve">Periodo de retención (holdback)</w:t>
      </w:r>
    </w:p>
    <w:p>
      <w:pPr>
        <w:spacing w:after="120"/>
      </w:pPr>
      <w:r>
        <w:t xml:space="preserve">Toda comisión nace en estado pendiente y solo pasa a disponible cuando vence su periodo de retención. El holdback existe para cubrir reembolsos y disputas. Valor inicial cerrado: 14 días desde el pago confirmado del referido. Si el referido pide reembolso o cancela dentro de esos 14 días, la comisión pasa a anulada y nunca se paga.</w:t>
      </w:r>
    </w:p>
    <w:p>
      <w:pPr>
        <w:pStyle w:val="Heading2"/>
      </w:pPr>
      <w:r>
        <w:t xml:space="preserve">Saldo del embajador</w:t>
      </w:r>
    </w:p>
    <w:p>
      <w:pPr>
        <w:spacing w:after="120"/>
      </w:pPr>
      <w:r>
        <w:t xml:space="preserve">El saldo disponible para retirar de un embajador es la suma de sus comisiones en estado disponible. El sistema nunca debe permitir solicitar el pago de comisiones en estado pendiente.</w:t>
      </w:r>
    </w:p>
    <w:p>
      <w:pPr>
        <w:pStyle w:val="Heading2"/>
      </w:pPr>
      <w:r>
        <w:t xml:space="preserve">Reembolso después de un pago ya ejecutado</w:t>
      </w:r>
    </w:p>
    <w:p>
      <w:pPr>
        <w:spacing w:after="120"/>
      </w:pPr>
      <w:r>
        <w:t xml:space="preserve">Si Resumika ya pagó una comisión al embajador y posteriormente el referido obtiene un reembolso, el monto no se intenta recuperar del embajador. En su lugar se registra como saldo negativo arrastrable que se descuenta automáticamente de las siguientes comisiones disponibles del embajador hasta saldar la diferencia.</w:t>
      </w:r>
    </w:p>
    <w:p>
      <w:pPr>
        <w:pStyle w:val="Heading1"/>
      </w:pPr>
      <w:r>
        <w:t xml:space="preserve">Umbral mínimo de retiro (decisión cerrada)</w:t>
      </w:r>
    </w:p>
    <w:p>
      <w:pPr>
        <w:spacing w:after="120"/>
      </w:pPr>
      <w:r>
        <w:t xml:space="preserve">Dado el ticket bajo (un CV de $2.99 con 25 por ciento genera unos $0.75) y que los pagos son manuales en criptomoneda, las microcomisiones deben acumularse antes de poder retirarse.</w:t>
      </w:r>
    </w:p>
    <w:p>
      <w:pPr>
        <w:pStyle w:val="ListParagraph"/>
        <w:numPr>
          <w:ilvl w:val="0"/>
          <w:numId w:val="2"/>
        </w:numPr>
        <w:spacing w:after="60"/>
      </w:pPr>
      <w:r>
        <w:t xml:space="preserve">Umbral mínimo de retiro inicial: $50 USD en saldo disponible.</w:t>
      </w:r>
    </w:p>
    <w:p>
      <w:pPr>
        <w:pStyle w:val="ListParagraph"/>
        <w:numPr>
          <w:ilvl w:val="0"/>
          <w:numId w:val="2"/>
        </w:numPr>
        <w:spacing w:after="60"/>
      </w:pPr>
      <w:r>
        <w:t xml:space="preserve">El botón de solicitar pago permanece desactivado mientras el saldo disponible esté por debajo del umbral, mostrando con claridad cuánto falta para alcanzarlo.</w:t>
      </w:r>
    </w:p>
    <w:p>
      <w:pPr>
        <w:pStyle w:val="ListParagraph"/>
        <w:numPr>
          <w:ilvl w:val="0"/>
          <w:numId w:val="2"/>
        </w:numPr>
        <w:spacing w:after="60"/>
      </w:pPr>
      <w:r>
        <w:t xml:space="preserve">El umbral es un parámetro configurable por el administrador, no un valor fijo en código.</w:t>
      </w:r>
    </w:p>
    <w:p>
      <w:pPr>
        <w:pStyle w:val="Heading1"/>
      </w:pPr>
      <w:r>
        <w:t xml:space="preserve">Modelo de datos conceptual</w:t>
      </w:r>
    </w:p>
    <w:p>
      <w:pPr>
        <w:spacing w:after="120"/>
      </w:pPr>
      <w:r>
        <w:t xml:space="preserve">El modelo encaja sobre el stack actual de Supabase del Documento Maestro v3 sin romper estructuras existentes. Se describe a nivel conceptual; el desarrollador define tipos y restricciones finales.</w:t>
      </w:r>
    </w:p>
    <w:p>
      <w:pPr>
        <w:pStyle w:val="Heading3"/>
      </w:pPr>
      <w:r>
        <w:t xml:space="preserve">roles</w:t>
      </w:r>
    </w:p>
    <w:p>
      <w:pPr>
        <w:spacing w:after="120"/>
      </w:pPr>
      <w:r>
        <w:t xml:space="preserve">Se añade el rol embajador al sistema de roles existente, además de usuario final y administrador.</w:t>
      </w:r>
    </w:p>
    <w:p>
      <w:pPr>
        <w:pStyle w:val="Heading3"/>
      </w:pPr>
      <w:r>
        <w:t xml:space="preserve">embajador_perfil</w:t>
      </w:r>
    </w:p>
    <w:p>
      <w:pPr>
        <w:pStyle w:val="ListParagraph"/>
        <w:numPr>
          <w:ilvl w:val="0"/>
          <w:numId w:val="2"/>
        </w:numPr>
        <w:spacing w:after="60"/>
      </w:pPr>
      <w:r>
        <w:t xml:space="preserve">user_id (referencia al usuario)</w:t>
      </w:r>
    </w:p>
    <w:p>
      <w:pPr>
        <w:pStyle w:val="ListParagraph"/>
        <w:numPr>
          <w:ilvl w:val="0"/>
          <w:numId w:val="2"/>
        </w:numPr>
        <w:spacing w:after="60"/>
      </w:pPr>
      <w:r>
        <w:t xml:space="preserve">codigo_referido_unico (identificador del enlace de referido, único en el sistema)</w:t>
      </w:r>
    </w:p>
    <w:p>
      <w:pPr>
        <w:pStyle w:val="ListParagraph"/>
        <w:numPr>
          <w:ilvl w:val="0"/>
          <w:numId w:val="2"/>
        </w:numPr>
        <w:spacing w:after="60"/>
      </w:pPr>
      <w:r>
        <w:t xml:space="preserve">porcentaje_comision (decimal, definido por el CEO por embajador)</w:t>
      </w:r>
    </w:p>
    <w:p>
      <w:pPr>
        <w:pStyle w:val="ListParagraph"/>
        <w:numPr>
          <w:ilvl w:val="0"/>
          <w:numId w:val="2"/>
        </w:numPr>
        <w:spacing w:after="60"/>
      </w:pPr>
      <w:r>
        <w:t xml:space="preserve">meses_recurrencia_mensual (entero, por defecto 6)</w:t>
      </w:r>
    </w:p>
    <w:p>
      <w:pPr>
        <w:pStyle w:val="ListParagraph"/>
        <w:numPr>
          <w:ilvl w:val="0"/>
          <w:numId w:val="2"/>
        </w:numPr>
        <w:spacing w:after="60"/>
      </w:pPr>
      <w:r>
        <w:t xml:space="preserve">umbral_minimo_pago (decimal, por defecto 50)</w:t>
      </w:r>
    </w:p>
    <w:p>
      <w:pPr>
        <w:pStyle w:val="ListParagraph"/>
        <w:numPr>
          <w:ilvl w:val="0"/>
          <w:numId w:val="2"/>
        </w:numPr>
        <w:spacing w:after="60"/>
      </w:pPr>
      <w:r>
        <w:t xml:space="preserve">saldo_negativo_arrastrable (decimal, por defecto 0)</w:t>
      </w:r>
    </w:p>
    <w:p>
      <w:pPr>
        <w:pStyle w:val="ListParagraph"/>
        <w:numPr>
          <w:ilvl w:val="0"/>
          <w:numId w:val="2"/>
        </w:numPr>
        <w:spacing w:after="60"/>
      </w:pPr>
      <w:r>
        <w:t xml:space="preserve">estado (activo, suspendido)</w:t>
      </w:r>
    </w:p>
    <w:p>
      <w:pPr>
        <w:pStyle w:val="ListParagraph"/>
        <w:numPr>
          <w:ilvl w:val="0"/>
          <w:numId w:val="2"/>
        </w:numPr>
        <w:spacing w:after="60"/>
      </w:pPr>
      <w:r>
        <w:t xml:space="preserve">fecha_alta</w:t>
      </w:r>
    </w:p>
    <w:p>
      <w:pPr>
        <w:pStyle w:val="Heading3"/>
      </w:pPr>
      <w:r>
        <w:t xml:space="preserve">codigos_descuento</w:t>
      </w:r>
    </w:p>
    <w:p>
      <w:pPr>
        <w:pStyle w:val="ListParagraph"/>
        <w:numPr>
          <w:ilvl w:val="0"/>
          <w:numId w:val="2"/>
        </w:numPr>
        <w:spacing w:after="60"/>
      </w:pPr>
      <w:r>
        <w:t xml:space="preserve">id</w:t>
      </w:r>
    </w:p>
    <w:p>
      <w:pPr>
        <w:pStyle w:val="ListParagraph"/>
        <w:numPr>
          <w:ilvl w:val="0"/>
          <w:numId w:val="2"/>
        </w:numPr>
        <w:spacing w:after="60"/>
      </w:pPr>
      <w:r>
        <w:t xml:space="preserve">embajador_id</w:t>
      </w:r>
    </w:p>
    <w:p>
      <w:pPr>
        <w:pStyle w:val="ListParagraph"/>
        <w:numPr>
          <w:ilvl w:val="0"/>
          <w:numId w:val="2"/>
        </w:numPr>
        <w:spacing w:after="60"/>
      </w:pPr>
      <w:r>
        <w:t xml:space="preserve">codigo (único en el sistema)</w:t>
      </w:r>
    </w:p>
    <w:p>
      <w:pPr>
        <w:pStyle w:val="ListParagraph"/>
        <w:numPr>
          <w:ilvl w:val="0"/>
          <w:numId w:val="2"/>
        </w:numPr>
        <w:spacing w:after="60"/>
      </w:pPr>
      <w:r>
        <w:t xml:space="preserve">porcentaje_descuento (acotado por el tope global)</w:t>
      </w:r>
    </w:p>
    <w:p>
      <w:pPr>
        <w:pStyle w:val="ListParagraph"/>
        <w:numPr>
          <w:ilvl w:val="0"/>
          <w:numId w:val="2"/>
        </w:numPr>
        <w:spacing w:after="60"/>
      </w:pPr>
      <w:r>
        <w:t xml:space="preserve">usos_maximos (nulo si ilimitado)</w:t>
      </w:r>
    </w:p>
    <w:p>
      <w:pPr>
        <w:pStyle w:val="ListParagraph"/>
        <w:numPr>
          <w:ilvl w:val="0"/>
          <w:numId w:val="2"/>
        </w:numPr>
        <w:spacing w:after="60"/>
      </w:pPr>
      <w:r>
        <w:t xml:space="preserve">usos_actuales</w:t>
      </w:r>
    </w:p>
    <w:p>
      <w:pPr>
        <w:pStyle w:val="ListParagraph"/>
        <w:numPr>
          <w:ilvl w:val="0"/>
          <w:numId w:val="2"/>
        </w:numPr>
        <w:spacing w:after="60"/>
      </w:pPr>
      <w:r>
        <w:t xml:space="preserve">activo (booleano)</w:t>
      </w:r>
    </w:p>
    <w:p>
      <w:pPr>
        <w:pStyle w:val="ListParagraph"/>
        <w:numPr>
          <w:ilvl w:val="0"/>
          <w:numId w:val="2"/>
        </w:numPr>
        <w:spacing w:after="60"/>
      </w:pPr>
      <w:r>
        <w:t xml:space="preserve">fecha_expiracion (opcional)</w:t>
      </w:r>
    </w:p>
    <w:p>
      <w:pPr>
        <w:pStyle w:val="Heading3"/>
      </w:pPr>
      <w:r>
        <w:t xml:space="preserve">referidos</w:t>
      </w:r>
    </w:p>
    <w:p>
      <w:pPr>
        <w:pStyle w:val="ListParagraph"/>
        <w:numPr>
          <w:ilvl w:val="0"/>
          <w:numId w:val="2"/>
        </w:numPr>
        <w:spacing w:after="60"/>
      </w:pPr>
      <w:r>
        <w:t xml:space="preserve">id</w:t>
      </w:r>
    </w:p>
    <w:p>
      <w:pPr>
        <w:pStyle w:val="ListParagraph"/>
        <w:numPr>
          <w:ilvl w:val="0"/>
          <w:numId w:val="2"/>
        </w:numPr>
        <w:spacing w:after="60"/>
      </w:pPr>
      <w:r>
        <w:t xml:space="preserve">embajador_id</w:t>
      </w:r>
    </w:p>
    <w:p>
      <w:pPr>
        <w:pStyle w:val="ListParagraph"/>
        <w:numPr>
          <w:ilvl w:val="0"/>
          <w:numId w:val="2"/>
        </w:numPr>
        <w:spacing w:after="60"/>
      </w:pPr>
      <w:r>
        <w:t xml:space="preserve">usuario_referido_id</w:t>
      </w:r>
    </w:p>
    <w:p>
      <w:pPr>
        <w:pStyle w:val="ListParagraph"/>
        <w:numPr>
          <w:ilvl w:val="0"/>
          <w:numId w:val="2"/>
        </w:numPr>
        <w:spacing w:after="60"/>
      </w:pPr>
      <w:r>
        <w:t xml:space="preserve">origen (enlace o codigo)</w:t>
      </w:r>
    </w:p>
    <w:p>
      <w:pPr>
        <w:pStyle w:val="ListParagraph"/>
        <w:numPr>
          <w:ilvl w:val="0"/>
          <w:numId w:val="2"/>
        </w:numPr>
        <w:spacing w:after="60"/>
      </w:pPr>
      <w:r>
        <w:t xml:space="preserve">codigo_usado (si aplica)</w:t>
      </w:r>
    </w:p>
    <w:p>
      <w:pPr>
        <w:pStyle w:val="ListParagraph"/>
        <w:numPr>
          <w:ilvl w:val="0"/>
          <w:numId w:val="2"/>
        </w:numPr>
        <w:spacing w:after="60"/>
      </w:pPr>
      <w:r>
        <w:t xml:space="preserve">fecha_clic_atribucion</w:t>
      </w:r>
    </w:p>
    <w:p>
      <w:pPr>
        <w:pStyle w:val="ListParagraph"/>
        <w:numPr>
          <w:ilvl w:val="0"/>
          <w:numId w:val="2"/>
        </w:numPr>
        <w:spacing w:after="60"/>
      </w:pPr>
      <w:r>
        <w:t xml:space="preserve">fecha_registro</w:t>
      </w:r>
    </w:p>
    <w:p>
      <w:pPr>
        <w:pStyle w:val="ListParagraph"/>
        <w:numPr>
          <w:ilvl w:val="0"/>
          <w:numId w:val="2"/>
        </w:numPr>
        <w:spacing w:after="60"/>
      </w:pPr>
      <w:r>
        <w:t xml:space="preserve">plan_actual del referido</w:t>
      </w:r>
    </w:p>
    <w:p>
      <w:pPr>
        <w:pStyle w:val="ListParagraph"/>
        <w:numPr>
          <w:ilvl w:val="0"/>
          <w:numId w:val="2"/>
        </w:numPr>
        <w:spacing w:after="60"/>
      </w:pPr>
      <w:r>
        <w:t xml:space="preserve">fecha_primera_suscripcion (ancla para el límite de 6 meses)</w:t>
      </w:r>
    </w:p>
    <w:p>
      <w:pPr>
        <w:pStyle w:val="Heading3"/>
      </w:pPr>
      <w:r>
        <w:t xml:space="preserve">comisiones</w:t>
      </w:r>
    </w:p>
    <w:p>
      <w:pPr>
        <w:pStyle w:val="ListParagraph"/>
        <w:numPr>
          <w:ilvl w:val="0"/>
          <w:numId w:val="2"/>
        </w:numPr>
        <w:spacing w:after="60"/>
      </w:pPr>
      <w:r>
        <w:t xml:space="preserve">id</w:t>
      </w:r>
    </w:p>
    <w:p>
      <w:pPr>
        <w:pStyle w:val="ListParagraph"/>
        <w:numPr>
          <w:ilvl w:val="0"/>
          <w:numId w:val="2"/>
        </w:numPr>
        <w:spacing w:after="60"/>
      </w:pPr>
      <w:r>
        <w:t xml:space="preserve">embajador_id</w:t>
      </w:r>
    </w:p>
    <w:p>
      <w:pPr>
        <w:pStyle w:val="ListParagraph"/>
        <w:numPr>
          <w:ilvl w:val="0"/>
          <w:numId w:val="2"/>
        </w:numPr>
        <w:spacing w:after="60"/>
      </w:pPr>
      <w:r>
        <w:t xml:space="preserve">referido_id</w:t>
      </w:r>
    </w:p>
    <w:p>
      <w:pPr>
        <w:pStyle w:val="ListParagraph"/>
        <w:numPr>
          <w:ilvl w:val="0"/>
          <w:numId w:val="2"/>
        </w:numPr>
        <w:spacing w:after="60"/>
      </w:pPr>
      <w:r>
        <w:t xml:space="preserve">pago_origen_id (referencia al pago del referido que la generó)</w:t>
      </w:r>
    </w:p>
    <w:p>
      <w:pPr>
        <w:pStyle w:val="ListParagraph"/>
        <w:numPr>
          <w:ilvl w:val="0"/>
          <w:numId w:val="2"/>
        </w:numPr>
        <w:spacing w:after="60"/>
      </w:pPr>
      <w:r>
        <w:t xml:space="preserve">tipo (unica, recurrente)</w:t>
      </w:r>
    </w:p>
    <w:p>
      <w:pPr>
        <w:pStyle w:val="ListParagraph"/>
        <w:numPr>
          <w:ilvl w:val="0"/>
          <w:numId w:val="2"/>
        </w:numPr>
        <w:spacing w:after="60"/>
      </w:pPr>
      <w:r>
        <w:t xml:space="preserve">monto_base (monto pagado por el referido tras descuento)</w:t>
      </w:r>
    </w:p>
    <w:p>
      <w:pPr>
        <w:pStyle w:val="ListParagraph"/>
        <w:numPr>
          <w:ilvl w:val="0"/>
          <w:numId w:val="2"/>
        </w:numPr>
        <w:spacing w:after="60"/>
      </w:pPr>
      <w:r>
        <w:t xml:space="preserve">porcentaje_aplicado</w:t>
      </w:r>
    </w:p>
    <w:p>
      <w:pPr>
        <w:pStyle w:val="ListParagraph"/>
        <w:numPr>
          <w:ilvl w:val="0"/>
          <w:numId w:val="2"/>
        </w:numPr>
        <w:spacing w:after="60"/>
      </w:pPr>
      <w:r>
        <w:t xml:space="preserve">monto_comision</w:t>
      </w:r>
    </w:p>
    <w:p>
      <w:pPr>
        <w:pStyle w:val="ListParagraph"/>
        <w:numPr>
          <w:ilvl w:val="0"/>
          <w:numId w:val="2"/>
        </w:numPr>
        <w:spacing w:after="60"/>
      </w:pPr>
      <w:r>
        <w:t xml:space="preserve">estado (pendiente, disponible, solicitada, pagada, anulada, rechazada)</w:t>
      </w:r>
    </w:p>
    <w:p>
      <w:pPr>
        <w:pStyle w:val="ListParagraph"/>
        <w:numPr>
          <w:ilvl w:val="0"/>
          <w:numId w:val="2"/>
        </w:numPr>
        <w:spacing w:after="60"/>
      </w:pPr>
      <w:r>
        <w:t xml:space="preserve">fecha_generacion</w:t>
      </w:r>
    </w:p>
    <w:p>
      <w:pPr>
        <w:pStyle w:val="ListParagraph"/>
        <w:numPr>
          <w:ilvl w:val="0"/>
          <w:numId w:val="2"/>
        </w:numPr>
        <w:spacing w:after="60"/>
      </w:pPr>
      <w:r>
        <w:t xml:space="preserve">fecha_disponible (cuando vence el holdback)</w:t>
      </w:r>
    </w:p>
    <w:p>
      <w:pPr>
        <w:pStyle w:val="Heading3"/>
      </w:pPr>
      <w:r>
        <w:t xml:space="preserve">solicitudes_pago</w:t>
      </w:r>
    </w:p>
    <w:p>
      <w:pPr>
        <w:pStyle w:val="ListParagraph"/>
        <w:numPr>
          <w:ilvl w:val="0"/>
          <w:numId w:val="2"/>
        </w:numPr>
        <w:spacing w:after="60"/>
      </w:pPr>
      <w:r>
        <w:t xml:space="preserve">id</w:t>
      </w:r>
    </w:p>
    <w:p>
      <w:pPr>
        <w:pStyle w:val="ListParagraph"/>
        <w:numPr>
          <w:ilvl w:val="0"/>
          <w:numId w:val="2"/>
        </w:numPr>
        <w:spacing w:after="60"/>
      </w:pPr>
      <w:r>
        <w:t xml:space="preserve">embajador_id</w:t>
      </w:r>
    </w:p>
    <w:p>
      <w:pPr>
        <w:pStyle w:val="ListParagraph"/>
        <w:numPr>
          <w:ilvl w:val="0"/>
          <w:numId w:val="2"/>
        </w:numPr>
        <w:spacing w:after="60"/>
      </w:pPr>
      <w:r>
        <w:t xml:space="preserve">monto_total</w:t>
      </w:r>
    </w:p>
    <w:p>
      <w:pPr>
        <w:pStyle w:val="ListParagraph"/>
        <w:numPr>
          <w:ilvl w:val="0"/>
          <w:numId w:val="2"/>
        </w:numPr>
        <w:spacing w:after="60"/>
      </w:pPr>
      <w:r>
        <w:t xml:space="preserve">comisiones_incluidas (lista de ids de comisiones)</w:t>
      </w:r>
    </w:p>
    <w:p>
      <w:pPr>
        <w:pStyle w:val="ListParagraph"/>
        <w:numPr>
          <w:ilvl w:val="0"/>
          <w:numId w:val="2"/>
        </w:numPr>
        <w:spacing w:after="60"/>
      </w:pPr>
      <w:r>
        <w:t xml:space="preserve">metodo_pago (cripto en la fase inicial)</w:t>
      </w:r>
    </w:p>
    <w:p>
      <w:pPr>
        <w:pStyle w:val="ListParagraph"/>
        <w:numPr>
          <w:ilvl w:val="0"/>
          <w:numId w:val="2"/>
        </w:numPr>
        <w:spacing w:after="60"/>
      </w:pPr>
      <w:r>
        <w:t xml:space="preserve">red_blockchain</w:t>
      </w:r>
    </w:p>
    <w:p>
      <w:pPr>
        <w:pStyle w:val="ListParagraph"/>
        <w:numPr>
          <w:ilvl w:val="0"/>
          <w:numId w:val="2"/>
        </w:numPr>
        <w:spacing w:after="60"/>
      </w:pPr>
      <w:r>
        <w:t xml:space="preserve">direccion_wallet</w:t>
      </w:r>
    </w:p>
    <w:p>
      <w:pPr>
        <w:pStyle w:val="ListParagraph"/>
        <w:numPr>
          <w:ilvl w:val="0"/>
          <w:numId w:val="2"/>
        </w:numPr>
        <w:spacing w:after="60"/>
      </w:pPr>
      <w:r>
        <w:t xml:space="preserve">estado (solicitada, en_proceso, pagada, rechazada)</w:t>
      </w:r>
    </w:p>
    <w:p>
      <w:pPr>
        <w:pStyle w:val="ListParagraph"/>
        <w:numPr>
          <w:ilvl w:val="0"/>
          <w:numId w:val="2"/>
        </w:numPr>
        <w:spacing w:after="60"/>
      </w:pPr>
      <w:r>
        <w:t xml:space="preserve">fecha_solicitud</w:t>
      </w:r>
    </w:p>
    <w:p>
      <w:pPr>
        <w:pStyle w:val="ListParagraph"/>
        <w:numPr>
          <w:ilvl w:val="0"/>
          <w:numId w:val="2"/>
        </w:numPr>
        <w:spacing w:after="60"/>
      </w:pPr>
      <w:r>
        <w:t xml:space="preserve">fecha_pago</w:t>
      </w:r>
    </w:p>
    <w:p>
      <w:pPr>
        <w:pStyle w:val="ListParagraph"/>
        <w:numPr>
          <w:ilvl w:val="0"/>
          <w:numId w:val="2"/>
        </w:numPr>
        <w:spacing w:after="60"/>
      </w:pPr>
      <w:r>
        <w:t xml:space="preserve">hash_transaccion (comprobante)</w:t>
      </w:r>
    </w:p>
    <w:p>
      <w:pPr>
        <w:pStyle w:val="ListParagraph"/>
        <w:numPr>
          <w:ilvl w:val="0"/>
          <w:numId w:val="2"/>
        </w:numPr>
        <w:spacing w:after="60"/>
      </w:pPr>
      <w:r>
        <w:t xml:space="preserve">nota_admin (motivo si se rechaza)</w:t>
      </w:r>
    </w:p>
    <w:p>
      <w:pPr>
        <w:pStyle w:val="Heading1"/>
      </w:pPr>
      <w:r>
        <w:t xml:space="preserve">Panel del embajador (experiencia de usuario)</w:t>
      </w:r>
    </w:p>
    <w:p>
      <w:pPr>
        <w:spacing w:after="120"/>
      </w:pPr>
      <w:r>
        <w:t xml:space="preserve">El panel del embajador es una sección exclusiva del rol embajador. Aparece como un ítem adicional en el sidebar izquierdo descrito en el Documento Maestro v3, visible solo para usuarios con rol embajador activo.</w:t>
      </w:r>
    </w:p>
    <w:p>
      <w:pPr>
        <w:spacing w:after="120"/>
      </w:pPr>
      <w:r>
        <w:t xml:space="preserve">Regla de seguridad cerrada: la visibilidad del ítem en el sidebar es solo presentación. El acceso real al panel, al enlace de referido y a los datos de comisiones debe protegerse a nivel de servidor por rol. Ocultar el ítem del menú nunca es suficiente como control de acceso.</w:t>
      </w:r>
    </w:p>
    <w:p>
      <w:pPr>
        <w:pStyle w:val="Heading2"/>
      </w:pPr>
      <w:r>
        <w:t xml:space="preserve">Vista 1 — Resumen</w:t>
      </w:r>
    </w:p>
    <w:p>
      <w:pPr>
        <w:pStyle w:val="ListParagraph"/>
        <w:numPr>
          <w:ilvl w:val="0"/>
          <w:numId w:val="2"/>
        </w:numPr>
        <w:spacing w:after="60"/>
      </w:pPr>
      <w:r>
        <w:t xml:space="preserve">Saldo disponible para retirar, como dato principal y destacado.</w:t>
      </w:r>
    </w:p>
    <w:p>
      <w:pPr>
        <w:pStyle w:val="ListParagraph"/>
        <w:numPr>
          <w:ilvl w:val="0"/>
          <w:numId w:val="2"/>
        </w:numPr>
        <w:spacing w:after="60"/>
      </w:pPr>
      <w:r>
        <w:t xml:space="preserve">Saldo pendiente en holdback (informativo, aún no retirable).</w:t>
      </w:r>
    </w:p>
    <w:p>
      <w:pPr>
        <w:pStyle w:val="ListParagraph"/>
        <w:numPr>
          <w:ilvl w:val="0"/>
          <w:numId w:val="2"/>
        </w:numPr>
        <w:spacing w:after="60"/>
      </w:pPr>
      <w:r>
        <w:t xml:space="preserve">Total ganado histórico.</w:t>
      </w:r>
    </w:p>
    <w:p>
      <w:pPr>
        <w:pStyle w:val="ListParagraph"/>
        <w:numPr>
          <w:ilvl w:val="0"/>
          <w:numId w:val="2"/>
        </w:numPr>
        <w:spacing w:after="60"/>
      </w:pPr>
      <w:r>
        <w:t xml:space="preserve">Total de referidos y porcentaje de conversión a pago.</w:t>
      </w:r>
    </w:p>
    <w:p>
      <w:pPr>
        <w:pStyle w:val="ListParagraph"/>
        <w:numPr>
          <w:ilvl w:val="0"/>
          <w:numId w:val="2"/>
        </w:numPr>
        <w:spacing w:after="60"/>
      </w:pPr>
      <w:r>
        <w:t xml:space="preserve">Botón Solicitar pago, desactivado hasta alcanzar el umbral, con mensaje claro de cuánto falta.</w:t>
      </w:r>
    </w:p>
    <w:p>
      <w:pPr>
        <w:pStyle w:val="Heading2"/>
      </w:pPr>
      <w:r>
        <w:t xml:space="preserve">Vista 2 — Mi enlace y códigos</w:t>
      </w:r>
    </w:p>
    <w:p>
      <w:pPr>
        <w:pStyle w:val="ListParagraph"/>
        <w:numPr>
          <w:ilvl w:val="0"/>
          <w:numId w:val="2"/>
        </w:numPr>
        <w:spacing w:after="60"/>
      </w:pPr>
      <w:r>
        <w:t xml:space="preserve">Enlace de referido único con botón de copiar.</w:t>
      </w:r>
    </w:p>
    <w:p>
      <w:pPr>
        <w:pStyle w:val="ListParagraph"/>
        <w:numPr>
          <w:ilvl w:val="0"/>
          <w:numId w:val="2"/>
        </w:numPr>
        <w:spacing w:after="60"/>
      </w:pPr>
      <w:r>
        <w:t xml:space="preserve">Generador de códigos de descuento, con el porcentaje acotado por el tope global.</w:t>
      </w:r>
    </w:p>
    <w:p>
      <w:pPr>
        <w:pStyle w:val="ListParagraph"/>
        <w:numPr>
          <w:ilvl w:val="0"/>
          <w:numId w:val="2"/>
        </w:numPr>
        <w:spacing w:after="60"/>
      </w:pPr>
      <w:r>
        <w:t xml:space="preserve">Listado de códigos creados con sus usos, estado y fecha de expiración.</w:t>
      </w:r>
    </w:p>
    <w:p>
      <w:pPr>
        <w:pStyle w:val="Heading2"/>
      </w:pPr>
      <w:r>
        <w:t xml:space="preserve">Vista 3 — Mis referidos</w:t>
      </w:r>
    </w:p>
    <w:p>
      <w:pPr>
        <w:pStyle w:val="ListParagraph"/>
        <w:numPr>
          <w:ilvl w:val="0"/>
          <w:numId w:val="2"/>
        </w:numPr>
        <w:spacing w:after="60"/>
      </w:pPr>
      <w:r>
        <w:t xml:space="preserve">Tabla de referidos con filtro de histórico: este mes, últimos 3 meses, todo.</w:t>
      </w:r>
    </w:p>
    <w:p>
      <w:pPr>
        <w:pStyle w:val="ListParagraph"/>
        <w:numPr>
          <w:ilvl w:val="0"/>
          <w:numId w:val="2"/>
        </w:numPr>
        <w:spacing w:after="60"/>
      </w:pPr>
      <w:r>
        <w:t xml:space="preserve">Por cada referido: fecha de registro, plan actual, comisión generada acumulada y estado.</w:t>
      </w:r>
    </w:p>
    <w:p>
      <w:pPr>
        <w:pStyle w:val="ListParagraph"/>
        <w:numPr>
          <w:ilvl w:val="0"/>
          <w:numId w:val="2"/>
        </w:numPr>
        <w:spacing w:after="60"/>
      </w:pPr>
      <w:r>
        <w:t xml:space="preserve">Regla de privacidad cerrada: no se muestra el correo completo ni el nombre real del referido. Se usa identificación ofuscada (por ejemplo iniciales y fecha, o correo parcialmente enmascarado). El embajador no necesita la identidad del referido y Resumika no debe exponer datos personales de sus usuarios.</w:t>
      </w:r>
    </w:p>
    <w:p>
      <w:pPr>
        <w:pStyle w:val="Heading2"/>
      </w:pPr>
      <w:r>
        <w:t xml:space="preserve">Vista 4 — Pagos</w:t>
      </w:r>
    </w:p>
    <w:p>
      <w:pPr>
        <w:pStyle w:val="ListParagraph"/>
        <w:numPr>
          <w:ilvl w:val="0"/>
          <w:numId w:val="2"/>
        </w:numPr>
        <w:spacing w:after="60"/>
      </w:pPr>
      <w:r>
        <w:t xml:space="preserve">Historial de solicitudes de pago con su estado.</w:t>
      </w:r>
    </w:p>
    <w:p>
      <w:pPr>
        <w:pStyle w:val="ListParagraph"/>
        <w:numPr>
          <w:ilvl w:val="0"/>
          <w:numId w:val="2"/>
        </w:numPr>
        <w:spacing w:after="60"/>
      </w:pPr>
      <w:r>
        <w:t xml:space="preserve">Formulario de solicitud de pago: monto, red blockchain y dirección de wallet.</w:t>
      </w:r>
    </w:p>
    <w:p>
      <w:pPr>
        <w:pStyle w:val="ListParagraph"/>
        <w:numPr>
          <w:ilvl w:val="0"/>
          <w:numId w:val="2"/>
        </w:numPr>
        <w:spacing w:after="60"/>
      </w:pPr>
      <w:r>
        <w:t xml:space="preserve">Regla crítica de criptomoneda: la dirección de wallet debe confirmarse dos veces antes de enviar la solicitud, porque una transacción cripto es irreversible y un error de un carácter implica pérdida total del pago.</w:t>
      </w:r>
    </w:p>
    <w:p>
      <w:pPr>
        <w:pStyle w:val="Heading1"/>
      </w:pPr>
      <w:r>
        <w:t xml:space="preserve">Flujo de pago manual (operación del CEO)</w:t>
      </w:r>
    </w:p>
    <w:p>
      <w:pPr>
        <w:spacing w:after="120"/>
      </w:pPr>
      <w:r>
        <w:t xml:space="preserve">En la fase inicial, todos los pagos a embajadores los ejecuta el CEO manualmente en criptomoneda. El sistema solo registra, ordena y deja trazabilidad; no mueve dinero automáticamente.</w:t>
      </w:r>
    </w:p>
    <w:p>
      <w:pPr>
        <w:pStyle w:val="ListParagraph"/>
        <w:numPr>
          <w:ilvl w:val="0"/>
          <w:numId w:val="3"/>
        </w:numPr>
        <w:spacing w:after="60"/>
      </w:pPr>
      <w:r>
        <w:t xml:space="preserve">El embajador alcanza el umbral y envía una solicitud de pago indicando red y wallet, con doble confirmación de la dirección.</w:t>
      </w:r>
    </w:p>
    <w:p>
      <w:pPr>
        <w:pStyle w:val="ListParagraph"/>
        <w:numPr>
          <w:ilvl w:val="0"/>
          <w:numId w:val="3"/>
        </w:numPr>
        <w:spacing w:after="60"/>
      </w:pPr>
      <w:r>
        <w:t xml:space="preserve">Las comisiones incluidas pasan a estado solicitada y quedan bloqueadas para no solicitarse dos veces.</w:t>
      </w:r>
    </w:p>
    <w:p>
      <w:pPr>
        <w:pStyle w:val="ListParagraph"/>
        <w:numPr>
          <w:ilvl w:val="0"/>
          <w:numId w:val="3"/>
        </w:numPr>
        <w:spacing w:after="60"/>
      </w:pPr>
      <w:r>
        <w:t xml:space="preserve">El administrador ve la solicitud en estado solicitada, con monto, comisiones incluidas, red y wallet destino.</w:t>
      </w:r>
    </w:p>
    <w:p>
      <w:pPr>
        <w:pStyle w:val="ListParagraph"/>
        <w:numPr>
          <w:ilvl w:val="0"/>
          <w:numId w:val="3"/>
        </w:numPr>
        <w:spacing w:after="60"/>
      </w:pPr>
      <w:r>
        <w:t xml:space="preserve">El CEO ejecuta el pago externamente en la red elegida.</w:t>
      </w:r>
    </w:p>
    <w:p>
      <w:pPr>
        <w:pStyle w:val="ListParagraph"/>
        <w:numPr>
          <w:ilvl w:val="0"/>
          <w:numId w:val="3"/>
        </w:numPr>
        <w:spacing w:after="60"/>
      </w:pPr>
      <w:r>
        <w:t xml:space="preserve">El CEO vuelve al panel, registra el hash de transacción como comprobante y marca la solicitud como pagada.</w:t>
      </w:r>
    </w:p>
    <w:p>
      <w:pPr>
        <w:pStyle w:val="ListParagraph"/>
        <w:numPr>
          <w:ilvl w:val="0"/>
          <w:numId w:val="3"/>
        </w:numPr>
        <w:spacing w:after="60"/>
      </w:pPr>
      <w:r>
        <w:t xml:space="preserve">El sistema marca todas las comisiones incluidas como pagada y las descuenta del saldo disponible del embajador.</w:t>
      </w:r>
    </w:p>
    <w:p>
      <w:pPr>
        <w:spacing w:after="120"/>
      </w:pPr>
      <w:r>
        <w:t xml:space="preserve">Si el CEO decide no procesar una solicitud (por ejemplo, por fraude), la marca como rechazada con un motivo en nota_admin, y las comisiones incluidas vuelven a estado disponible o se anulan según el caso.</w:t>
      </w:r>
    </w:p>
    <w:p>
      <w:pPr>
        <w:pStyle w:val="Heading2"/>
      </w:pPr>
      <w:r>
        <w:t xml:space="preserve">Sobre la red de criptomoneda</w:t>
      </w:r>
    </w:p>
    <w:p>
      <w:pPr>
        <w:spacing w:after="120"/>
      </w:pPr>
      <w:r>
        <w:t xml:space="preserve">Decisión recomendada y pendiente de confirmación del CEO: usar una red de comisiones bajas para que los retiros de monto moderado sean viables. Se sugiere stablecoin (por ejemplo USDT o USDC) sobre una red económica como TRON o Polygon. Se desaconseja Ethereum mainnet por comisiones de red altas. La red elegida debe quedar fijada antes de habilitar solicitudes de pago reales.</w:t>
      </w:r>
    </w:p>
    <w:p>
      <w:pPr>
        <w:pStyle w:val="Heading1"/>
      </w:pPr>
      <w:r>
        <w:t xml:space="preserve">Manejo de errores y reglas transversales</w:t>
      </w:r>
    </w:p>
    <w:p>
      <w:pPr>
        <w:spacing w:after="120"/>
      </w:pPr>
      <w:r>
        <w:t xml:space="preserve">Se mantienen las reglas transversales del Documento Maestro v3. Adicionalmente para este módulo:</w:t>
      </w:r>
    </w:p>
    <w:p>
      <w:pPr>
        <w:pStyle w:val="ListParagraph"/>
        <w:numPr>
          <w:ilvl w:val="0"/>
          <w:numId w:val="2"/>
        </w:numPr>
        <w:spacing w:after="60"/>
      </w:pPr>
      <w:r>
        <w:t xml:space="preserve">Nunca se genera comisión sin un pago confirmado del referido.</w:t>
      </w:r>
    </w:p>
    <w:p>
      <w:pPr>
        <w:pStyle w:val="ListParagraph"/>
        <w:numPr>
          <w:ilvl w:val="0"/>
          <w:numId w:val="2"/>
        </w:numPr>
        <w:spacing w:after="60"/>
      </w:pPr>
      <w:r>
        <w:t xml:space="preserve">Nunca se permite retirar comisiones en estado pendiente, solicitada o anulada.</w:t>
      </w:r>
    </w:p>
    <w:p>
      <w:pPr>
        <w:pStyle w:val="ListParagraph"/>
        <w:numPr>
          <w:ilvl w:val="0"/>
          <w:numId w:val="2"/>
        </w:numPr>
        <w:spacing w:after="60"/>
      </w:pPr>
      <w:r>
        <w:t xml:space="preserve">Nunca se muestran al embajador datos personales identificables de los referidos.</w:t>
      </w:r>
    </w:p>
    <w:p>
      <w:pPr>
        <w:pStyle w:val="ListParagraph"/>
        <w:numPr>
          <w:ilvl w:val="0"/>
          <w:numId w:val="2"/>
        </w:numPr>
        <w:spacing w:after="60"/>
      </w:pPr>
      <w:r>
        <w:t xml:space="preserve">Nunca se muestran mensajes técnicos crudos; los errores se comunican en lenguaje simple.</w:t>
      </w:r>
    </w:p>
    <w:p>
      <w:pPr>
        <w:pStyle w:val="ListParagraph"/>
        <w:numPr>
          <w:ilvl w:val="0"/>
          <w:numId w:val="2"/>
        </w:numPr>
        <w:spacing w:after="60"/>
      </w:pPr>
      <w:r>
        <w:t xml:space="preserve">Una solicitud de pago nunca puede incluir la misma comisión dos veces.</w:t>
      </w:r>
    </w:p>
    <w:p>
      <w:pPr>
        <w:pStyle w:val="Heading1"/>
      </w:pPr>
      <w:r>
        <w:t xml:space="preserve">Aspectos legales y de cumplimiento (pendiente del CEO)</w:t>
      </w:r>
    </w:p>
    <w:p>
      <w:pPr>
        <w:spacing w:after="120"/>
      </w:pPr>
      <w:r>
        <w:t xml:space="preserve">Pagar comisiones a personas genera obligaciones que dependen de la jurisdicción del CEO y de cada embajador. Como mínimo recomendado antes de activar pagos reales:</w:t>
      </w:r>
    </w:p>
    <w:p>
      <w:pPr>
        <w:pStyle w:val="ListParagraph"/>
        <w:numPr>
          <w:ilvl w:val="0"/>
          <w:numId w:val="2"/>
        </w:numPr>
        <w:spacing w:after="60"/>
      </w:pPr>
      <w:r>
        <w:t xml:space="preserve">Un acuerdo de embajador que el usuario acepte al activarse el rol, que cubra: términos de comisión, posibilidad de suspensión por fraude, y que las comisiones se anulan ante reembolsos.</w:t>
      </w:r>
    </w:p>
    <w:p>
      <w:pPr>
        <w:pStyle w:val="ListParagraph"/>
        <w:numPr>
          <w:ilvl w:val="0"/>
          <w:numId w:val="2"/>
        </w:numPr>
        <w:spacing w:after="60"/>
      </w:pPr>
      <w:r>
        <w:t xml:space="preserve">Constancia de aceptación de ese acuerdo, almacenada con fecha.</w:t>
      </w:r>
    </w:p>
    <w:p>
      <w:pPr>
        <w:spacing w:after="120"/>
      </w:pPr>
      <w:r>
        <w:t xml:space="preserve">Este punto no bloquea el desarrollo técnico del módulo, pero sí debe resolverse antes de ejecutar el primer pago real.</w:t>
      </w:r>
    </w:p>
    <w:p>
      <w:pPr>
        <w:pStyle w:val="Heading1"/>
      </w:pPr>
      <w:r>
        <w:t xml:space="preserve">Decisiones cerradas de este addendum</w:t>
      </w:r>
    </w:p>
    <w:p>
      <w:pPr>
        <w:pStyle w:val="ListParagraph"/>
        <w:numPr>
          <w:ilvl w:val="0"/>
          <w:numId w:val="2"/>
        </w:numPr>
        <w:spacing w:after="60"/>
      </w:pPr>
      <w:r>
        <w:t xml:space="preserve">El modelo Gratuito $0 más Pro queda derogado. Nueva estructura: CV único $2.99, mensual $9.99 o $12.99, anual $25.</w:t>
      </w:r>
    </w:p>
    <w:p>
      <w:pPr>
        <w:pStyle w:val="ListParagraph"/>
        <w:numPr>
          <w:ilvl w:val="0"/>
          <w:numId w:val="2"/>
        </w:numPr>
        <w:spacing w:after="60"/>
      </w:pPr>
      <w:r>
        <w:t xml:space="preserve">Se introduce el rol Embajador, asignable solo por invitación del CEO.</w:t>
      </w:r>
    </w:p>
    <w:p>
      <w:pPr>
        <w:pStyle w:val="ListParagraph"/>
        <w:numPr>
          <w:ilvl w:val="0"/>
          <w:numId w:val="2"/>
        </w:numPr>
        <w:spacing w:after="60"/>
      </w:pPr>
      <w:r>
        <w:t xml:space="preserve">Embajador activo recibe acceso Pro sin costo como beneficio del rol.</w:t>
      </w:r>
    </w:p>
    <w:p>
      <w:pPr>
        <w:pStyle w:val="ListParagraph"/>
        <w:numPr>
          <w:ilvl w:val="0"/>
          <w:numId w:val="2"/>
        </w:numPr>
        <w:spacing w:after="60"/>
      </w:pPr>
      <w:r>
        <w:t xml:space="preserve">Modelo de comisión híbrido: única para CV, recurrente limitada a 6 meses para mensual, única para anual.</w:t>
      </w:r>
    </w:p>
    <w:p>
      <w:pPr>
        <w:pStyle w:val="ListParagraph"/>
        <w:numPr>
          <w:ilvl w:val="0"/>
          <w:numId w:val="2"/>
        </w:numPr>
        <w:spacing w:after="60"/>
      </w:pPr>
      <w:r>
        <w:t xml:space="preserve">Porcentaje de comisión variable por embajador, definido por el CEO, valor de referencia 25 por ciento.</w:t>
      </w:r>
    </w:p>
    <w:p>
      <w:pPr>
        <w:pStyle w:val="ListParagraph"/>
        <w:numPr>
          <w:ilvl w:val="0"/>
          <w:numId w:val="2"/>
        </w:numPr>
        <w:spacing w:after="60"/>
      </w:pPr>
      <w:r>
        <w:t xml:space="preserve">El descuento del código reduce la base de la comisión del embajador, con tope global de descuento controlado por el CEO.</w:t>
      </w:r>
    </w:p>
    <w:p>
      <w:pPr>
        <w:pStyle w:val="ListParagraph"/>
        <w:numPr>
          <w:ilvl w:val="0"/>
          <w:numId w:val="2"/>
        </w:numPr>
        <w:spacing w:after="60"/>
      </w:pPr>
      <w:r>
        <w:t xml:space="preserve">Atribución por último clic en ventana de 30 días; el código de descuento prevalece sobre el enlace.</w:t>
      </w:r>
    </w:p>
    <w:p>
      <w:pPr>
        <w:pStyle w:val="ListParagraph"/>
        <w:numPr>
          <w:ilvl w:val="0"/>
          <w:numId w:val="2"/>
        </w:numPr>
        <w:spacing w:after="60"/>
      </w:pPr>
      <w:r>
        <w:t xml:space="preserve">Máquina de estados de comisión con holdback de 14 días.</w:t>
      </w:r>
    </w:p>
    <w:p>
      <w:pPr>
        <w:pStyle w:val="ListParagraph"/>
        <w:numPr>
          <w:ilvl w:val="0"/>
          <w:numId w:val="2"/>
        </w:numPr>
        <w:spacing w:after="60"/>
      </w:pPr>
      <w:r>
        <w:t xml:space="preserve">Umbral mínimo de retiro de $50 USD, configurable.</w:t>
      </w:r>
    </w:p>
    <w:p>
      <w:pPr>
        <w:pStyle w:val="ListParagraph"/>
        <w:numPr>
          <w:ilvl w:val="0"/>
          <w:numId w:val="2"/>
        </w:numPr>
        <w:spacing w:after="60"/>
      </w:pPr>
      <w:r>
        <w:t xml:space="preserve">Saldo negativo arrastrable ante reembolsos posteriores a un pago.</w:t>
      </w:r>
    </w:p>
    <w:p>
      <w:pPr>
        <w:pStyle w:val="ListParagraph"/>
        <w:numPr>
          <w:ilvl w:val="0"/>
          <w:numId w:val="2"/>
        </w:numPr>
        <w:spacing w:after="60"/>
      </w:pPr>
      <w:r>
        <w:t xml:space="preserve">Pagos manuales en criptomoneda ejecutados por el CEO, con hash de transacción como comprobante.</w:t>
      </w:r>
    </w:p>
    <w:p>
      <w:pPr>
        <w:pStyle w:val="ListParagraph"/>
        <w:numPr>
          <w:ilvl w:val="0"/>
          <w:numId w:val="2"/>
        </w:numPr>
        <w:spacing w:after="60"/>
      </w:pPr>
      <w:r>
        <w:t xml:space="preserve">Privacidad: el embajador nunca ve datos personales identificables de los referidos.</w:t>
      </w:r>
    </w:p>
    <w:p>
      <w:pPr>
        <w:pStyle w:val="Heading1"/>
      </w:pPr>
      <w:r>
        <w:t xml:space="preserve">Decisiones pendientes del CEO</w:t>
      </w:r>
    </w:p>
    <w:p>
      <w:pPr>
        <w:pStyle w:val="ListParagraph"/>
        <w:numPr>
          <w:ilvl w:val="0"/>
          <w:numId w:val="2"/>
        </w:numPr>
        <w:spacing w:after="60"/>
      </w:pPr>
      <w:r>
        <w:t xml:space="preserve">Precio mensual final: elegir entre $9.99 y $12.99.</w:t>
      </w:r>
    </w:p>
    <w:p>
      <w:pPr>
        <w:pStyle w:val="ListParagraph"/>
        <w:numPr>
          <w:ilvl w:val="0"/>
          <w:numId w:val="2"/>
        </w:numPr>
        <w:spacing w:after="60"/>
      </w:pPr>
      <w:r>
        <w:t xml:space="preserve">Red y stablecoin de criptomoneda para los pagos.</w:t>
      </w:r>
    </w:p>
    <w:p>
      <w:pPr>
        <w:pStyle w:val="ListParagraph"/>
        <w:numPr>
          <w:ilvl w:val="0"/>
          <w:numId w:val="2"/>
        </w:numPr>
        <w:spacing w:after="60"/>
      </w:pPr>
      <w:r>
        <w:t xml:space="preserve">Texto del acuerdo legal de embajador.</w:t>
      </w:r>
    </w:p>
    <w:p>
      <w:pPr>
        <w:pStyle w:val="ListParagraph"/>
        <w:numPr>
          <w:ilvl w:val="0"/>
          <w:numId w:val="2"/>
        </w:numPr>
        <w:spacing w:after="60"/>
      </w:pPr>
      <w:r>
        <w:t xml:space="preserve">Si el plan anual renueva o no la comisión al renovarse al año siguiente (por defecto: no renueva).</w:t>
      </w:r>
    </w:p>
    <w:p>
      <w:pPr>
        <w:pStyle w:val="Heading1"/>
      </w:pPr>
      <w:r>
        <w:t xml:space="preserve">Estado y siguientes pasos</w:t>
      </w:r>
    </w:p>
    <w:p>
      <w:pPr>
        <w:spacing w:after="120"/>
      </w:pPr>
      <w:r>
        <w:t xml:space="preserve">Con este addendum, el Sistema de Embajadores tiene una definición suficientemente sólida para pasar a implementación junto con el resto de Resumika. Siguientes pasos recomendados:</w:t>
      </w:r>
    </w:p>
    <w:p>
      <w:pPr>
        <w:pStyle w:val="ListParagraph"/>
        <w:numPr>
          <w:ilvl w:val="0"/>
          <w:numId w:val="3"/>
        </w:numPr>
        <w:spacing w:after="60"/>
      </w:pPr>
      <w:r>
        <w:t xml:space="preserve">Cerrar las decisiones pendientes del CEO listadas arriba.</w:t>
      </w:r>
    </w:p>
    <w:p>
      <w:pPr>
        <w:pStyle w:val="ListParagraph"/>
        <w:numPr>
          <w:ilvl w:val="0"/>
          <w:numId w:val="3"/>
        </w:numPr>
        <w:spacing w:after="60"/>
      </w:pPr>
      <w:r>
        <w:t xml:space="preserve">Diseñar el esquema de base de datos en Supabase a partir del modelo conceptual.</w:t>
      </w:r>
    </w:p>
    <w:p>
      <w:pPr>
        <w:pStyle w:val="ListParagraph"/>
        <w:numPr>
          <w:ilvl w:val="0"/>
          <w:numId w:val="3"/>
        </w:numPr>
        <w:spacing w:after="60"/>
      </w:pPr>
      <w:r>
        <w:t xml:space="preserve">Definir las pantallas del panel del embajador y el mini panel de pagos del administrador.</w:t>
      </w:r>
    </w:p>
    <w:p>
      <w:pPr>
        <w:pStyle w:val="ListParagraph"/>
        <w:numPr>
          <w:ilvl w:val="0"/>
          <w:numId w:val="3"/>
        </w:numPr>
        <w:spacing w:after="60"/>
      </w:pPr>
      <w:r>
        <w:t xml:space="preserve">Implementar la máquina de estados de comisiones y el motor de atribución como base, antes de la capa visual.</w:t>
      </w:r>
    </w:p>
    <w:p>
      <w:pPr>
        <w:pStyle w:val="ListParagraph"/>
        <w:numPr>
          <w:ilvl w:val="0"/>
          <w:numId w:val="3"/>
        </w:numPr>
        <w:spacing w:after="60"/>
      </w:pPr>
      <w:r>
        <w:t xml:space="preserve">Redactar el acuerdo legal de embajador antes del primer pago real.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BFF"/>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22222"/>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2026-05-19T19:48:56.298Z</dcterms:created>
  <dcterms:modified xsi:type="dcterms:W3CDTF">2026-05-19T19:48:56.298Z</dcterms:modified>
</cp:coreProperties>
</file>

<file path=docProps/custom.xml><?xml version="1.0" encoding="utf-8"?>
<Properties xmlns="http://schemas.openxmlformats.org/officeDocument/2006/custom-properties" xmlns:vt="http://schemas.openxmlformats.org/officeDocument/2006/docPropsVTypes"/>
</file>