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of Homicide Counts Before and During ShotSpotter Implementation</w:t>
      </w:r>
    </w:p>
    <w:p>
      <w:r>
        <w:drawing>
          <wp:inline xmlns:a="http://schemas.openxmlformats.org/drawingml/2006/main" xmlns:pic="http://schemas.openxmlformats.org/drawingml/2006/picture">
            <wp:extent cx="6217920" cy="5203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52038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