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687B7" w14:textId="77777777" w:rsidR="005043AE" w:rsidRDefault="005043AE" w:rsidP="00DD51F2">
      <w:pPr>
        <w:spacing w:line="500" w:lineRule="exact"/>
        <w:ind w:left="227" w:right="712"/>
        <w:jc w:val="center"/>
        <w:rPr>
          <w:b/>
          <w:sz w:val="44"/>
        </w:rPr>
      </w:pPr>
      <w:r>
        <w:rPr>
          <w:b/>
          <w:sz w:val="44"/>
        </w:rPr>
        <w:t>NANDHA ENGINEERING COLLEGE</w:t>
      </w:r>
    </w:p>
    <w:p w14:paraId="65513345" w14:textId="77777777" w:rsidR="00DD51F2" w:rsidRDefault="00DD51F2" w:rsidP="00DD51F2">
      <w:pPr>
        <w:spacing w:line="500" w:lineRule="exact"/>
        <w:ind w:left="227" w:right="712"/>
        <w:jc w:val="center"/>
        <w:rPr>
          <w:b/>
          <w:sz w:val="44"/>
        </w:rPr>
      </w:pPr>
    </w:p>
    <w:p w14:paraId="7728DC51" w14:textId="77777777" w:rsidR="005043AE" w:rsidRDefault="005043AE" w:rsidP="00DD51F2">
      <w:pPr>
        <w:spacing w:line="500" w:lineRule="exact"/>
        <w:ind w:left="227" w:right="712"/>
        <w:jc w:val="center"/>
        <w:rPr>
          <w:b/>
          <w:sz w:val="44"/>
        </w:rPr>
      </w:pPr>
      <w:r>
        <w:rPr>
          <w:b/>
          <w:sz w:val="44"/>
        </w:rPr>
        <w:t>(Autonomous</w:t>
      </w:r>
      <w:r>
        <w:rPr>
          <w:b/>
          <w:spacing w:val="-7"/>
          <w:sz w:val="44"/>
        </w:rPr>
        <w:t xml:space="preserve"> </w:t>
      </w:r>
      <w:r>
        <w:rPr>
          <w:b/>
          <w:sz w:val="44"/>
        </w:rPr>
        <w:t>Institution)</w:t>
      </w:r>
    </w:p>
    <w:p w14:paraId="75991219" w14:textId="77777777" w:rsidR="00DD51F2" w:rsidRDefault="00DD51F2" w:rsidP="00DD51F2">
      <w:pPr>
        <w:spacing w:line="503" w:lineRule="exact"/>
        <w:ind w:left="227" w:right="699"/>
        <w:jc w:val="center"/>
        <w:rPr>
          <w:sz w:val="44"/>
        </w:rPr>
      </w:pPr>
    </w:p>
    <w:p w14:paraId="0C5840E5" w14:textId="77777777" w:rsidR="005043AE" w:rsidRDefault="005043AE" w:rsidP="00DD51F2">
      <w:pPr>
        <w:spacing w:line="503" w:lineRule="exact"/>
        <w:ind w:left="227" w:right="699"/>
        <w:jc w:val="center"/>
        <w:rPr>
          <w:sz w:val="44"/>
        </w:rPr>
      </w:pPr>
      <w:r>
        <w:rPr>
          <w:sz w:val="44"/>
        </w:rPr>
        <w:t>Erode-638 052</w:t>
      </w:r>
    </w:p>
    <w:p w14:paraId="30BE55C1" w14:textId="77777777" w:rsidR="005043AE" w:rsidRDefault="005043AE" w:rsidP="00DD51F2">
      <w:pPr>
        <w:pStyle w:val="BodyText"/>
        <w:ind w:left="227"/>
        <w:rPr>
          <w:sz w:val="20"/>
        </w:rPr>
      </w:pPr>
    </w:p>
    <w:p w14:paraId="10EC884F" w14:textId="77777777" w:rsidR="005043AE" w:rsidRDefault="005043AE" w:rsidP="00DD51F2">
      <w:pPr>
        <w:pStyle w:val="BodyText"/>
        <w:spacing w:before="8"/>
        <w:ind w:left="227"/>
        <w:rPr>
          <w:sz w:val="21"/>
        </w:rPr>
      </w:pPr>
    </w:p>
    <w:p w14:paraId="5D360535" w14:textId="77777777" w:rsidR="00DD51F2" w:rsidRDefault="00DD51F2" w:rsidP="00DD51F2">
      <w:pPr>
        <w:spacing w:before="196"/>
        <w:ind w:left="227" w:right="726"/>
        <w:jc w:val="center"/>
        <w:rPr>
          <w:b/>
          <w:sz w:val="40"/>
        </w:rPr>
      </w:pPr>
      <w:r>
        <w:rPr>
          <w:noProof/>
        </w:rPr>
        <w:drawing>
          <wp:anchor distT="0" distB="0" distL="0" distR="0" simplePos="0" relativeHeight="251659264" behindDoc="0" locked="0" layoutInCell="1" allowOverlap="1" wp14:anchorId="6AFA1507" wp14:editId="12BC2C42">
            <wp:simplePos x="0" y="0"/>
            <wp:positionH relativeFrom="page">
              <wp:posOffset>1973580</wp:posOffset>
            </wp:positionH>
            <wp:positionV relativeFrom="paragraph">
              <wp:posOffset>542925</wp:posOffset>
            </wp:positionV>
            <wp:extent cx="3398520" cy="2065020"/>
            <wp:effectExtent l="0" t="0" r="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398520" cy="2065020"/>
                    </a:xfrm>
                    <a:prstGeom prst="rect">
                      <a:avLst/>
                    </a:prstGeom>
                  </pic:spPr>
                </pic:pic>
              </a:graphicData>
            </a:graphic>
            <wp14:sizeRelH relativeFrom="margin">
              <wp14:pctWidth>0</wp14:pctWidth>
            </wp14:sizeRelH>
            <wp14:sizeRelV relativeFrom="margin">
              <wp14:pctHeight>0</wp14:pctHeight>
            </wp14:sizeRelV>
          </wp:anchor>
        </w:drawing>
      </w:r>
    </w:p>
    <w:p w14:paraId="7C72992B" w14:textId="77777777" w:rsidR="00DD51F2" w:rsidRDefault="00DD51F2" w:rsidP="00DD51F2">
      <w:pPr>
        <w:spacing w:before="196"/>
        <w:ind w:left="227" w:right="726"/>
        <w:jc w:val="center"/>
        <w:rPr>
          <w:b/>
          <w:sz w:val="40"/>
        </w:rPr>
      </w:pPr>
    </w:p>
    <w:p w14:paraId="536AFB6F" w14:textId="77777777" w:rsidR="005043AE" w:rsidRDefault="005043AE" w:rsidP="00DD51F2">
      <w:pPr>
        <w:spacing w:before="196"/>
        <w:ind w:left="227" w:right="726"/>
        <w:jc w:val="center"/>
        <w:rPr>
          <w:b/>
          <w:sz w:val="40"/>
        </w:rPr>
      </w:pPr>
      <w:r>
        <w:rPr>
          <w:b/>
          <w:sz w:val="40"/>
        </w:rPr>
        <w:t>TABLEAU-TWO CREDIT COURSE</w:t>
      </w:r>
      <w:r>
        <w:rPr>
          <w:b/>
          <w:sz w:val="40"/>
        </w:rPr>
        <w:tab/>
      </w:r>
    </w:p>
    <w:p w14:paraId="4A3CB20E" w14:textId="77777777" w:rsidR="005043AE" w:rsidRDefault="005043AE" w:rsidP="00DD51F2">
      <w:pPr>
        <w:spacing w:before="196"/>
        <w:ind w:left="227" w:right="726"/>
        <w:jc w:val="center"/>
        <w:rPr>
          <w:b/>
          <w:sz w:val="40"/>
        </w:rPr>
      </w:pPr>
      <w:r>
        <w:rPr>
          <w:b/>
          <w:sz w:val="40"/>
        </w:rPr>
        <w:t>IV</w:t>
      </w:r>
      <w:r>
        <w:rPr>
          <w:b/>
          <w:spacing w:val="-8"/>
          <w:sz w:val="40"/>
        </w:rPr>
        <w:t xml:space="preserve"> </w:t>
      </w:r>
      <w:r>
        <w:rPr>
          <w:b/>
          <w:sz w:val="40"/>
        </w:rPr>
        <w:t>–</w:t>
      </w:r>
      <w:r>
        <w:rPr>
          <w:b/>
          <w:spacing w:val="-6"/>
          <w:sz w:val="40"/>
        </w:rPr>
        <w:t xml:space="preserve"> </w:t>
      </w:r>
      <w:r>
        <w:rPr>
          <w:b/>
          <w:sz w:val="40"/>
        </w:rPr>
        <w:t>Semester</w:t>
      </w:r>
    </w:p>
    <w:p w14:paraId="1587B009" w14:textId="77777777" w:rsidR="005043AE" w:rsidRDefault="005043AE" w:rsidP="00DD51F2">
      <w:pPr>
        <w:pStyle w:val="BodyText"/>
        <w:spacing w:before="10"/>
        <w:ind w:left="227"/>
        <w:rPr>
          <w:b/>
          <w:sz w:val="52"/>
        </w:rPr>
      </w:pPr>
    </w:p>
    <w:p w14:paraId="117900CB" w14:textId="77777777" w:rsidR="005043AE" w:rsidRDefault="005043AE" w:rsidP="00DD51F2">
      <w:pPr>
        <w:spacing w:before="1"/>
        <w:ind w:left="227" w:right="713"/>
        <w:jc w:val="center"/>
        <w:rPr>
          <w:b/>
          <w:sz w:val="32"/>
        </w:rPr>
      </w:pPr>
      <w:proofErr w:type="spellStart"/>
      <w:r>
        <w:rPr>
          <w:b/>
          <w:sz w:val="32"/>
        </w:rPr>
        <w:t>B.Tech</w:t>
      </w:r>
      <w:proofErr w:type="spellEnd"/>
      <w:r>
        <w:rPr>
          <w:b/>
          <w:spacing w:val="-11"/>
          <w:sz w:val="32"/>
        </w:rPr>
        <w:t xml:space="preserve"> </w:t>
      </w:r>
      <w:r>
        <w:rPr>
          <w:b/>
          <w:sz w:val="32"/>
        </w:rPr>
        <w:t>-</w:t>
      </w:r>
      <w:r>
        <w:rPr>
          <w:b/>
          <w:spacing w:val="-7"/>
          <w:sz w:val="32"/>
        </w:rPr>
        <w:t xml:space="preserve"> </w:t>
      </w:r>
      <w:r>
        <w:rPr>
          <w:b/>
          <w:sz w:val="32"/>
        </w:rPr>
        <w:t>Artificial Intelligence</w:t>
      </w:r>
      <w:r>
        <w:rPr>
          <w:b/>
          <w:spacing w:val="-10"/>
          <w:sz w:val="32"/>
        </w:rPr>
        <w:t xml:space="preserve"> </w:t>
      </w:r>
      <w:r>
        <w:rPr>
          <w:b/>
          <w:sz w:val="32"/>
        </w:rPr>
        <w:t>and</w:t>
      </w:r>
      <w:r>
        <w:rPr>
          <w:b/>
          <w:spacing w:val="-16"/>
          <w:sz w:val="32"/>
        </w:rPr>
        <w:t xml:space="preserve"> </w:t>
      </w:r>
      <w:r>
        <w:rPr>
          <w:b/>
          <w:sz w:val="32"/>
        </w:rPr>
        <w:t>Data</w:t>
      </w:r>
      <w:r>
        <w:rPr>
          <w:b/>
          <w:spacing w:val="1"/>
          <w:sz w:val="32"/>
        </w:rPr>
        <w:t xml:space="preserve"> </w:t>
      </w:r>
      <w:r>
        <w:rPr>
          <w:b/>
          <w:sz w:val="32"/>
        </w:rPr>
        <w:t>Science</w:t>
      </w:r>
    </w:p>
    <w:p w14:paraId="6A203613" w14:textId="77777777" w:rsidR="005043AE" w:rsidRDefault="005043AE" w:rsidP="00DD51F2">
      <w:pPr>
        <w:pStyle w:val="BodyText"/>
        <w:ind w:left="227"/>
        <w:rPr>
          <w:b/>
          <w:sz w:val="36"/>
        </w:rPr>
      </w:pPr>
    </w:p>
    <w:p w14:paraId="70C757EF" w14:textId="77777777" w:rsidR="005043AE" w:rsidRPr="00DD51F2" w:rsidRDefault="005043AE" w:rsidP="00DD51F2">
      <w:pPr>
        <w:pStyle w:val="BodyText"/>
        <w:ind w:left="227"/>
        <w:rPr>
          <w:b/>
          <w:sz w:val="40"/>
          <w:szCs w:val="40"/>
        </w:rPr>
      </w:pPr>
      <w:bookmarkStart w:id="0" w:name="NANDHA_ENGINEERING_COLLEGE,_ERODE-52"/>
      <w:bookmarkEnd w:id="0"/>
    </w:p>
    <w:p w14:paraId="2A854E48" w14:textId="501BE39C" w:rsidR="005043AE" w:rsidRPr="00DD51F2" w:rsidRDefault="005043AE" w:rsidP="00DD51F2">
      <w:pPr>
        <w:pStyle w:val="BodyText"/>
        <w:spacing w:before="1" w:line="480" w:lineRule="auto"/>
        <w:ind w:left="227"/>
        <w:rPr>
          <w:b/>
          <w:sz w:val="40"/>
          <w:szCs w:val="40"/>
        </w:rPr>
      </w:pPr>
      <w:r w:rsidRPr="00DD51F2">
        <w:rPr>
          <w:b/>
          <w:sz w:val="40"/>
          <w:szCs w:val="40"/>
        </w:rPr>
        <w:t>NAME</w:t>
      </w:r>
      <w:r w:rsidR="00DD51F2">
        <w:rPr>
          <w:b/>
          <w:sz w:val="40"/>
          <w:szCs w:val="40"/>
        </w:rPr>
        <w:tab/>
      </w:r>
      <w:r w:rsidR="009D360C">
        <w:rPr>
          <w:b/>
          <w:sz w:val="40"/>
          <w:szCs w:val="40"/>
        </w:rPr>
        <w:t xml:space="preserve">    </w:t>
      </w:r>
      <w:r w:rsidRPr="00DD51F2">
        <w:rPr>
          <w:b/>
          <w:sz w:val="40"/>
          <w:szCs w:val="40"/>
        </w:rPr>
        <w:t xml:space="preserve"> : </w:t>
      </w:r>
      <w:r w:rsidR="00DD51F2">
        <w:rPr>
          <w:b/>
          <w:sz w:val="40"/>
          <w:szCs w:val="40"/>
        </w:rPr>
        <w:t xml:space="preserve">  </w:t>
      </w:r>
      <w:r w:rsidR="00D4081D">
        <w:rPr>
          <w:b/>
          <w:sz w:val="40"/>
          <w:szCs w:val="40"/>
        </w:rPr>
        <w:t>ABEL SHAJI</w:t>
      </w:r>
    </w:p>
    <w:p w14:paraId="5718EDB5" w14:textId="77777777" w:rsidR="005043AE" w:rsidRPr="00DD51F2" w:rsidRDefault="005043AE" w:rsidP="00DD51F2">
      <w:pPr>
        <w:pStyle w:val="BodyText"/>
        <w:spacing w:before="1" w:line="480" w:lineRule="auto"/>
        <w:ind w:left="227"/>
        <w:rPr>
          <w:b/>
          <w:sz w:val="40"/>
          <w:szCs w:val="40"/>
        </w:rPr>
      </w:pPr>
      <w:r w:rsidRPr="00DD51F2">
        <w:rPr>
          <w:b/>
          <w:sz w:val="40"/>
          <w:szCs w:val="40"/>
        </w:rPr>
        <w:t>BRANCH</w:t>
      </w:r>
      <w:r w:rsidR="00DD51F2">
        <w:rPr>
          <w:b/>
          <w:sz w:val="40"/>
          <w:szCs w:val="40"/>
        </w:rPr>
        <w:tab/>
      </w:r>
      <w:r w:rsidR="00DD51F2" w:rsidRPr="00DD51F2">
        <w:rPr>
          <w:b/>
          <w:sz w:val="40"/>
          <w:szCs w:val="40"/>
        </w:rPr>
        <w:t xml:space="preserve"> </w:t>
      </w:r>
      <w:r w:rsidR="009D360C">
        <w:rPr>
          <w:b/>
          <w:sz w:val="40"/>
          <w:szCs w:val="40"/>
        </w:rPr>
        <w:t xml:space="preserve">    </w:t>
      </w:r>
      <w:r w:rsidRPr="00DD51F2">
        <w:rPr>
          <w:b/>
          <w:sz w:val="40"/>
          <w:szCs w:val="40"/>
        </w:rPr>
        <w:t>:</w:t>
      </w:r>
      <w:r w:rsidR="00DD51F2">
        <w:rPr>
          <w:b/>
          <w:sz w:val="40"/>
          <w:szCs w:val="40"/>
        </w:rPr>
        <w:t xml:space="preserve">   </w:t>
      </w:r>
      <w:r w:rsidR="00DD51F2" w:rsidRPr="00DD51F2">
        <w:rPr>
          <w:b/>
          <w:sz w:val="40"/>
          <w:szCs w:val="40"/>
        </w:rPr>
        <w:t xml:space="preserve"> </w:t>
      </w:r>
      <w:r w:rsidRPr="00DD51F2">
        <w:rPr>
          <w:b/>
          <w:sz w:val="40"/>
          <w:szCs w:val="40"/>
        </w:rPr>
        <w:t>B.TECH AI &amp; DS</w:t>
      </w:r>
    </w:p>
    <w:p w14:paraId="72641284" w14:textId="77777777" w:rsidR="005043AE" w:rsidRDefault="005043AE" w:rsidP="00DD51F2">
      <w:pPr>
        <w:pStyle w:val="BodyText"/>
        <w:spacing w:before="1" w:line="480" w:lineRule="auto"/>
        <w:ind w:left="227"/>
        <w:rPr>
          <w:b/>
          <w:sz w:val="40"/>
          <w:szCs w:val="40"/>
        </w:rPr>
      </w:pPr>
      <w:r w:rsidRPr="00DD51F2">
        <w:rPr>
          <w:b/>
          <w:sz w:val="40"/>
          <w:szCs w:val="40"/>
        </w:rPr>
        <w:t>YEAR</w:t>
      </w:r>
      <w:r w:rsidR="00DD51F2">
        <w:rPr>
          <w:b/>
          <w:sz w:val="40"/>
          <w:szCs w:val="40"/>
        </w:rPr>
        <w:t xml:space="preserve">          </w:t>
      </w:r>
      <w:r w:rsidRPr="00DD51F2">
        <w:rPr>
          <w:b/>
          <w:sz w:val="40"/>
          <w:szCs w:val="40"/>
        </w:rPr>
        <w:t xml:space="preserve"> </w:t>
      </w:r>
      <w:r w:rsidR="009D360C">
        <w:rPr>
          <w:b/>
          <w:sz w:val="40"/>
          <w:szCs w:val="40"/>
        </w:rPr>
        <w:t xml:space="preserve">  </w:t>
      </w:r>
      <w:r w:rsidRPr="00DD51F2">
        <w:rPr>
          <w:b/>
          <w:sz w:val="40"/>
          <w:szCs w:val="40"/>
        </w:rPr>
        <w:t xml:space="preserve">: </w:t>
      </w:r>
      <w:r w:rsidR="00DD51F2">
        <w:rPr>
          <w:b/>
          <w:sz w:val="40"/>
          <w:szCs w:val="40"/>
        </w:rPr>
        <w:t xml:space="preserve">    </w:t>
      </w:r>
      <w:r w:rsidR="00DD51F2" w:rsidRPr="00DD51F2">
        <w:rPr>
          <w:b/>
          <w:sz w:val="40"/>
          <w:szCs w:val="40"/>
        </w:rPr>
        <w:t>II</w:t>
      </w:r>
    </w:p>
    <w:p w14:paraId="04274306" w14:textId="0351CCC0" w:rsidR="00DD51F2" w:rsidRPr="00DD51F2" w:rsidRDefault="00FA0621" w:rsidP="00156ED3">
      <w:pPr>
        <w:pStyle w:val="BodyText"/>
        <w:spacing w:before="1" w:line="480" w:lineRule="auto"/>
        <w:ind w:left="227"/>
        <w:jc w:val="center"/>
        <w:rPr>
          <w:b/>
          <w:sz w:val="40"/>
          <w:szCs w:val="40"/>
        </w:rPr>
      </w:pPr>
      <w:r>
        <w:rPr>
          <w:b/>
          <w:sz w:val="40"/>
          <w:szCs w:val="40"/>
        </w:rPr>
        <w:lastRenderedPageBreak/>
        <w:t>TA</w:t>
      </w:r>
      <w:r w:rsidR="001648B3">
        <w:rPr>
          <w:b/>
          <w:sz w:val="40"/>
          <w:szCs w:val="40"/>
        </w:rPr>
        <w:t>BLEAU</w:t>
      </w:r>
    </w:p>
    <w:p w14:paraId="7142F466" w14:textId="0E8AE1D5" w:rsidR="00DD51F2" w:rsidRPr="005F278C" w:rsidRDefault="001648B3" w:rsidP="001648B3">
      <w:pPr>
        <w:pStyle w:val="BodyText"/>
        <w:jc w:val="both"/>
        <w:rPr>
          <w:sz w:val="28"/>
          <w:szCs w:val="28"/>
        </w:rPr>
      </w:pPr>
      <w:r w:rsidRPr="005F278C">
        <w:rPr>
          <w:sz w:val="28"/>
          <w:szCs w:val="28"/>
        </w:rPr>
        <w:t>Tableau is a leading data visualization and business intelligence platform that transforms complex HR data into clear, actionable insights. Renowned for its user-friendly interface, Tableau enables HR professionals, even those without technical expertise, to create interactive dashboards, dynamic charts, and comprehensive reports. By connecting seamlessly to HR systems like Workday, SAP SuccessFactors, or Excel, Tableau facilitates real-time analysis of workforce metrics such as employee performance, turnover rates, and diversity trends. Its drag-and-drop functionality and robust visualization capabilities empower HR teams to identify patterns, monitor key performance indicators (KPIs), and make data-driven decisions to enhance employee engagement and organizational success. With Tableau, HR departments can present compelling, visually appealing insights to stakeholders, fostering strategic workforce planning and improved outcomes.</w:t>
      </w:r>
    </w:p>
    <w:p w14:paraId="30A6E83D" w14:textId="77777777" w:rsidR="005043AE" w:rsidRPr="005F278C" w:rsidRDefault="005043AE" w:rsidP="005043AE">
      <w:pPr>
        <w:pStyle w:val="BodyText"/>
        <w:spacing w:before="1"/>
        <w:rPr>
          <w:b/>
          <w:sz w:val="28"/>
          <w:szCs w:val="28"/>
        </w:rPr>
      </w:pPr>
    </w:p>
    <w:p w14:paraId="0E283751" w14:textId="77777777" w:rsidR="00DD7A66" w:rsidRDefault="00DD7A66" w:rsidP="005043AE"/>
    <w:p w14:paraId="68BEBFF8" w14:textId="4CB32E92" w:rsidR="005043AE" w:rsidRDefault="00B55281" w:rsidP="002673FB">
      <w:pPr>
        <w:pStyle w:val="Title"/>
        <w:jc w:val="center"/>
        <w:rPr>
          <w:rFonts w:ascii="Times New Roman" w:hAnsi="Times New Roman" w:cs="Times New Roman"/>
          <w:b/>
          <w:bCs/>
          <w:sz w:val="40"/>
          <w:szCs w:val="40"/>
        </w:rPr>
      </w:pPr>
      <w:r w:rsidRPr="002673FB">
        <w:rPr>
          <w:rFonts w:ascii="Times New Roman" w:hAnsi="Times New Roman" w:cs="Times New Roman"/>
          <w:b/>
          <w:bCs/>
          <w:sz w:val="40"/>
          <w:szCs w:val="40"/>
        </w:rPr>
        <w:t>AMAZON SALES ANALYSIS</w:t>
      </w:r>
    </w:p>
    <w:p w14:paraId="6736935F" w14:textId="77777777" w:rsidR="002673FB" w:rsidRDefault="002673FB" w:rsidP="002673FB"/>
    <w:p w14:paraId="7C5BE2EE" w14:textId="77777777" w:rsidR="002673FB" w:rsidRPr="002673FB" w:rsidRDefault="002673FB" w:rsidP="002673FB"/>
    <w:p w14:paraId="69C91C51" w14:textId="0FE3CCEC" w:rsidR="003152E3" w:rsidRPr="005D1F9E" w:rsidRDefault="003152E3" w:rsidP="003152E3">
      <w:pPr>
        <w:pStyle w:val="BodyText"/>
        <w:numPr>
          <w:ilvl w:val="0"/>
          <w:numId w:val="3"/>
        </w:numPr>
        <w:jc w:val="both"/>
        <w:rPr>
          <w:sz w:val="28"/>
          <w:szCs w:val="28"/>
        </w:rPr>
      </w:pPr>
      <w:r w:rsidRPr="005D1F9E">
        <w:rPr>
          <w:sz w:val="28"/>
          <w:szCs w:val="28"/>
        </w:rPr>
        <w:t xml:space="preserve"> It is raw data collected from sales activities on Amazon’s platform.</w:t>
      </w:r>
    </w:p>
    <w:p w14:paraId="0983F936" w14:textId="77777777" w:rsidR="003152E3" w:rsidRPr="005D1F9E" w:rsidRDefault="003152E3" w:rsidP="003152E3">
      <w:pPr>
        <w:pStyle w:val="BodyText"/>
        <w:ind w:left="720"/>
        <w:jc w:val="both"/>
        <w:rPr>
          <w:sz w:val="28"/>
          <w:szCs w:val="28"/>
        </w:rPr>
      </w:pPr>
    </w:p>
    <w:p w14:paraId="63503C98" w14:textId="36E022A2" w:rsidR="003152E3" w:rsidRPr="005D1F9E" w:rsidRDefault="003152E3" w:rsidP="003152E3">
      <w:pPr>
        <w:pStyle w:val="BodyText"/>
        <w:numPr>
          <w:ilvl w:val="0"/>
          <w:numId w:val="3"/>
        </w:numPr>
        <w:jc w:val="both"/>
        <w:rPr>
          <w:sz w:val="28"/>
          <w:szCs w:val="28"/>
        </w:rPr>
      </w:pPr>
      <w:r w:rsidRPr="005D1F9E">
        <w:rPr>
          <w:sz w:val="28"/>
          <w:szCs w:val="28"/>
        </w:rPr>
        <w:t>It mainly contains information like product name, price, quantity sold, order date, shipping cost, customer location, and return status.</w:t>
      </w:r>
    </w:p>
    <w:p w14:paraId="64D8083C" w14:textId="77777777" w:rsidR="003152E3" w:rsidRPr="005D1F9E" w:rsidRDefault="003152E3" w:rsidP="003152E3">
      <w:pPr>
        <w:pStyle w:val="BodyText"/>
        <w:jc w:val="both"/>
        <w:rPr>
          <w:sz w:val="28"/>
          <w:szCs w:val="28"/>
        </w:rPr>
      </w:pPr>
    </w:p>
    <w:p w14:paraId="3EEEDF0E" w14:textId="15769470" w:rsidR="003152E3" w:rsidRDefault="003152E3" w:rsidP="003152E3">
      <w:pPr>
        <w:pStyle w:val="BodyText"/>
        <w:numPr>
          <w:ilvl w:val="0"/>
          <w:numId w:val="3"/>
        </w:numPr>
        <w:jc w:val="both"/>
        <w:rPr>
          <w:sz w:val="28"/>
          <w:szCs w:val="28"/>
        </w:rPr>
      </w:pPr>
      <w:r w:rsidRPr="005D1F9E">
        <w:rPr>
          <w:sz w:val="28"/>
          <w:szCs w:val="28"/>
        </w:rPr>
        <w:t>This data records every sale event made on Amazon.</w:t>
      </w:r>
    </w:p>
    <w:p w14:paraId="463ACFEC" w14:textId="77777777" w:rsidR="005F278C" w:rsidRDefault="005F278C" w:rsidP="005F278C">
      <w:pPr>
        <w:pStyle w:val="BodyText"/>
        <w:rPr>
          <w:sz w:val="28"/>
          <w:szCs w:val="28"/>
        </w:rPr>
      </w:pPr>
    </w:p>
    <w:p w14:paraId="6CEFFE3D" w14:textId="3DC19340" w:rsidR="003152E3" w:rsidRPr="00041345" w:rsidRDefault="003152E3" w:rsidP="005F278C">
      <w:pPr>
        <w:pStyle w:val="BodyText"/>
        <w:rPr>
          <w:b/>
          <w:bCs/>
          <w:sz w:val="32"/>
          <w:szCs w:val="32"/>
        </w:rPr>
      </w:pPr>
      <w:r w:rsidRPr="00041345">
        <w:rPr>
          <w:b/>
          <w:bCs/>
          <w:sz w:val="32"/>
          <w:szCs w:val="32"/>
        </w:rPr>
        <w:t>Use Case of Amazon Sales Analysis Data:</w:t>
      </w:r>
    </w:p>
    <w:p w14:paraId="3092E86C" w14:textId="77777777" w:rsidR="00EB29A4" w:rsidRPr="00041345" w:rsidRDefault="00EB29A4" w:rsidP="00EB29A4">
      <w:pPr>
        <w:pStyle w:val="BodyText"/>
        <w:jc w:val="both"/>
        <w:rPr>
          <w:sz w:val="32"/>
          <w:szCs w:val="32"/>
        </w:rPr>
      </w:pPr>
    </w:p>
    <w:p w14:paraId="4DF9686A" w14:textId="2EE12F64" w:rsidR="003152E3" w:rsidRPr="005D1F9E" w:rsidRDefault="003152E3" w:rsidP="003152E3">
      <w:pPr>
        <w:pStyle w:val="BodyText"/>
        <w:numPr>
          <w:ilvl w:val="0"/>
          <w:numId w:val="3"/>
        </w:numPr>
        <w:jc w:val="both"/>
        <w:rPr>
          <w:sz w:val="28"/>
          <w:szCs w:val="28"/>
        </w:rPr>
      </w:pPr>
      <w:r w:rsidRPr="005D1F9E">
        <w:rPr>
          <w:sz w:val="28"/>
          <w:szCs w:val="28"/>
        </w:rPr>
        <w:t>It is used to analyze and track business performance on Amazon.</w:t>
      </w:r>
    </w:p>
    <w:p w14:paraId="742786E4" w14:textId="77777777" w:rsidR="003152E3" w:rsidRPr="005D1F9E" w:rsidRDefault="003152E3" w:rsidP="003152E3">
      <w:pPr>
        <w:pStyle w:val="BodyText"/>
        <w:numPr>
          <w:ilvl w:val="0"/>
          <w:numId w:val="3"/>
        </w:numPr>
        <w:jc w:val="both"/>
        <w:rPr>
          <w:sz w:val="28"/>
          <w:szCs w:val="28"/>
        </w:rPr>
      </w:pPr>
      <w:r w:rsidRPr="005D1F9E">
        <w:rPr>
          <w:sz w:val="28"/>
          <w:szCs w:val="28"/>
        </w:rPr>
        <w:t>Typical use cases include:</w:t>
      </w:r>
    </w:p>
    <w:p w14:paraId="2B6ED79C" w14:textId="77777777" w:rsidR="003152E3" w:rsidRPr="005D1F9E" w:rsidRDefault="003152E3" w:rsidP="003152E3">
      <w:pPr>
        <w:pStyle w:val="BodyText"/>
        <w:jc w:val="both"/>
        <w:rPr>
          <w:sz w:val="28"/>
          <w:szCs w:val="28"/>
        </w:rPr>
      </w:pPr>
    </w:p>
    <w:p w14:paraId="56523C09" w14:textId="77777777" w:rsidR="003152E3" w:rsidRPr="005D1F9E" w:rsidRDefault="003152E3" w:rsidP="003152E3">
      <w:pPr>
        <w:pStyle w:val="BodyText"/>
        <w:numPr>
          <w:ilvl w:val="0"/>
          <w:numId w:val="3"/>
        </w:numPr>
        <w:jc w:val="both"/>
        <w:rPr>
          <w:sz w:val="28"/>
          <w:szCs w:val="28"/>
        </w:rPr>
      </w:pPr>
      <w:r w:rsidRPr="005D1F9E">
        <w:rPr>
          <w:sz w:val="28"/>
          <w:szCs w:val="28"/>
        </w:rPr>
        <w:t>Sales tracking: Monitor how much revenue is being generated.</w:t>
      </w:r>
    </w:p>
    <w:p w14:paraId="2BD6003C" w14:textId="77777777" w:rsidR="003152E3" w:rsidRPr="005D1F9E" w:rsidRDefault="003152E3" w:rsidP="003152E3">
      <w:pPr>
        <w:pStyle w:val="BodyText"/>
        <w:jc w:val="both"/>
        <w:rPr>
          <w:sz w:val="28"/>
          <w:szCs w:val="28"/>
        </w:rPr>
      </w:pPr>
    </w:p>
    <w:p w14:paraId="4BD3C4E7" w14:textId="77777777" w:rsidR="003152E3" w:rsidRPr="005D1F9E" w:rsidRDefault="003152E3" w:rsidP="003152E3">
      <w:pPr>
        <w:pStyle w:val="BodyText"/>
        <w:numPr>
          <w:ilvl w:val="0"/>
          <w:numId w:val="3"/>
        </w:numPr>
        <w:jc w:val="both"/>
        <w:rPr>
          <w:sz w:val="28"/>
          <w:szCs w:val="28"/>
        </w:rPr>
      </w:pPr>
      <w:r w:rsidRPr="005D1F9E">
        <w:rPr>
          <w:sz w:val="28"/>
          <w:szCs w:val="28"/>
        </w:rPr>
        <w:t>Inventory management: Understand which products need restocking.</w:t>
      </w:r>
    </w:p>
    <w:p w14:paraId="1635BA39" w14:textId="77777777" w:rsidR="003152E3" w:rsidRPr="005D1F9E" w:rsidRDefault="003152E3" w:rsidP="003152E3">
      <w:pPr>
        <w:pStyle w:val="BodyText"/>
        <w:jc w:val="both"/>
        <w:rPr>
          <w:sz w:val="28"/>
          <w:szCs w:val="28"/>
        </w:rPr>
      </w:pPr>
    </w:p>
    <w:p w14:paraId="2635CA31" w14:textId="77777777" w:rsidR="003152E3" w:rsidRPr="005D1F9E" w:rsidRDefault="003152E3" w:rsidP="003152E3">
      <w:pPr>
        <w:pStyle w:val="BodyText"/>
        <w:numPr>
          <w:ilvl w:val="0"/>
          <w:numId w:val="3"/>
        </w:numPr>
        <w:jc w:val="both"/>
        <w:rPr>
          <w:sz w:val="28"/>
          <w:szCs w:val="28"/>
        </w:rPr>
      </w:pPr>
      <w:r w:rsidRPr="005D1F9E">
        <w:rPr>
          <w:sz w:val="28"/>
          <w:szCs w:val="28"/>
        </w:rPr>
        <w:t>Performance reporting: Create monthly or quarterly sales reports.</w:t>
      </w:r>
    </w:p>
    <w:p w14:paraId="789A7717" w14:textId="77777777" w:rsidR="003152E3" w:rsidRPr="005D1F9E" w:rsidRDefault="003152E3" w:rsidP="003152E3">
      <w:pPr>
        <w:pStyle w:val="BodyText"/>
        <w:jc w:val="both"/>
        <w:rPr>
          <w:sz w:val="28"/>
          <w:szCs w:val="28"/>
        </w:rPr>
      </w:pPr>
    </w:p>
    <w:p w14:paraId="58D79D86" w14:textId="77777777" w:rsidR="003152E3" w:rsidRPr="005D1F9E" w:rsidRDefault="003152E3" w:rsidP="003152E3">
      <w:pPr>
        <w:pStyle w:val="BodyText"/>
        <w:numPr>
          <w:ilvl w:val="0"/>
          <w:numId w:val="3"/>
        </w:numPr>
        <w:jc w:val="both"/>
        <w:rPr>
          <w:sz w:val="28"/>
          <w:szCs w:val="28"/>
        </w:rPr>
      </w:pPr>
      <w:r w:rsidRPr="005D1F9E">
        <w:rPr>
          <w:sz w:val="28"/>
          <w:szCs w:val="28"/>
        </w:rPr>
        <w:t>Market research: Identify popular products and customer buying trends.</w:t>
      </w:r>
    </w:p>
    <w:p w14:paraId="62C2F45F" w14:textId="77777777" w:rsidR="003152E3" w:rsidRPr="005D1F9E" w:rsidRDefault="003152E3" w:rsidP="003152E3">
      <w:pPr>
        <w:pStyle w:val="BodyText"/>
        <w:jc w:val="both"/>
        <w:rPr>
          <w:sz w:val="28"/>
          <w:szCs w:val="28"/>
        </w:rPr>
      </w:pPr>
    </w:p>
    <w:p w14:paraId="78D78679" w14:textId="6C25C06B" w:rsidR="005043AE" w:rsidRPr="005D1F9E" w:rsidRDefault="003152E3" w:rsidP="003152E3">
      <w:pPr>
        <w:pStyle w:val="BodyText"/>
        <w:numPr>
          <w:ilvl w:val="0"/>
          <w:numId w:val="3"/>
        </w:numPr>
        <w:jc w:val="both"/>
        <w:rPr>
          <w:sz w:val="28"/>
          <w:szCs w:val="28"/>
        </w:rPr>
      </w:pPr>
      <w:r w:rsidRPr="005D1F9E">
        <w:rPr>
          <w:sz w:val="28"/>
          <w:szCs w:val="28"/>
        </w:rPr>
        <w:t>Pricing optimization: Adjust product prices based on sales performance.</w:t>
      </w:r>
    </w:p>
    <w:p w14:paraId="01C860C0" w14:textId="77777777" w:rsidR="003152E3" w:rsidRPr="005D1F9E" w:rsidRDefault="003152E3" w:rsidP="003152E3">
      <w:pPr>
        <w:pStyle w:val="BodyText"/>
        <w:ind w:left="720"/>
        <w:jc w:val="both"/>
        <w:rPr>
          <w:sz w:val="28"/>
          <w:szCs w:val="28"/>
        </w:rPr>
      </w:pPr>
    </w:p>
    <w:p w14:paraId="364E29A4" w14:textId="6FA047B3" w:rsidR="005D1F9E" w:rsidRPr="00B658EE" w:rsidRDefault="00852F84" w:rsidP="005D1F9E">
      <w:pPr>
        <w:pStyle w:val="BodyText"/>
        <w:jc w:val="center"/>
        <w:rPr>
          <w:b/>
          <w:bCs/>
          <w:sz w:val="32"/>
          <w:szCs w:val="32"/>
        </w:rPr>
      </w:pPr>
      <w:r w:rsidRPr="00B658EE">
        <w:rPr>
          <w:b/>
          <w:bCs/>
          <w:sz w:val="32"/>
          <w:szCs w:val="32"/>
        </w:rPr>
        <w:t>SHEET 1:</w:t>
      </w:r>
      <w:r w:rsidR="00B658EE" w:rsidRPr="00B658EE">
        <w:rPr>
          <w:b/>
          <w:bCs/>
          <w:sz w:val="32"/>
          <w:szCs w:val="32"/>
        </w:rPr>
        <w:t xml:space="preserve"> PRODUCT VS TOTAL SALES</w:t>
      </w:r>
    </w:p>
    <w:p w14:paraId="33689D2A" w14:textId="4B891B0E" w:rsidR="00B658EE" w:rsidRDefault="00B658EE" w:rsidP="005D1F9E">
      <w:pPr>
        <w:pStyle w:val="BodyText"/>
      </w:pPr>
    </w:p>
    <w:p w14:paraId="65E748EF" w14:textId="77777777" w:rsidR="005D1F9E" w:rsidRDefault="005D1F9E" w:rsidP="005D1F9E">
      <w:pPr>
        <w:pStyle w:val="BodyText"/>
      </w:pPr>
    </w:p>
    <w:p w14:paraId="3139C523" w14:textId="5F4582A3" w:rsidR="005D1F9E" w:rsidRDefault="005D1F9E" w:rsidP="005D1F9E">
      <w:pPr>
        <w:pStyle w:val="BodyText"/>
        <w:jc w:val="center"/>
      </w:pPr>
      <w:r>
        <w:rPr>
          <w:noProof/>
        </w:rPr>
        <w:drawing>
          <wp:inline distT="0" distB="0" distL="0" distR="0" wp14:anchorId="4FF74E4F" wp14:editId="7F68793F">
            <wp:extent cx="5814060" cy="2575560"/>
            <wp:effectExtent l="0" t="0" r="0" b="0"/>
            <wp:docPr id="43712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060" cy="2575560"/>
                    </a:xfrm>
                    <a:prstGeom prst="rect">
                      <a:avLst/>
                    </a:prstGeom>
                    <a:noFill/>
                    <a:ln>
                      <a:noFill/>
                    </a:ln>
                  </pic:spPr>
                </pic:pic>
              </a:graphicData>
            </a:graphic>
          </wp:inline>
        </w:drawing>
      </w:r>
    </w:p>
    <w:p w14:paraId="345ED62E" w14:textId="77777777" w:rsidR="005D1F9E" w:rsidRDefault="005D1F9E" w:rsidP="005D1F9E">
      <w:pPr>
        <w:pStyle w:val="BodyText"/>
        <w:jc w:val="center"/>
      </w:pPr>
    </w:p>
    <w:p w14:paraId="2B3287B1" w14:textId="77777777" w:rsidR="005D1F9E" w:rsidRDefault="005D1F9E" w:rsidP="005D1F9E">
      <w:pPr>
        <w:pStyle w:val="BodyText"/>
      </w:pPr>
    </w:p>
    <w:p w14:paraId="5B5D62EE" w14:textId="7FAD6389" w:rsidR="005D1F9E" w:rsidRPr="005D1F9E" w:rsidRDefault="005D1F9E" w:rsidP="005D1F9E">
      <w:pPr>
        <w:pStyle w:val="BodyText"/>
        <w:jc w:val="both"/>
        <w:rPr>
          <w:sz w:val="32"/>
          <w:szCs w:val="32"/>
          <w:lang w:val="en-IN"/>
        </w:rPr>
      </w:pPr>
      <w:r w:rsidRPr="005D1F9E">
        <w:rPr>
          <w:sz w:val="28"/>
          <w:szCs w:val="28"/>
          <w:lang w:val="en-IN"/>
        </w:rPr>
        <w:t xml:space="preserve"> </w:t>
      </w:r>
      <w:r w:rsidRPr="005D1F9E">
        <w:rPr>
          <w:b/>
          <w:bCs/>
          <w:sz w:val="32"/>
          <w:szCs w:val="32"/>
          <w:lang w:val="en-IN"/>
        </w:rPr>
        <w:t>Top Performers:</w:t>
      </w:r>
    </w:p>
    <w:p w14:paraId="28A93142" w14:textId="77777777" w:rsidR="005D1F9E" w:rsidRPr="005D1F9E" w:rsidRDefault="005D1F9E" w:rsidP="005D1F9E">
      <w:pPr>
        <w:pStyle w:val="BodyText"/>
        <w:numPr>
          <w:ilvl w:val="0"/>
          <w:numId w:val="6"/>
        </w:numPr>
        <w:jc w:val="both"/>
        <w:rPr>
          <w:sz w:val="28"/>
          <w:szCs w:val="28"/>
          <w:lang w:val="en-IN"/>
        </w:rPr>
      </w:pPr>
      <w:r w:rsidRPr="005D1F9E">
        <w:rPr>
          <w:sz w:val="28"/>
          <w:szCs w:val="28"/>
          <w:lang w:val="en-IN"/>
        </w:rPr>
        <w:t>Refrigerators have the highest sales, suggesting strong demand for Home Appliances.</w:t>
      </w:r>
    </w:p>
    <w:p w14:paraId="7DD380EC" w14:textId="77777777" w:rsidR="005D1F9E" w:rsidRPr="005D1F9E" w:rsidRDefault="005D1F9E" w:rsidP="005D1F9E">
      <w:pPr>
        <w:pStyle w:val="BodyText"/>
        <w:numPr>
          <w:ilvl w:val="0"/>
          <w:numId w:val="6"/>
        </w:numPr>
        <w:jc w:val="both"/>
        <w:rPr>
          <w:sz w:val="28"/>
          <w:szCs w:val="28"/>
          <w:lang w:val="en-IN"/>
        </w:rPr>
      </w:pPr>
      <w:r w:rsidRPr="005D1F9E">
        <w:rPr>
          <w:sz w:val="28"/>
          <w:szCs w:val="28"/>
          <w:lang w:val="en-IN"/>
        </w:rPr>
        <w:t>Laptops are the second-highest, highlighting Electronics as a major sales driver.</w:t>
      </w:r>
    </w:p>
    <w:p w14:paraId="3605D6AB" w14:textId="39D081F8" w:rsidR="005D1F9E" w:rsidRPr="005D1F9E" w:rsidRDefault="005D1F9E" w:rsidP="005D1F9E">
      <w:pPr>
        <w:pStyle w:val="BodyText"/>
        <w:jc w:val="both"/>
        <w:rPr>
          <w:sz w:val="32"/>
          <w:szCs w:val="32"/>
          <w:lang w:val="en-IN"/>
        </w:rPr>
      </w:pPr>
      <w:r w:rsidRPr="005D1F9E">
        <w:rPr>
          <w:sz w:val="28"/>
          <w:szCs w:val="28"/>
          <w:lang w:val="en-IN"/>
        </w:rPr>
        <w:t xml:space="preserve"> </w:t>
      </w:r>
      <w:r w:rsidRPr="005D1F9E">
        <w:rPr>
          <w:b/>
          <w:bCs/>
          <w:sz w:val="32"/>
          <w:szCs w:val="32"/>
          <w:lang w:val="en-IN"/>
        </w:rPr>
        <w:t>Mid-Range Products:</w:t>
      </w:r>
    </w:p>
    <w:p w14:paraId="19093E8E" w14:textId="77777777" w:rsidR="005D1F9E" w:rsidRPr="005D1F9E" w:rsidRDefault="005D1F9E" w:rsidP="005D1F9E">
      <w:pPr>
        <w:pStyle w:val="BodyText"/>
        <w:numPr>
          <w:ilvl w:val="0"/>
          <w:numId w:val="7"/>
        </w:numPr>
        <w:jc w:val="both"/>
        <w:rPr>
          <w:sz w:val="28"/>
          <w:szCs w:val="28"/>
          <w:lang w:val="en-IN"/>
        </w:rPr>
      </w:pPr>
      <w:r w:rsidRPr="005D1F9E">
        <w:rPr>
          <w:sz w:val="28"/>
          <w:szCs w:val="28"/>
          <w:lang w:val="en-IN"/>
        </w:rPr>
        <w:t>Washing Machines (Home Appliances) and Smartphones (Electronics) have good but lower sales compared to the top two.</w:t>
      </w:r>
    </w:p>
    <w:p w14:paraId="12B19EA9" w14:textId="0F16E309" w:rsidR="005D1F9E" w:rsidRPr="005D1F9E" w:rsidRDefault="005D1F9E" w:rsidP="005D1F9E">
      <w:pPr>
        <w:pStyle w:val="BodyText"/>
        <w:jc w:val="both"/>
        <w:rPr>
          <w:sz w:val="32"/>
          <w:szCs w:val="32"/>
          <w:lang w:val="en-IN"/>
        </w:rPr>
      </w:pPr>
      <w:r w:rsidRPr="005D1F9E">
        <w:rPr>
          <w:sz w:val="32"/>
          <w:szCs w:val="32"/>
          <w:lang w:val="en-IN"/>
        </w:rPr>
        <w:t xml:space="preserve"> </w:t>
      </w:r>
      <w:r w:rsidRPr="005D1F9E">
        <w:rPr>
          <w:b/>
          <w:bCs/>
          <w:sz w:val="32"/>
          <w:szCs w:val="32"/>
          <w:lang w:val="en-IN"/>
        </w:rPr>
        <w:t>Low Performers:</w:t>
      </w:r>
    </w:p>
    <w:p w14:paraId="43208167" w14:textId="77777777" w:rsidR="005D1F9E" w:rsidRPr="005D1F9E" w:rsidRDefault="005D1F9E" w:rsidP="005D1F9E">
      <w:pPr>
        <w:pStyle w:val="BodyText"/>
        <w:numPr>
          <w:ilvl w:val="0"/>
          <w:numId w:val="8"/>
        </w:numPr>
        <w:jc w:val="both"/>
        <w:rPr>
          <w:sz w:val="28"/>
          <w:szCs w:val="28"/>
          <w:lang w:val="en-IN"/>
        </w:rPr>
      </w:pPr>
      <w:r w:rsidRPr="005D1F9E">
        <w:rPr>
          <w:sz w:val="28"/>
          <w:szCs w:val="28"/>
          <w:lang w:val="en-IN"/>
        </w:rPr>
        <w:t>Books, Jeans, T-Shirts, and Running Shoes show minimal sales, meaning Clothing and Books categories perform poorly here.</w:t>
      </w:r>
    </w:p>
    <w:p w14:paraId="5111153F" w14:textId="7C107EDF" w:rsidR="005D1F9E" w:rsidRPr="005D1F9E" w:rsidRDefault="005D1F9E" w:rsidP="005D1F9E">
      <w:pPr>
        <w:pStyle w:val="BodyText"/>
        <w:jc w:val="both"/>
        <w:rPr>
          <w:sz w:val="32"/>
          <w:szCs w:val="32"/>
          <w:lang w:val="en-IN"/>
        </w:rPr>
      </w:pPr>
      <w:r w:rsidRPr="005D1F9E">
        <w:rPr>
          <w:sz w:val="32"/>
          <w:szCs w:val="32"/>
          <w:lang w:val="en-IN"/>
        </w:rPr>
        <w:t xml:space="preserve"> </w:t>
      </w:r>
      <w:r w:rsidRPr="005D1F9E">
        <w:rPr>
          <w:b/>
          <w:bCs/>
          <w:sz w:val="32"/>
          <w:szCs w:val="32"/>
          <w:lang w:val="en-IN"/>
        </w:rPr>
        <w:t>Category Trends:</w:t>
      </w:r>
    </w:p>
    <w:p w14:paraId="17690102" w14:textId="77777777" w:rsidR="005D1F9E" w:rsidRPr="005D1F9E" w:rsidRDefault="005D1F9E" w:rsidP="005D1F9E">
      <w:pPr>
        <w:pStyle w:val="BodyText"/>
        <w:numPr>
          <w:ilvl w:val="0"/>
          <w:numId w:val="9"/>
        </w:numPr>
        <w:jc w:val="both"/>
        <w:rPr>
          <w:sz w:val="28"/>
          <w:szCs w:val="28"/>
          <w:lang w:val="en-IN"/>
        </w:rPr>
      </w:pPr>
      <w:r w:rsidRPr="005D1F9E">
        <w:rPr>
          <w:sz w:val="28"/>
          <w:szCs w:val="28"/>
          <w:lang w:val="en-IN"/>
        </w:rPr>
        <w:t>Home Appliances overall have higher sales compared to Clothing and Footwear.</w:t>
      </w:r>
    </w:p>
    <w:p w14:paraId="32586B84" w14:textId="77777777" w:rsidR="005D1F9E" w:rsidRPr="005D1F9E" w:rsidRDefault="005D1F9E" w:rsidP="005D1F9E">
      <w:pPr>
        <w:pStyle w:val="BodyText"/>
        <w:numPr>
          <w:ilvl w:val="0"/>
          <w:numId w:val="9"/>
        </w:numPr>
        <w:jc w:val="both"/>
        <w:rPr>
          <w:sz w:val="28"/>
          <w:szCs w:val="28"/>
          <w:lang w:val="en-IN"/>
        </w:rPr>
      </w:pPr>
      <w:r w:rsidRPr="005D1F9E">
        <w:rPr>
          <w:sz w:val="28"/>
          <w:szCs w:val="28"/>
          <w:lang w:val="en-IN"/>
        </w:rPr>
        <w:t>Electronics are also strong, with several products (Laptop, Smartphone, Smartwatch, Headphones) performing decently.</w:t>
      </w:r>
    </w:p>
    <w:p w14:paraId="05216CDD" w14:textId="1FE03078" w:rsidR="005D1F9E" w:rsidRPr="005D1F9E" w:rsidRDefault="005D1F9E" w:rsidP="005D1F9E">
      <w:pPr>
        <w:pStyle w:val="BodyText"/>
        <w:jc w:val="both"/>
        <w:rPr>
          <w:sz w:val="32"/>
          <w:szCs w:val="32"/>
          <w:lang w:val="en-IN"/>
        </w:rPr>
      </w:pPr>
      <w:r w:rsidRPr="005D1F9E">
        <w:rPr>
          <w:sz w:val="32"/>
          <w:szCs w:val="32"/>
          <w:lang w:val="en-IN"/>
        </w:rPr>
        <w:t xml:space="preserve"> </w:t>
      </w:r>
      <w:r w:rsidRPr="005D1F9E">
        <w:rPr>
          <w:b/>
          <w:bCs/>
          <w:sz w:val="32"/>
          <w:szCs w:val="32"/>
          <w:lang w:val="en-IN"/>
        </w:rPr>
        <w:t>Visual Design:</w:t>
      </w:r>
    </w:p>
    <w:p w14:paraId="6E5A1FD1" w14:textId="77777777" w:rsidR="005D1F9E" w:rsidRPr="005D1F9E" w:rsidRDefault="005D1F9E" w:rsidP="005D1F9E">
      <w:pPr>
        <w:pStyle w:val="BodyText"/>
        <w:numPr>
          <w:ilvl w:val="0"/>
          <w:numId w:val="10"/>
        </w:numPr>
        <w:jc w:val="both"/>
        <w:rPr>
          <w:sz w:val="28"/>
          <w:szCs w:val="28"/>
          <w:lang w:val="en-IN"/>
        </w:rPr>
      </w:pPr>
      <w:r w:rsidRPr="005D1F9E">
        <w:rPr>
          <w:sz w:val="28"/>
          <w:szCs w:val="28"/>
          <w:lang w:val="en-IN"/>
        </w:rPr>
        <w:t>Dark background with different shades for each category improves readability.</w:t>
      </w:r>
    </w:p>
    <w:p w14:paraId="12838459" w14:textId="77777777" w:rsidR="005D1F9E" w:rsidRPr="005D1F9E" w:rsidRDefault="005D1F9E" w:rsidP="005D1F9E">
      <w:pPr>
        <w:pStyle w:val="BodyText"/>
        <w:numPr>
          <w:ilvl w:val="0"/>
          <w:numId w:val="10"/>
        </w:numPr>
        <w:jc w:val="both"/>
        <w:rPr>
          <w:sz w:val="28"/>
          <w:szCs w:val="28"/>
          <w:lang w:val="en-IN"/>
        </w:rPr>
      </w:pPr>
      <w:r w:rsidRPr="005D1F9E">
        <w:rPr>
          <w:sz w:val="28"/>
          <w:szCs w:val="28"/>
          <w:lang w:val="en-IN"/>
        </w:rPr>
        <w:t>Sales are marked on the Y-axis, with products on the X-axis, and a clean legend on the right.</w:t>
      </w:r>
    </w:p>
    <w:p w14:paraId="3DE68491" w14:textId="67767394" w:rsidR="005D1F9E" w:rsidRDefault="005D1F9E" w:rsidP="005D1F9E">
      <w:pPr>
        <w:pStyle w:val="BodyText"/>
        <w:rPr>
          <w:sz w:val="28"/>
          <w:szCs w:val="28"/>
          <w:lang w:val="en-IN"/>
        </w:rPr>
      </w:pPr>
    </w:p>
    <w:p w14:paraId="28B930DC" w14:textId="77777777" w:rsidR="005F278C" w:rsidRDefault="005F278C" w:rsidP="005D1F9E">
      <w:pPr>
        <w:pStyle w:val="BodyText"/>
        <w:rPr>
          <w:sz w:val="28"/>
          <w:szCs w:val="28"/>
          <w:lang w:val="en-IN"/>
        </w:rPr>
      </w:pPr>
    </w:p>
    <w:p w14:paraId="45C63463" w14:textId="77777777" w:rsidR="005F278C" w:rsidRDefault="005F278C" w:rsidP="005D1F9E">
      <w:pPr>
        <w:pStyle w:val="BodyText"/>
        <w:rPr>
          <w:sz w:val="28"/>
          <w:szCs w:val="28"/>
          <w:lang w:val="en-IN"/>
        </w:rPr>
      </w:pPr>
    </w:p>
    <w:p w14:paraId="7ABB260C" w14:textId="77777777" w:rsidR="005F278C" w:rsidRDefault="005F278C" w:rsidP="005D1F9E">
      <w:pPr>
        <w:pStyle w:val="BodyText"/>
        <w:rPr>
          <w:sz w:val="28"/>
          <w:szCs w:val="28"/>
          <w:lang w:val="en-IN"/>
        </w:rPr>
      </w:pPr>
    </w:p>
    <w:p w14:paraId="00D55A00" w14:textId="1103D00D" w:rsidR="005F278C" w:rsidRDefault="005F278C" w:rsidP="005F278C">
      <w:pPr>
        <w:pStyle w:val="BodyText"/>
        <w:jc w:val="center"/>
        <w:rPr>
          <w:b/>
          <w:bCs/>
          <w:sz w:val="32"/>
          <w:szCs w:val="32"/>
          <w:lang w:val="en-IN"/>
        </w:rPr>
      </w:pPr>
      <w:r w:rsidRPr="005F278C">
        <w:rPr>
          <w:b/>
          <w:bCs/>
          <w:sz w:val="32"/>
          <w:szCs w:val="32"/>
          <w:lang w:val="en-IN"/>
        </w:rPr>
        <w:t>S</w:t>
      </w:r>
      <w:r>
        <w:rPr>
          <w:b/>
          <w:bCs/>
          <w:sz w:val="32"/>
          <w:szCs w:val="32"/>
          <w:lang w:val="en-IN"/>
        </w:rPr>
        <w:t>HEET</w:t>
      </w:r>
      <w:r w:rsidRPr="005F278C">
        <w:rPr>
          <w:b/>
          <w:bCs/>
          <w:sz w:val="32"/>
          <w:szCs w:val="32"/>
          <w:lang w:val="en-IN"/>
        </w:rPr>
        <w:t xml:space="preserve"> 2 :</w:t>
      </w:r>
      <w:r w:rsidRPr="005F278C">
        <w:rPr>
          <w:sz w:val="32"/>
          <w:szCs w:val="32"/>
        </w:rPr>
        <w:t xml:space="preserve"> </w:t>
      </w:r>
      <w:r w:rsidRPr="005F278C">
        <w:rPr>
          <w:b/>
          <w:bCs/>
          <w:sz w:val="32"/>
          <w:szCs w:val="32"/>
          <w:lang w:val="en-IN"/>
        </w:rPr>
        <w:t>S</w:t>
      </w:r>
      <w:r>
        <w:rPr>
          <w:b/>
          <w:bCs/>
          <w:sz w:val="32"/>
          <w:szCs w:val="32"/>
          <w:lang w:val="en-IN"/>
        </w:rPr>
        <w:t>ALES</w:t>
      </w:r>
      <w:r w:rsidRPr="005F278C">
        <w:rPr>
          <w:b/>
          <w:bCs/>
          <w:sz w:val="32"/>
          <w:szCs w:val="32"/>
          <w:lang w:val="en-IN"/>
        </w:rPr>
        <w:t xml:space="preserve"> O</w:t>
      </w:r>
      <w:r>
        <w:rPr>
          <w:b/>
          <w:bCs/>
          <w:sz w:val="32"/>
          <w:szCs w:val="32"/>
          <w:lang w:val="en-IN"/>
        </w:rPr>
        <w:t>VER</w:t>
      </w:r>
      <w:r w:rsidRPr="005F278C">
        <w:rPr>
          <w:b/>
          <w:bCs/>
          <w:sz w:val="32"/>
          <w:szCs w:val="32"/>
          <w:lang w:val="en-IN"/>
        </w:rPr>
        <w:t xml:space="preserve"> T</w:t>
      </w:r>
      <w:r>
        <w:rPr>
          <w:b/>
          <w:bCs/>
          <w:sz w:val="32"/>
          <w:szCs w:val="32"/>
          <w:lang w:val="en-IN"/>
        </w:rPr>
        <w:t>IME</w:t>
      </w:r>
      <w:r w:rsidRPr="005F278C">
        <w:rPr>
          <w:b/>
          <w:bCs/>
          <w:sz w:val="32"/>
          <w:szCs w:val="32"/>
          <w:lang w:val="en-IN"/>
        </w:rPr>
        <w:t xml:space="preserve"> (</w:t>
      </w:r>
      <w:r>
        <w:rPr>
          <w:b/>
          <w:bCs/>
          <w:sz w:val="32"/>
          <w:szCs w:val="32"/>
          <w:lang w:val="en-IN"/>
        </w:rPr>
        <w:t>LINE CHART</w:t>
      </w:r>
      <w:r w:rsidRPr="005F278C">
        <w:rPr>
          <w:b/>
          <w:bCs/>
          <w:sz w:val="32"/>
          <w:szCs w:val="32"/>
          <w:lang w:val="en-IN"/>
        </w:rPr>
        <w:t>)</w:t>
      </w:r>
    </w:p>
    <w:p w14:paraId="1C80BA46" w14:textId="77777777" w:rsidR="00041345" w:rsidRDefault="00041345" w:rsidP="005F278C">
      <w:pPr>
        <w:pStyle w:val="BodyText"/>
        <w:jc w:val="center"/>
        <w:rPr>
          <w:b/>
          <w:bCs/>
          <w:sz w:val="32"/>
          <w:szCs w:val="32"/>
          <w:lang w:val="en-IN"/>
        </w:rPr>
      </w:pPr>
    </w:p>
    <w:p w14:paraId="1D0CA350" w14:textId="77777777" w:rsidR="00041345" w:rsidRDefault="00041345" w:rsidP="005F278C">
      <w:pPr>
        <w:pStyle w:val="BodyText"/>
        <w:jc w:val="center"/>
        <w:rPr>
          <w:b/>
          <w:bCs/>
          <w:sz w:val="32"/>
          <w:szCs w:val="32"/>
          <w:lang w:val="en-IN"/>
        </w:rPr>
      </w:pPr>
    </w:p>
    <w:p w14:paraId="78D2919C" w14:textId="77777777" w:rsidR="005F278C" w:rsidRDefault="005F278C" w:rsidP="005F278C">
      <w:pPr>
        <w:pStyle w:val="BodyText"/>
        <w:jc w:val="center"/>
        <w:rPr>
          <w:b/>
          <w:bCs/>
          <w:sz w:val="32"/>
          <w:szCs w:val="32"/>
          <w:lang w:val="en-IN"/>
        </w:rPr>
      </w:pPr>
    </w:p>
    <w:p w14:paraId="5E1A66BA" w14:textId="4F23B89B" w:rsidR="005F278C" w:rsidRDefault="005F278C" w:rsidP="005F278C">
      <w:pPr>
        <w:pStyle w:val="BodyText"/>
        <w:jc w:val="center"/>
        <w:rPr>
          <w:b/>
          <w:bCs/>
          <w:sz w:val="32"/>
          <w:szCs w:val="32"/>
          <w:lang w:val="en-IN"/>
        </w:rPr>
      </w:pPr>
      <w:r>
        <w:rPr>
          <w:noProof/>
        </w:rPr>
        <w:drawing>
          <wp:inline distT="0" distB="0" distL="0" distR="0" wp14:anchorId="7AADB691" wp14:editId="01CCA2D4">
            <wp:extent cx="5830570" cy="2842260"/>
            <wp:effectExtent l="0" t="0" r="0" b="0"/>
            <wp:docPr id="21847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570" cy="2842260"/>
                    </a:xfrm>
                    <a:prstGeom prst="rect">
                      <a:avLst/>
                    </a:prstGeom>
                    <a:noFill/>
                    <a:ln>
                      <a:noFill/>
                    </a:ln>
                  </pic:spPr>
                </pic:pic>
              </a:graphicData>
            </a:graphic>
          </wp:inline>
        </w:drawing>
      </w:r>
    </w:p>
    <w:p w14:paraId="46AEF51A" w14:textId="77777777" w:rsidR="00041345" w:rsidRDefault="00041345" w:rsidP="005F278C">
      <w:pPr>
        <w:pStyle w:val="BodyText"/>
        <w:jc w:val="center"/>
        <w:rPr>
          <w:b/>
          <w:bCs/>
          <w:sz w:val="32"/>
          <w:szCs w:val="32"/>
          <w:lang w:val="en-IN"/>
        </w:rPr>
      </w:pPr>
    </w:p>
    <w:p w14:paraId="60E377DF" w14:textId="77777777" w:rsidR="00041345" w:rsidRDefault="00041345" w:rsidP="005F278C">
      <w:pPr>
        <w:pStyle w:val="BodyText"/>
        <w:jc w:val="center"/>
        <w:rPr>
          <w:b/>
          <w:bCs/>
          <w:sz w:val="32"/>
          <w:szCs w:val="32"/>
          <w:lang w:val="en-IN"/>
        </w:rPr>
      </w:pPr>
    </w:p>
    <w:p w14:paraId="4670B1CE" w14:textId="77777777" w:rsidR="00041345" w:rsidRPr="00041345" w:rsidRDefault="00041345" w:rsidP="00041345">
      <w:pPr>
        <w:pStyle w:val="BodyText"/>
        <w:jc w:val="both"/>
        <w:rPr>
          <w:sz w:val="28"/>
          <w:szCs w:val="28"/>
          <w:lang w:val="en-IN"/>
        </w:rPr>
      </w:pPr>
      <w:r w:rsidRPr="00041345">
        <w:rPr>
          <w:sz w:val="28"/>
          <w:szCs w:val="28"/>
          <w:lang w:val="en-IN"/>
        </w:rPr>
        <w:t xml:space="preserve">The chart provides a detailed view of the price trend throughout 2025, with the y-axis representing price in increments of 50,000 up to 350,000 and the x-axis </w:t>
      </w:r>
      <w:proofErr w:type="spellStart"/>
      <w:r w:rsidRPr="00041345">
        <w:rPr>
          <w:sz w:val="28"/>
          <w:szCs w:val="28"/>
          <w:lang w:val="en-IN"/>
        </w:rPr>
        <w:t>labeling</w:t>
      </w:r>
      <w:proofErr w:type="spellEnd"/>
      <w:r w:rsidRPr="00041345">
        <w:rPr>
          <w:sz w:val="28"/>
          <w:szCs w:val="28"/>
          <w:lang w:val="en-IN"/>
        </w:rPr>
        <w:t xml:space="preserve"> each month from January to December. The average price, highlighted at 267,190, serves as a reference line across the chart.</w:t>
      </w:r>
    </w:p>
    <w:p w14:paraId="6E3FE41C" w14:textId="77777777" w:rsidR="00041345" w:rsidRPr="00041345" w:rsidRDefault="00041345" w:rsidP="00041345">
      <w:pPr>
        <w:pStyle w:val="BodyText"/>
        <w:jc w:val="both"/>
        <w:rPr>
          <w:sz w:val="28"/>
          <w:szCs w:val="28"/>
          <w:lang w:val="en-IN"/>
        </w:rPr>
      </w:pPr>
    </w:p>
    <w:p w14:paraId="6C620081" w14:textId="77777777" w:rsidR="00041345" w:rsidRPr="00041345" w:rsidRDefault="00041345" w:rsidP="00041345">
      <w:pPr>
        <w:pStyle w:val="BodyText"/>
        <w:jc w:val="both"/>
        <w:rPr>
          <w:sz w:val="28"/>
          <w:szCs w:val="28"/>
          <w:lang w:val="en-IN"/>
        </w:rPr>
      </w:pPr>
      <w:r w:rsidRPr="00041345">
        <w:rPr>
          <w:sz w:val="28"/>
          <w:szCs w:val="28"/>
          <w:lang w:val="en-IN"/>
        </w:rPr>
        <w:t>Starting in January, the price is approximately 300,000, showing a slight upward trend into February and peaking just above 300,000 in March. From April onward, the price begins a gradual decline, with noticeable dips around June and July, where it approaches its lowest point, potentially near 250,000. A modest recovery occurs from August, with a more significant increase in September and October, pushing the price back toward 300,000. By November and December, the price stabilizes, hovering around or slightly below the average of 267,190.</w:t>
      </w:r>
    </w:p>
    <w:p w14:paraId="51FA2897" w14:textId="77777777" w:rsidR="00041345" w:rsidRPr="00041345" w:rsidRDefault="00041345" w:rsidP="00041345">
      <w:pPr>
        <w:pStyle w:val="BodyText"/>
        <w:jc w:val="both"/>
        <w:rPr>
          <w:sz w:val="28"/>
          <w:szCs w:val="28"/>
          <w:lang w:val="en-IN"/>
        </w:rPr>
      </w:pPr>
    </w:p>
    <w:p w14:paraId="06BA3872" w14:textId="77777777" w:rsidR="00041345" w:rsidRPr="00041345" w:rsidRDefault="00041345" w:rsidP="00041345">
      <w:pPr>
        <w:pStyle w:val="BodyText"/>
        <w:jc w:val="both"/>
        <w:rPr>
          <w:sz w:val="32"/>
          <w:szCs w:val="32"/>
          <w:lang w:val="en-IN"/>
        </w:rPr>
      </w:pPr>
      <w:r w:rsidRPr="00041345">
        <w:rPr>
          <w:sz w:val="28"/>
          <w:szCs w:val="28"/>
          <w:lang w:val="en-IN"/>
        </w:rPr>
        <w:t>This pattern suggests an initial rise followed by a prolonged period of decline, a brief recovery in the latter half of the year, and eventual stabilization. The fluctuations may indicate seasonal influences, market adjustments, or other external factors, though specific causes cannot be determined from the chart alone</w:t>
      </w:r>
      <w:r w:rsidRPr="00041345">
        <w:rPr>
          <w:sz w:val="32"/>
          <w:szCs w:val="32"/>
          <w:lang w:val="en-IN"/>
        </w:rPr>
        <w:t>.</w:t>
      </w:r>
    </w:p>
    <w:p w14:paraId="250E8E48" w14:textId="77777777" w:rsidR="00041345" w:rsidRDefault="00041345" w:rsidP="00041345">
      <w:pPr>
        <w:pStyle w:val="BodyText"/>
        <w:jc w:val="both"/>
        <w:rPr>
          <w:sz w:val="32"/>
          <w:szCs w:val="32"/>
          <w:lang w:val="en-IN"/>
        </w:rPr>
      </w:pPr>
    </w:p>
    <w:p w14:paraId="71CC4162" w14:textId="77777777" w:rsidR="00041345" w:rsidRDefault="00041345" w:rsidP="00041345">
      <w:pPr>
        <w:pStyle w:val="BodyText"/>
        <w:jc w:val="both"/>
        <w:rPr>
          <w:sz w:val="32"/>
          <w:szCs w:val="32"/>
          <w:lang w:val="en-IN"/>
        </w:rPr>
      </w:pPr>
    </w:p>
    <w:p w14:paraId="3068BC6F" w14:textId="77777777" w:rsidR="00041345" w:rsidRDefault="00041345" w:rsidP="00041345">
      <w:pPr>
        <w:pStyle w:val="BodyText"/>
        <w:jc w:val="both"/>
        <w:rPr>
          <w:sz w:val="32"/>
          <w:szCs w:val="32"/>
          <w:lang w:val="en-IN"/>
        </w:rPr>
      </w:pPr>
    </w:p>
    <w:p w14:paraId="572E1FF0" w14:textId="73338C21" w:rsidR="000250A5" w:rsidRDefault="000250A5" w:rsidP="000250A5">
      <w:pPr>
        <w:pStyle w:val="BodyText"/>
        <w:jc w:val="center"/>
        <w:rPr>
          <w:b/>
          <w:bCs/>
          <w:sz w:val="32"/>
          <w:szCs w:val="32"/>
          <w:lang w:val="en-IN"/>
        </w:rPr>
      </w:pPr>
      <w:r>
        <w:rPr>
          <w:b/>
          <w:bCs/>
          <w:sz w:val="32"/>
          <w:szCs w:val="32"/>
          <w:lang w:val="en-IN"/>
        </w:rPr>
        <w:lastRenderedPageBreak/>
        <w:t>SHEET 3:</w:t>
      </w:r>
      <w:r w:rsidRPr="000250A5">
        <w:t xml:space="preserve"> </w:t>
      </w:r>
      <w:r w:rsidRPr="000250A5">
        <w:rPr>
          <w:b/>
          <w:bCs/>
          <w:sz w:val="32"/>
          <w:szCs w:val="32"/>
          <w:lang w:val="en-IN"/>
        </w:rPr>
        <w:t>C</w:t>
      </w:r>
      <w:r>
        <w:rPr>
          <w:b/>
          <w:bCs/>
          <w:sz w:val="32"/>
          <w:szCs w:val="32"/>
          <w:lang w:val="en-IN"/>
        </w:rPr>
        <w:t>ATEGORY</w:t>
      </w:r>
      <w:r w:rsidRPr="000250A5">
        <w:rPr>
          <w:b/>
          <w:bCs/>
          <w:sz w:val="32"/>
          <w:szCs w:val="32"/>
          <w:lang w:val="en-IN"/>
        </w:rPr>
        <w:t xml:space="preserve"> </w:t>
      </w:r>
      <w:r>
        <w:rPr>
          <w:b/>
          <w:bCs/>
          <w:sz w:val="32"/>
          <w:szCs w:val="32"/>
          <w:lang w:val="en-IN"/>
        </w:rPr>
        <w:t>SALES</w:t>
      </w:r>
    </w:p>
    <w:p w14:paraId="1037811A" w14:textId="77777777" w:rsidR="000250A5" w:rsidRDefault="000250A5" w:rsidP="000250A5">
      <w:pPr>
        <w:pStyle w:val="BodyText"/>
        <w:jc w:val="center"/>
        <w:rPr>
          <w:b/>
          <w:bCs/>
          <w:sz w:val="32"/>
          <w:szCs w:val="32"/>
          <w:lang w:val="en-IN"/>
        </w:rPr>
      </w:pPr>
    </w:p>
    <w:p w14:paraId="5BBB2448" w14:textId="395DAA9A" w:rsidR="000250A5" w:rsidRPr="00041345" w:rsidRDefault="000250A5" w:rsidP="000250A5">
      <w:pPr>
        <w:pStyle w:val="BodyText"/>
        <w:jc w:val="center"/>
        <w:rPr>
          <w:b/>
          <w:bCs/>
          <w:sz w:val="32"/>
          <w:szCs w:val="32"/>
          <w:lang w:val="en-IN"/>
        </w:rPr>
      </w:pPr>
      <w:r>
        <w:rPr>
          <w:noProof/>
        </w:rPr>
        <w:drawing>
          <wp:inline distT="0" distB="0" distL="0" distR="0" wp14:anchorId="4E1D74FB" wp14:editId="7DB559C2">
            <wp:extent cx="5913120" cy="2598420"/>
            <wp:effectExtent l="0" t="0" r="0" b="0"/>
            <wp:docPr id="428389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2598420"/>
                    </a:xfrm>
                    <a:prstGeom prst="rect">
                      <a:avLst/>
                    </a:prstGeom>
                    <a:noFill/>
                    <a:ln>
                      <a:noFill/>
                    </a:ln>
                  </pic:spPr>
                </pic:pic>
              </a:graphicData>
            </a:graphic>
          </wp:inline>
        </w:drawing>
      </w:r>
    </w:p>
    <w:p w14:paraId="350831D3" w14:textId="77777777" w:rsidR="000250A5" w:rsidRDefault="000250A5" w:rsidP="000250A5">
      <w:pPr>
        <w:pStyle w:val="BodyText"/>
        <w:rPr>
          <w:sz w:val="32"/>
          <w:szCs w:val="32"/>
          <w:lang w:val="en-IN"/>
        </w:rPr>
      </w:pPr>
    </w:p>
    <w:p w14:paraId="1D045745" w14:textId="77777777" w:rsidR="000250A5" w:rsidRPr="000250A5" w:rsidRDefault="000250A5" w:rsidP="000250A5">
      <w:pPr>
        <w:pStyle w:val="BodyText"/>
        <w:jc w:val="both"/>
        <w:rPr>
          <w:sz w:val="28"/>
          <w:szCs w:val="28"/>
          <w:lang w:val="en-IN"/>
        </w:rPr>
      </w:pPr>
      <w:r w:rsidRPr="000250A5">
        <w:rPr>
          <w:sz w:val="28"/>
          <w:szCs w:val="28"/>
          <w:lang w:val="en-IN"/>
        </w:rPr>
        <w:t>The chart is a horizontal bar graph that compares the average prices of various product categories, with the x-axis representing price in increments from 0 to 200,000 and the y-axis listing the categories: Home Appliances, Electronics, Footwear, Clothing, and Books. Each category is accompanied by a specific average price, and the bars are color-coded to indicate whether they fall within the "In" or "Out" category range, likely based on a price threshold around 100,000.</w:t>
      </w:r>
    </w:p>
    <w:p w14:paraId="4A94ACF6" w14:textId="77777777" w:rsidR="000250A5" w:rsidRPr="000250A5" w:rsidRDefault="000250A5" w:rsidP="000250A5">
      <w:pPr>
        <w:pStyle w:val="BodyText"/>
        <w:numPr>
          <w:ilvl w:val="0"/>
          <w:numId w:val="15"/>
        </w:numPr>
        <w:jc w:val="both"/>
        <w:rPr>
          <w:sz w:val="28"/>
          <w:szCs w:val="28"/>
          <w:lang w:val="en-IN"/>
        </w:rPr>
      </w:pPr>
      <w:r w:rsidRPr="000250A5">
        <w:rPr>
          <w:sz w:val="28"/>
          <w:szCs w:val="28"/>
          <w:lang w:val="en-IN"/>
        </w:rPr>
        <w:t>Home Appliances top the list with an average price of 184,400, extending significantly into the "In" category range, suggesting they are among the highest-priced items.</w:t>
      </w:r>
    </w:p>
    <w:p w14:paraId="44BC2A5D" w14:textId="77777777" w:rsidR="000250A5" w:rsidRPr="000250A5" w:rsidRDefault="000250A5" w:rsidP="000250A5">
      <w:pPr>
        <w:pStyle w:val="BodyText"/>
        <w:numPr>
          <w:ilvl w:val="0"/>
          <w:numId w:val="15"/>
        </w:numPr>
        <w:jc w:val="both"/>
        <w:rPr>
          <w:sz w:val="28"/>
          <w:szCs w:val="28"/>
          <w:lang w:val="en-IN"/>
        </w:rPr>
      </w:pPr>
      <w:r w:rsidRPr="000250A5">
        <w:rPr>
          <w:sz w:val="28"/>
          <w:szCs w:val="28"/>
          <w:lang w:val="en-IN"/>
        </w:rPr>
        <w:t>Electronics follow with an average price of 162,840, also within the "In" category, indicating a high price point but slightly below Home Appliances.</w:t>
      </w:r>
    </w:p>
    <w:p w14:paraId="01B21931" w14:textId="77777777" w:rsidR="000250A5" w:rsidRPr="000250A5" w:rsidRDefault="000250A5" w:rsidP="000250A5">
      <w:pPr>
        <w:pStyle w:val="BodyText"/>
        <w:numPr>
          <w:ilvl w:val="0"/>
          <w:numId w:val="15"/>
        </w:numPr>
        <w:jc w:val="both"/>
        <w:rPr>
          <w:sz w:val="28"/>
          <w:szCs w:val="28"/>
          <w:lang w:val="en-IN"/>
        </w:rPr>
      </w:pPr>
      <w:r w:rsidRPr="000250A5">
        <w:rPr>
          <w:sz w:val="28"/>
          <w:szCs w:val="28"/>
          <w:lang w:val="en-IN"/>
        </w:rPr>
        <w:t>Footwear has an average price of 61,860, Clothing is at 59,200, and Books are the lowest at 15,015, all falling into the "Out" category range, reflecting their lower cost compared to the "In" items.</w:t>
      </w:r>
    </w:p>
    <w:p w14:paraId="287D1364" w14:textId="77777777" w:rsidR="000250A5" w:rsidRPr="000250A5" w:rsidRDefault="000250A5" w:rsidP="000250A5">
      <w:pPr>
        <w:pStyle w:val="BodyText"/>
        <w:numPr>
          <w:ilvl w:val="0"/>
          <w:numId w:val="15"/>
        </w:numPr>
        <w:jc w:val="both"/>
        <w:rPr>
          <w:sz w:val="28"/>
          <w:szCs w:val="28"/>
          <w:lang w:val="en-IN"/>
        </w:rPr>
      </w:pPr>
      <w:r w:rsidRPr="000250A5">
        <w:rPr>
          <w:sz w:val="28"/>
          <w:szCs w:val="28"/>
          <w:lang w:val="en-IN"/>
        </w:rPr>
        <w:t>The "In/Out of Category" distinction appears to split the categories into two groups: those exceeding the approximate 100,000 threshold (Home Appliances and Electronics) and those below it (Footwear, Clothing, and Books).</w:t>
      </w:r>
    </w:p>
    <w:p w14:paraId="615DABB6" w14:textId="77777777" w:rsidR="000250A5" w:rsidRPr="000250A5" w:rsidRDefault="000250A5" w:rsidP="000250A5">
      <w:pPr>
        <w:pStyle w:val="BodyText"/>
        <w:jc w:val="both"/>
        <w:rPr>
          <w:sz w:val="28"/>
          <w:szCs w:val="28"/>
          <w:lang w:val="en-IN"/>
        </w:rPr>
      </w:pPr>
      <w:r w:rsidRPr="000250A5">
        <w:rPr>
          <w:sz w:val="28"/>
          <w:szCs w:val="28"/>
          <w:lang w:val="en-IN"/>
        </w:rPr>
        <w:t>This price segmentation highlights a notable divide, with Home Appliances and Electronics likely representing durable or premium goods, while Footwear, Clothing, and Books are more affordable, everyday items. The wide price gap between the top two categories and the others may reflect differences in production costs, market demand, or perceived value. The chart effectively illustrates this hierarchy, with Home Appliances leading, followed by Electronics, and a steep drop to the lower-priced categories.</w:t>
      </w:r>
    </w:p>
    <w:p w14:paraId="27A774E2" w14:textId="3EFD6966" w:rsidR="000F42EA" w:rsidRDefault="000250A5" w:rsidP="000F42EA">
      <w:pPr>
        <w:pStyle w:val="BodyText"/>
        <w:jc w:val="center"/>
        <w:rPr>
          <w:sz w:val="32"/>
          <w:szCs w:val="32"/>
          <w:lang w:val="en-IN"/>
        </w:rPr>
      </w:pPr>
      <w:r>
        <w:rPr>
          <w:sz w:val="32"/>
          <w:szCs w:val="32"/>
          <w:lang w:val="en-IN"/>
        </w:rPr>
        <w:lastRenderedPageBreak/>
        <w:t>SHEET 4:</w:t>
      </w:r>
      <w:r w:rsidR="000F42EA" w:rsidRPr="000F42EA">
        <w:t xml:space="preserve"> </w:t>
      </w:r>
      <w:r w:rsidR="000F42EA" w:rsidRPr="000F42EA">
        <w:rPr>
          <w:sz w:val="32"/>
          <w:szCs w:val="32"/>
          <w:lang w:val="en-IN"/>
        </w:rPr>
        <w:t>O</w:t>
      </w:r>
      <w:r w:rsidR="000F42EA">
        <w:rPr>
          <w:sz w:val="32"/>
          <w:szCs w:val="32"/>
          <w:lang w:val="en-IN"/>
        </w:rPr>
        <w:t>RDER</w:t>
      </w:r>
      <w:r w:rsidR="000F42EA" w:rsidRPr="000F42EA">
        <w:rPr>
          <w:sz w:val="32"/>
          <w:szCs w:val="32"/>
          <w:lang w:val="en-IN"/>
        </w:rPr>
        <w:t xml:space="preserve"> D</w:t>
      </w:r>
      <w:r w:rsidR="000F42EA">
        <w:rPr>
          <w:sz w:val="32"/>
          <w:szCs w:val="32"/>
          <w:lang w:val="en-IN"/>
        </w:rPr>
        <w:t>ETAILS</w:t>
      </w:r>
    </w:p>
    <w:p w14:paraId="009FF405" w14:textId="77777777" w:rsidR="000F42EA" w:rsidRDefault="000F42EA" w:rsidP="000F42EA">
      <w:pPr>
        <w:pStyle w:val="BodyText"/>
        <w:jc w:val="center"/>
        <w:rPr>
          <w:sz w:val="32"/>
          <w:szCs w:val="32"/>
          <w:lang w:val="en-IN"/>
        </w:rPr>
      </w:pPr>
    </w:p>
    <w:p w14:paraId="0252A2CD" w14:textId="4B39B462" w:rsidR="000F42EA" w:rsidRDefault="000F42EA" w:rsidP="000F42EA">
      <w:pPr>
        <w:pStyle w:val="BodyText"/>
        <w:jc w:val="center"/>
        <w:rPr>
          <w:sz w:val="32"/>
          <w:szCs w:val="32"/>
          <w:lang w:val="en-IN"/>
        </w:rPr>
      </w:pPr>
      <w:r>
        <w:rPr>
          <w:noProof/>
        </w:rPr>
        <w:drawing>
          <wp:inline distT="0" distB="0" distL="0" distR="0" wp14:anchorId="0CB3FDC2" wp14:editId="5453C296">
            <wp:extent cx="5806440" cy="2621280"/>
            <wp:effectExtent l="0" t="0" r="3810" b="7620"/>
            <wp:docPr id="1880304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2621280"/>
                    </a:xfrm>
                    <a:prstGeom prst="rect">
                      <a:avLst/>
                    </a:prstGeom>
                    <a:noFill/>
                    <a:ln>
                      <a:noFill/>
                    </a:ln>
                  </pic:spPr>
                </pic:pic>
              </a:graphicData>
            </a:graphic>
          </wp:inline>
        </w:drawing>
      </w:r>
    </w:p>
    <w:p w14:paraId="0E5DC93A" w14:textId="77777777" w:rsidR="000F42EA" w:rsidRDefault="000F42EA" w:rsidP="000250A5">
      <w:pPr>
        <w:pStyle w:val="BodyText"/>
        <w:jc w:val="center"/>
        <w:rPr>
          <w:sz w:val="32"/>
          <w:szCs w:val="32"/>
          <w:lang w:val="en-IN"/>
        </w:rPr>
      </w:pPr>
    </w:p>
    <w:p w14:paraId="30BE9C32" w14:textId="77777777" w:rsidR="000F42EA" w:rsidRPr="000F42EA" w:rsidRDefault="000F42EA" w:rsidP="000F42EA">
      <w:pPr>
        <w:pStyle w:val="BodyText"/>
        <w:jc w:val="both"/>
        <w:rPr>
          <w:sz w:val="28"/>
          <w:szCs w:val="28"/>
          <w:lang w:val="en-IN"/>
        </w:rPr>
      </w:pPr>
      <w:r w:rsidRPr="000F42EA">
        <w:rPr>
          <w:sz w:val="28"/>
          <w:szCs w:val="28"/>
          <w:lang w:val="en-IN"/>
        </w:rPr>
        <w:t xml:space="preserve">The chart is a heatmap that visualizes transaction data based on payment methods and customer locations, with rows representing payment methods (Credit Card, Amazon Pay, PayPal, Debit Card, Gift Card) and columns representing customer locations (Boston, Miami, Los Angeles, New York, Houston, Seattle, San Francisco). The </w:t>
      </w:r>
      <w:proofErr w:type="spellStart"/>
      <w:r w:rsidRPr="000F42EA">
        <w:rPr>
          <w:sz w:val="28"/>
          <w:szCs w:val="28"/>
          <w:lang w:val="en-IN"/>
        </w:rPr>
        <w:t>color</w:t>
      </w:r>
      <w:proofErr w:type="spellEnd"/>
      <w:r w:rsidRPr="000F42EA">
        <w:rPr>
          <w:sz w:val="28"/>
          <w:szCs w:val="28"/>
          <w:lang w:val="en-IN"/>
        </w:rPr>
        <w:t xml:space="preserve"> intensity reflects the quantity of transactions, ranging from 1 (light </w:t>
      </w:r>
      <w:proofErr w:type="spellStart"/>
      <w:r w:rsidRPr="000F42EA">
        <w:rPr>
          <w:sz w:val="28"/>
          <w:szCs w:val="28"/>
          <w:lang w:val="en-IN"/>
        </w:rPr>
        <w:t>gray</w:t>
      </w:r>
      <w:proofErr w:type="spellEnd"/>
      <w:r w:rsidRPr="000F42EA">
        <w:rPr>
          <w:sz w:val="28"/>
          <w:szCs w:val="28"/>
          <w:lang w:val="en-IN"/>
        </w:rPr>
        <w:t xml:space="preserve">) to 4 (dark </w:t>
      </w:r>
      <w:proofErr w:type="spellStart"/>
      <w:r w:rsidRPr="000F42EA">
        <w:rPr>
          <w:sz w:val="28"/>
          <w:szCs w:val="28"/>
          <w:lang w:val="en-IN"/>
        </w:rPr>
        <w:t>gray</w:t>
      </w:r>
      <w:proofErr w:type="spellEnd"/>
      <w:r w:rsidRPr="000F42EA">
        <w:rPr>
          <w:sz w:val="28"/>
          <w:szCs w:val="28"/>
          <w:lang w:val="en-IN"/>
        </w:rPr>
        <w:t>), with a gradient scale provided on the right.</w:t>
      </w:r>
    </w:p>
    <w:p w14:paraId="1B7AF28D" w14:textId="77777777" w:rsidR="000F42EA" w:rsidRPr="000F42EA" w:rsidRDefault="000F42EA" w:rsidP="000F42EA">
      <w:pPr>
        <w:pStyle w:val="BodyText"/>
        <w:numPr>
          <w:ilvl w:val="0"/>
          <w:numId w:val="16"/>
        </w:numPr>
        <w:jc w:val="both"/>
        <w:rPr>
          <w:sz w:val="28"/>
          <w:szCs w:val="28"/>
          <w:lang w:val="en-IN"/>
        </w:rPr>
      </w:pPr>
      <w:r w:rsidRPr="000F42EA">
        <w:rPr>
          <w:b/>
          <w:bCs/>
          <w:sz w:val="28"/>
          <w:szCs w:val="28"/>
          <w:lang w:val="en-IN"/>
        </w:rPr>
        <w:t>Credit Card</w:t>
      </w:r>
      <w:r w:rsidRPr="000F42EA">
        <w:rPr>
          <w:sz w:val="28"/>
          <w:szCs w:val="28"/>
          <w:lang w:val="en-IN"/>
        </w:rPr>
        <w:t>: This is the most widely used payment method. Boston shows the highest transaction quantity at 4, indicating significant usage. San Francisco follows with a quantity of 3, suggesting strong activity there as well. Miami, Los Angeles, and Seattle each have a quantity of 1 or 2, showing moderate to low usage. A specific transaction from Boston is detailed with Order ID ORD0016, a price of 1,200, and a quantity of 1.</w:t>
      </w:r>
    </w:p>
    <w:p w14:paraId="56B7C12C" w14:textId="77777777" w:rsidR="000F42EA" w:rsidRPr="000F42EA" w:rsidRDefault="000F42EA" w:rsidP="000F42EA">
      <w:pPr>
        <w:pStyle w:val="BodyText"/>
        <w:numPr>
          <w:ilvl w:val="0"/>
          <w:numId w:val="16"/>
        </w:numPr>
        <w:jc w:val="both"/>
        <w:rPr>
          <w:sz w:val="28"/>
          <w:szCs w:val="28"/>
          <w:lang w:val="en-IN"/>
        </w:rPr>
      </w:pPr>
      <w:r w:rsidRPr="000F42EA">
        <w:rPr>
          <w:b/>
          <w:bCs/>
          <w:sz w:val="28"/>
          <w:szCs w:val="28"/>
          <w:lang w:val="en-IN"/>
        </w:rPr>
        <w:t>Amazon Pay</w:t>
      </w:r>
      <w:r w:rsidRPr="000F42EA">
        <w:rPr>
          <w:sz w:val="28"/>
          <w:szCs w:val="28"/>
          <w:lang w:val="en-IN"/>
        </w:rPr>
        <w:t>: Usage is limited to Los Angeles and New York, both with a quantity of 1, indicating minimal adoption in these locations.</w:t>
      </w:r>
    </w:p>
    <w:p w14:paraId="627A866E" w14:textId="77777777" w:rsidR="000F42EA" w:rsidRPr="000F42EA" w:rsidRDefault="000F42EA" w:rsidP="000F42EA">
      <w:pPr>
        <w:pStyle w:val="BodyText"/>
        <w:numPr>
          <w:ilvl w:val="0"/>
          <w:numId w:val="16"/>
        </w:numPr>
        <w:jc w:val="both"/>
        <w:rPr>
          <w:sz w:val="28"/>
          <w:szCs w:val="28"/>
          <w:lang w:val="en-IN"/>
        </w:rPr>
      </w:pPr>
      <w:r w:rsidRPr="000F42EA">
        <w:rPr>
          <w:b/>
          <w:bCs/>
          <w:sz w:val="28"/>
          <w:szCs w:val="28"/>
          <w:lang w:val="en-IN"/>
        </w:rPr>
        <w:t>PayPal</w:t>
      </w:r>
      <w:r w:rsidRPr="000F42EA">
        <w:rPr>
          <w:sz w:val="28"/>
          <w:szCs w:val="28"/>
          <w:lang w:val="en-IN"/>
        </w:rPr>
        <w:t>: Transactions occur in Miami (quantity 2) and Houston (quantity 1), with no activity in other locations, suggesting a moderate presence in these areas.</w:t>
      </w:r>
    </w:p>
    <w:p w14:paraId="118414D0" w14:textId="77777777" w:rsidR="000F42EA" w:rsidRPr="000F42EA" w:rsidRDefault="000F42EA" w:rsidP="000F42EA">
      <w:pPr>
        <w:pStyle w:val="BodyText"/>
        <w:numPr>
          <w:ilvl w:val="0"/>
          <w:numId w:val="16"/>
        </w:numPr>
        <w:jc w:val="both"/>
        <w:rPr>
          <w:sz w:val="28"/>
          <w:szCs w:val="28"/>
          <w:lang w:val="en-IN"/>
        </w:rPr>
      </w:pPr>
      <w:r w:rsidRPr="000F42EA">
        <w:rPr>
          <w:b/>
          <w:bCs/>
          <w:sz w:val="28"/>
          <w:szCs w:val="28"/>
          <w:lang w:val="en-IN"/>
        </w:rPr>
        <w:t>Debit Card</w:t>
      </w:r>
      <w:r w:rsidRPr="000F42EA">
        <w:rPr>
          <w:sz w:val="28"/>
          <w:szCs w:val="28"/>
          <w:lang w:val="en-IN"/>
        </w:rPr>
        <w:t>: Usage is spread across New York (quantity 2), Seattle (quantity 1), and San Francisco (quantity 1), showing a modest but varied distribution.</w:t>
      </w:r>
    </w:p>
    <w:p w14:paraId="131F23CA" w14:textId="77777777" w:rsidR="000F42EA" w:rsidRPr="000F42EA" w:rsidRDefault="000F42EA" w:rsidP="000F42EA">
      <w:pPr>
        <w:pStyle w:val="BodyText"/>
        <w:numPr>
          <w:ilvl w:val="0"/>
          <w:numId w:val="16"/>
        </w:numPr>
        <w:jc w:val="both"/>
        <w:rPr>
          <w:sz w:val="28"/>
          <w:szCs w:val="28"/>
          <w:lang w:val="en-IN"/>
        </w:rPr>
      </w:pPr>
      <w:r w:rsidRPr="000F42EA">
        <w:rPr>
          <w:b/>
          <w:bCs/>
          <w:sz w:val="28"/>
          <w:szCs w:val="28"/>
          <w:lang w:val="en-IN"/>
        </w:rPr>
        <w:t>Gift Card</w:t>
      </w:r>
      <w:r w:rsidRPr="000F42EA">
        <w:rPr>
          <w:sz w:val="28"/>
          <w:szCs w:val="28"/>
          <w:lang w:val="en-IN"/>
        </w:rPr>
        <w:t>: Activity is restricted to San Francisco with a quantity of 1, indicating very limited use.</w:t>
      </w:r>
    </w:p>
    <w:p w14:paraId="2CACC703" w14:textId="07A59046" w:rsidR="000F42EA" w:rsidRPr="000F42EA" w:rsidRDefault="000F42EA" w:rsidP="000F42EA">
      <w:pPr>
        <w:pStyle w:val="BodyText"/>
        <w:jc w:val="both"/>
        <w:rPr>
          <w:sz w:val="28"/>
          <w:szCs w:val="28"/>
          <w:lang w:val="en-IN"/>
        </w:rPr>
      </w:pPr>
      <w:r w:rsidRPr="000F42EA">
        <w:rPr>
          <w:sz w:val="28"/>
          <w:szCs w:val="28"/>
          <w:lang w:val="en-IN"/>
        </w:rPr>
        <w:t xml:space="preserve">The heatmap reveals Credit Card as the dominant payment method, particularly in Boston and San Francisco, likely due to customer preference or merchant acceptance. Other methods like Amazon Pay and Gift Card have niche usage, confined to specific locations, while PayPal and Debit Card show moderate activity in select cities. </w:t>
      </w:r>
    </w:p>
    <w:p w14:paraId="3D481493" w14:textId="2D06E548" w:rsidR="000F42EA" w:rsidRDefault="000F42EA" w:rsidP="000F42EA">
      <w:pPr>
        <w:pStyle w:val="BodyText"/>
        <w:jc w:val="center"/>
        <w:rPr>
          <w:b/>
          <w:bCs/>
          <w:sz w:val="32"/>
          <w:szCs w:val="32"/>
          <w:lang w:val="en-IN"/>
        </w:rPr>
      </w:pPr>
      <w:r>
        <w:rPr>
          <w:b/>
          <w:bCs/>
          <w:sz w:val="32"/>
          <w:szCs w:val="32"/>
          <w:lang w:val="en-IN"/>
        </w:rPr>
        <w:lastRenderedPageBreak/>
        <w:t>SHEET 5:</w:t>
      </w:r>
      <w:r w:rsidRPr="000F42EA">
        <w:t xml:space="preserve"> </w:t>
      </w:r>
      <w:r w:rsidRPr="000F42EA">
        <w:rPr>
          <w:b/>
          <w:bCs/>
          <w:sz w:val="32"/>
          <w:szCs w:val="32"/>
          <w:lang w:val="en-IN"/>
        </w:rPr>
        <w:t>C</w:t>
      </w:r>
      <w:r>
        <w:rPr>
          <w:b/>
          <w:bCs/>
          <w:sz w:val="32"/>
          <w:szCs w:val="32"/>
          <w:lang w:val="en-IN"/>
        </w:rPr>
        <w:t>LUSTERING</w:t>
      </w:r>
    </w:p>
    <w:p w14:paraId="3CB06346" w14:textId="77777777" w:rsidR="000F42EA" w:rsidRDefault="000F42EA" w:rsidP="000F42EA">
      <w:pPr>
        <w:pStyle w:val="BodyText"/>
        <w:jc w:val="center"/>
        <w:rPr>
          <w:b/>
          <w:bCs/>
          <w:sz w:val="32"/>
          <w:szCs w:val="32"/>
          <w:lang w:val="en-IN"/>
        </w:rPr>
      </w:pPr>
    </w:p>
    <w:p w14:paraId="2F42077E" w14:textId="77777777" w:rsidR="000F42EA" w:rsidRDefault="000F42EA" w:rsidP="000F42EA">
      <w:pPr>
        <w:pStyle w:val="BodyText"/>
        <w:jc w:val="center"/>
        <w:rPr>
          <w:b/>
          <w:bCs/>
          <w:sz w:val="32"/>
          <w:szCs w:val="32"/>
          <w:lang w:val="en-IN"/>
        </w:rPr>
      </w:pPr>
    </w:p>
    <w:p w14:paraId="24055647" w14:textId="740CA040" w:rsidR="000F42EA" w:rsidRDefault="000F42EA" w:rsidP="000F42EA">
      <w:pPr>
        <w:pStyle w:val="BodyText"/>
        <w:jc w:val="center"/>
        <w:rPr>
          <w:b/>
          <w:bCs/>
          <w:sz w:val="32"/>
          <w:szCs w:val="32"/>
          <w:lang w:val="en-IN"/>
        </w:rPr>
      </w:pPr>
      <w:r>
        <w:rPr>
          <w:noProof/>
        </w:rPr>
        <w:drawing>
          <wp:inline distT="0" distB="0" distL="0" distR="0" wp14:anchorId="1FF045A8" wp14:editId="181D4980">
            <wp:extent cx="5821680" cy="3055620"/>
            <wp:effectExtent l="0" t="0" r="7620" b="0"/>
            <wp:docPr id="1337960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1680" cy="3055620"/>
                    </a:xfrm>
                    <a:prstGeom prst="rect">
                      <a:avLst/>
                    </a:prstGeom>
                    <a:noFill/>
                    <a:ln>
                      <a:noFill/>
                    </a:ln>
                  </pic:spPr>
                </pic:pic>
              </a:graphicData>
            </a:graphic>
          </wp:inline>
        </w:drawing>
      </w:r>
    </w:p>
    <w:p w14:paraId="44FC042C" w14:textId="77777777" w:rsidR="000F42EA" w:rsidRDefault="000F42EA" w:rsidP="000F42EA">
      <w:pPr>
        <w:pStyle w:val="BodyText"/>
        <w:jc w:val="center"/>
        <w:rPr>
          <w:b/>
          <w:bCs/>
          <w:sz w:val="32"/>
          <w:szCs w:val="32"/>
          <w:lang w:val="en-IN"/>
        </w:rPr>
      </w:pPr>
    </w:p>
    <w:p w14:paraId="0A4E3063" w14:textId="77777777" w:rsidR="000F42EA" w:rsidRDefault="000F42EA" w:rsidP="000F42EA">
      <w:pPr>
        <w:pStyle w:val="BodyText"/>
        <w:rPr>
          <w:b/>
          <w:bCs/>
          <w:sz w:val="32"/>
          <w:szCs w:val="32"/>
          <w:lang w:val="en-IN"/>
        </w:rPr>
      </w:pPr>
    </w:p>
    <w:p w14:paraId="74C74416" w14:textId="77777777" w:rsidR="000F42EA" w:rsidRDefault="000F42EA" w:rsidP="000F42EA">
      <w:pPr>
        <w:pStyle w:val="BodyText"/>
        <w:rPr>
          <w:b/>
          <w:bCs/>
          <w:sz w:val="32"/>
          <w:szCs w:val="32"/>
          <w:lang w:val="en-IN"/>
        </w:rPr>
      </w:pPr>
    </w:p>
    <w:p w14:paraId="00B6714F" w14:textId="77777777" w:rsidR="000F42EA" w:rsidRPr="000F42EA" w:rsidRDefault="000F42EA" w:rsidP="000F42EA">
      <w:pPr>
        <w:pStyle w:val="BodyText"/>
        <w:rPr>
          <w:sz w:val="28"/>
          <w:szCs w:val="28"/>
          <w:lang w:val="en-IN"/>
        </w:rPr>
      </w:pPr>
      <w:r w:rsidRPr="000F42EA">
        <w:rPr>
          <w:sz w:val="28"/>
          <w:szCs w:val="28"/>
          <w:lang w:val="en-IN"/>
        </w:rPr>
        <w:t>The chart is a scatter plot titled "Clustering," which displays data points grouped into four clusters based on two variables: "Total Sales" (x-axis, ranging from 0 to 6,000) and "Activity" (y-axis, ranging from 0 to 6). The clusters are color-coded as follows: Cluster 1 (blue), Cluster 2 (red), Cluster 3 (orange), and Cluster 4 (cyan), with a legend on the right.</w:t>
      </w:r>
    </w:p>
    <w:p w14:paraId="7225A183" w14:textId="77777777" w:rsidR="000F42EA" w:rsidRPr="000F42EA" w:rsidRDefault="000F42EA" w:rsidP="000F42EA">
      <w:pPr>
        <w:pStyle w:val="BodyText"/>
        <w:numPr>
          <w:ilvl w:val="0"/>
          <w:numId w:val="17"/>
        </w:numPr>
        <w:rPr>
          <w:sz w:val="28"/>
          <w:szCs w:val="28"/>
          <w:lang w:val="en-IN"/>
        </w:rPr>
      </w:pPr>
      <w:r w:rsidRPr="000F42EA">
        <w:rPr>
          <w:sz w:val="28"/>
          <w:szCs w:val="28"/>
          <w:lang w:val="en-IN"/>
        </w:rPr>
        <w:t>Cluster 1 (Blue): These points are concentrated in the upper-left quadrant, with Activity levels around 4 to 5 and Total Sales ranging from 0 to 1,500. This suggests a high activity level with relatively low sales.</w:t>
      </w:r>
    </w:p>
    <w:p w14:paraId="28B2192D" w14:textId="77777777" w:rsidR="000F42EA" w:rsidRPr="000F42EA" w:rsidRDefault="000F42EA" w:rsidP="000F42EA">
      <w:pPr>
        <w:pStyle w:val="BodyText"/>
        <w:numPr>
          <w:ilvl w:val="0"/>
          <w:numId w:val="17"/>
        </w:numPr>
        <w:rPr>
          <w:sz w:val="28"/>
          <w:szCs w:val="28"/>
          <w:lang w:val="en-IN"/>
        </w:rPr>
      </w:pPr>
      <w:r w:rsidRPr="000F42EA">
        <w:rPr>
          <w:sz w:val="28"/>
          <w:szCs w:val="28"/>
          <w:lang w:val="en-IN"/>
        </w:rPr>
        <w:t>Cluster 2 (Red): Located near the bottom-left, with Activity around 1 and Total Sales from 0 to 1,500. This indicates low activity and low sales.</w:t>
      </w:r>
    </w:p>
    <w:p w14:paraId="537C98A8" w14:textId="77777777" w:rsidR="000F42EA" w:rsidRPr="000F42EA" w:rsidRDefault="000F42EA" w:rsidP="000F42EA">
      <w:pPr>
        <w:pStyle w:val="BodyText"/>
        <w:numPr>
          <w:ilvl w:val="0"/>
          <w:numId w:val="17"/>
        </w:numPr>
        <w:rPr>
          <w:sz w:val="28"/>
          <w:szCs w:val="28"/>
          <w:lang w:val="en-IN"/>
        </w:rPr>
      </w:pPr>
      <w:r w:rsidRPr="000F42EA">
        <w:rPr>
          <w:sz w:val="28"/>
          <w:szCs w:val="28"/>
          <w:lang w:val="en-IN"/>
        </w:rPr>
        <w:t>Cluster 3 (Orange): Positioned along a diagonal from the bottom-left (Activity 1, Sales 0) to the upper-right (Activity 5, Sales around 5,500), showing a strong positive correlation between increasing activity and sales.</w:t>
      </w:r>
    </w:p>
    <w:p w14:paraId="6DF93F8B" w14:textId="77777777" w:rsidR="000F42EA" w:rsidRPr="000F42EA" w:rsidRDefault="000F42EA" w:rsidP="000F42EA">
      <w:pPr>
        <w:pStyle w:val="BodyText"/>
        <w:numPr>
          <w:ilvl w:val="0"/>
          <w:numId w:val="17"/>
        </w:numPr>
        <w:rPr>
          <w:sz w:val="28"/>
          <w:szCs w:val="28"/>
          <w:lang w:val="en-IN"/>
        </w:rPr>
      </w:pPr>
      <w:r w:rsidRPr="000F42EA">
        <w:rPr>
          <w:sz w:val="28"/>
          <w:szCs w:val="28"/>
          <w:lang w:val="en-IN"/>
        </w:rPr>
        <w:t>Cluster 4 (Cyan): Spread across the middle, with Activity levels around 3 to 5 and Total Sales from 1,500 to 4,000, indicating moderate to high activity with moderate sales.</w:t>
      </w:r>
    </w:p>
    <w:p w14:paraId="0E07A186" w14:textId="77777777" w:rsidR="000F42EA" w:rsidRPr="000F42EA" w:rsidRDefault="000F42EA" w:rsidP="000F42EA">
      <w:pPr>
        <w:pStyle w:val="BodyText"/>
        <w:rPr>
          <w:sz w:val="28"/>
          <w:szCs w:val="28"/>
          <w:lang w:val="en-IN"/>
        </w:rPr>
      </w:pPr>
      <w:r w:rsidRPr="000F42EA">
        <w:rPr>
          <w:sz w:val="28"/>
          <w:szCs w:val="28"/>
          <w:lang w:val="en-IN"/>
        </w:rPr>
        <w:t>The chart suggests that Cluster 3 has the strongest relationship between activity and sales, while Cluster 1 shows high activity with lower sales, and Cluster 2 indicates low activity and sales. Cluster 4 represents an intermediate group with balanced activity and sales.</w:t>
      </w:r>
    </w:p>
    <w:p w14:paraId="4C3A2427" w14:textId="081450E6" w:rsidR="000F42EA" w:rsidRDefault="00522CCF" w:rsidP="00522CCF">
      <w:pPr>
        <w:pStyle w:val="BodyText"/>
        <w:jc w:val="center"/>
        <w:rPr>
          <w:b/>
          <w:bCs/>
          <w:sz w:val="32"/>
          <w:szCs w:val="32"/>
          <w:lang w:val="en-IN"/>
        </w:rPr>
      </w:pPr>
      <w:r w:rsidRPr="00522CCF">
        <w:rPr>
          <w:b/>
          <w:bCs/>
          <w:sz w:val="32"/>
          <w:szCs w:val="32"/>
          <w:lang w:val="en-IN"/>
        </w:rPr>
        <w:lastRenderedPageBreak/>
        <w:t xml:space="preserve">DASHBOARD 1: </w:t>
      </w:r>
      <w:r>
        <w:rPr>
          <w:b/>
          <w:bCs/>
          <w:sz w:val="32"/>
          <w:szCs w:val="32"/>
          <w:lang w:val="en-IN"/>
        </w:rPr>
        <w:t>AMAZON SALES ANALYSIS</w:t>
      </w:r>
    </w:p>
    <w:p w14:paraId="0081AB82" w14:textId="77777777" w:rsidR="00522CCF" w:rsidRDefault="00522CCF" w:rsidP="00522CCF">
      <w:pPr>
        <w:pStyle w:val="BodyText"/>
        <w:jc w:val="center"/>
        <w:rPr>
          <w:b/>
          <w:bCs/>
          <w:sz w:val="32"/>
          <w:szCs w:val="32"/>
          <w:lang w:val="en-IN"/>
        </w:rPr>
      </w:pPr>
    </w:p>
    <w:p w14:paraId="71EEAD3E" w14:textId="709DCAAB" w:rsidR="00522CCF" w:rsidRDefault="00522CCF" w:rsidP="00522CCF">
      <w:pPr>
        <w:pStyle w:val="BodyText"/>
        <w:jc w:val="center"/>
        <w:rPr>
          <w:b/>
          <w:bCs/>
          <w:sz w:val="32"/>
          <w:szCs w:val="32"/>
          <w:lang w:val="en-IN"/>
        </w:rPr>
      </w:pPr>
      <w:r>
        <w:rPr>
          <w:noProof/>
        </w:rPr>
        <w:drawing>
          <wp:inline distT="0" distB="0" distL="0" distR="0" wp14:anchorId="7D225DAD" wp14:editId="7062C49A">
            <wp:extent cx="5875020" cy="3230880"/>
            <wp:effectExtent l="0" t="0" r="0" b="7620"/>
            <wp:docPr id="103473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5020" cy="3230880"/>
                    </a:xfrm>
                    <a:prstGeom prst="rect">
                      <a:avLst/>
                    </a:prstGeom>
                    <a:noFill/>
                    <a:ln>
                      <a:noFill/>
                    </a:ln>
                  </pic:spPr>
                </pic:pic>
              </a:graphicData>
            </a:graphic>
          </wp:inline>
        </w:drawing>
      </w:r>
    </w:p>
    <w:p w14:paraId="2C8BDCC0" w14:textId="77777777" w:rsidR="00522CCF" w:rsidRDefault="00522CCF" w:rsidP="00522CCF">
      <w:pPr>
        <w:pStyle w:val="BodyText"/>
        <w:jc w:val="both"/>
        <w:rPr>
          <w:sz w:val="28"/>
          <w:szCs w:val="28"/>
          <w:lang w:val="en-IN"/>
        </w:rPr>
      </w:pPr>
    </w:p>
    <w:p w14:paraId="4C91ACFE" w14:textId="77777777" w:rsidR="00C66836" w:rsidRDefault="00C66836" w:rsidP="00522CCF">
      <w:pPr>
        <w:pStyle w:val="BodyText"/>
        <w:jc w:val="both"/>
        <w:rPr>
          <w:sz w:val="28"/>
          <w:szCs w:val="28"/>
          <w:lang w:val="en-IN"/>
        </w:rPr>
      </w:pPr>
    </w:p>
    <w:p w14:paraId="08E4C101" w14:textId="77777777" w:rsidR="00C66836" w:rsidRPr="00522CCF" w:rsidRDefault="00C66836" w:rsidP="00522CCF">
      <w:pPr>
        <w:pStyle w:val="BodyText"/>
        <w:jc w:val="both"/>
        <w:rPr>
          <w:sz w:val="28"/>
          <w:szCs w:val="28"/>
          <w:lang w:val="en-IN"/>
        </w:rPr>
      </w:pPr>
    </w:p>
    <w:p w14:paraId="77A9DDFF" w14:textId="77777777" w:rsidR="00522CCF" w:rsidRDefault="00522CCF" w:rsidP="00522CCF">
      <w:pPr>
        <w:pStyle w:val="BodyText"/>
        <w:jc w:val="both"/>
        <w:rPr>
          <w:sz w:val="28"/>
          <w:szCs w:val="28"/>
          <w:lang w:val="en-IN"/>
        </w:rPr>
      </w:pPr>
      <w:r w:rsidRPr="00522CCF">
        <w:rPr>
          <w:sz w:val="28"/>
          <w:szCs w:val="28"/>
          <w:lang w:val="en-IN"/>
        </w:rPr>
        <w:t>The dashboard consists of five visualizations, each providing insights into sales and transaction data from different perspectives. Here's a detailed explanation of each component:</w:t>
      </w:r>
    </w:p>
    <w:p w14:paraId="6B6F9203" w14:textId="77777777" w:rsidR="00C66836" w:rsidRDefault="00C66836" w:rsidP="00522CCF">
      <w:pPr>
        <w:pStyle w:val="BodyText"/>
        <w:jc w:val="both"/>
        <w:rPr>
          <w:sz w:val="28"/>
          <w:szCs w:val="28"/>
          <w:lang w:val="en-IN"/>
        </w:rPr>
      </w:pPr>
    </w:p>
    <w:p w14:paraId="129C1896" w14:textId="77777777" w:rsidR="00C66836" w:rsidRPr="00522CCF" w:rsidRDefault="00C66836" w:rsidP="00522CCF">
      <w:pPr>
        <w:pStyle w:val="BodyText"/>
        <w:jc w:val="both"/>
        <w:rPr>
          <w:sz w:val="28"/>
          <w:szCs w:val="28"/>
          <w:lang w:val="en-IN"/>
        </w:rPr>
      </w:pPr>
    </w:p>
    <w:p w14:paraId="156CB741" w14:textId="77777777" w:rsidR="00522CCF" w:rsidRPr="00522CCF" w:rsidRDefault="00522CCF" w:rsidP="00522CCF">
      <w:pPr>
        <w:pStyle w:val="BodyText"/>
        <w:numPr>
          <w:ilvl w:val="0"/>
          <w:numId w:val="18"/>
        </w:numPr>
        <w:rPr>
          <w:sz w:val="28"/>
          <w:szCs w:val="28"/>
          <w:lang w:val="en-IN"/>
        </w:rPr>
      </w:pPr>
      <w:r w:rsidRPr="00522CCF">
        <w:rPr>
          <w:b/>
          <w:bCs/>
          <w:sz w:val="32"/>
          <w:szCs w:val="32"/>
          <w:lang w:val="en-IN"/>
        </w:rPr>
        <w:t>Product VS Total Sales (Top Left - Histogram)</w:t>
      </w:r>
    </w:p>
    <w:p w14:paraId="4AB66AC9" w14:textId="0ADB2D7C" w:rsidR="00522CCF" w:rsidRPr="00522CCF" w:rsidRDefault="00522CCF" w:rsidP="00522CCF">
      <w:pPr>
        <w:pStyle w:val="BodyText"/>
        <w:ind w:left="720"/>
        <w:rPr>
          <w:sz w:val="28"/>
          <w:szCs w:val="28"/>
          <w:lang w:val="en-IN"/>
        </w:rPr>
      </w:pPr>
      <w:r w:rsidRPr="00522CCF">
        <w:rPr>
          <w:sz w:val="28"/>
          <w:szCs w:val="28"/>
          <w:lang w:val="en-IN"/>
        </w:rPr>
        <w:br/>
        <w:t xml:space="preserve">This histogram shows total sales for various products on the y-axis (up to 3M) against specific products on the x-axis. </w:t>
      </w:r>
    </w:p>
    <w:p w14:paraId="532B8832"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T-Shirts lead with the highest sales, close to 3M, followed by Smartphones at around 2M.</w:t>
      </w:r>
    </w:p>
    <w:p w14:paraId="4814C493"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Other products like Refrigerators, Washing Machines, and Smartwatches have sales around 1M to 1.5M.</w:t>
      </w:r>
    </w:p>
    <w:p w14:paraId="5FC61025" w14:textId="551ECB56" w:rsidR="00522CCF" w:rsidRDefault="00522CCF" w:rsidP="00522CCF">
      <w:pPr>
        <w:pStyle w:val="BodyText"/>
        <w:numPr>
          <w:ilvl w:val="1"/>
          <w:numId w:val="18"/>
        </w:numPr>
        <w:jc w:val="both"/>
        <w:rPr>
          <w:sz w:val="28"/>
          <w:szCs w:val="28"/>
          <w:lang w:val="en-IN"/>
        </w:rPr>
      </w:pPr>
      <w:r w:rsidRPr="00522CCF">
        <w:rPr>
          <w:sz w:val="28"/>
          <w:szCs w:val="28"/>
          <w:lang w:val="en-IN"/>
        </w:rPr>
        <w:t>Books, Jeans, Laptops, Headphones, and Running Shoes have the lowest sales, below 1M.</w:t>
      </w:r>
      <w:r w:rsidRPr="00522CCF">
        <w:rPr>
          <w:sz w:val="28"/>
          <w:szCs w:val="28"/>
          <w:lang w:val="en-IN"/>
        </w:rPr>
        <w:br/>
        <w:t>This indicates that T-Shirts and Smartphones are the top-selling products, while Books and similar items lag significantly</w:t>
      </w:r>
      <w:r w:rsidR="00C66836">
        <w:rPr>
          <w:sz w:val="28"/>
          <w:szCs w:val="28"/>
          <w:lang w:val="en-IN"/>
        </w:rPr>
        <w:t>.</w:t>
      </w:r>
    </w:p>
    <w:p w14:paraId="35D59461" w14:textId="77777777" w:rsidR="00C66836" w:rsidRDefault="00C66836" w:rsidP="00C66836">
      <w:pPr>
        <w:pStyle w:val="BodyText"/>
        <w:jc w:val="both"/>
        <w:rPr>
          <w:sz w:val="28"/>
          <w:szCs w:val="28"/>
          <w:lang w:val="en-IN"/>
        </w:rPr>
      </w:pPr>
    </w:p>
    <w:p w14:paraId="62F20436" w14:textId="77777777" w:rsidR="00C66836" w:rsidRDefault="00C66836" w:rsidP="00C66836">
      <w:pPr>
        <w:pStyle w:val="BodyText"/>
        <w:jc w:val="both"/>
        <w:rPr>
          <w:sz w:val="28"/>
          <w:szCs w:val="28"/>
          <w:lang w:val="en-IN"/>
        </w:rPr>
      </w:pPr>
    </w:p>
    <w:p w14:paraId="504D532F" w14:textId="77777777" w:rsidR="00C66836" w:rsidRDefault="00C66836" w:rsidP="00C66836">
      <w:pPr>
        <w:pStyle w:val="BodyText"/>
        <w:ind w:left="1440"/>
        <w:jc w:val="both"/>
        <w:rPr>
          <w:sz w:val="28"/>
          <w:szCs w:val="28"/>
          <w:lang w:val="en-IN"/>
        </w:rPr>
      </w:pPr>
    </w:p>
    <w:p w14:paraId="734FBCDB" w14:textId="77777777" w:rsidR="00C66836" w:rsidRPr="00522CCF" w:rsidRDefault="00C66836" w:rsidP="00C66836">
      <w:pPr>
        <w:pStyle w:val="BodyText"/>
        <w:ind w:left="1440"/>
        <w:jc w:val="both"/>
        <w:rPr>
          <w:sz w:val="28"/>
          <w:szCs w:val="28"/>
          <w:lang w:val="en-IN"/>
        </w:rPr>
      </w:pPr>
    </w:p>
    <w:p w14:paraId="66E49822" w14:textId="5FF60425" w:rsidR="00C66836" w:rsidRPr="00C66836" w:rsidRDefault="00522CCF" w:rsidP="00C66836">
      <w:pPr>
        <w:pStyle w:val="BodyText"/>
        <w:numPr>
          <w:ilvl w:val="0"/>
          <w:numId w:val="18"/>
        </w:numPr>
        <w:rPr>
          <w:sz w:val="28"/>
          <w:szCs w:val="28"/>
          <w:lang w:val="en-IN"/>
        </w:rPr>
      </w:pPr>
      <w:r w:rsidRPr="00522CCF">
        <w:rPr>
          <w:b/>
          <w:bCs/>
          <w:sz w:val="32"/>
          <w:szCs w:val="32"/>
          <w:lang w:val="en-IN"/>
        </w:rPr>
        <w:lastRenderedPageBreak/>
        <w:t>Clustering (Top Middle - Scatter Plot)</w:t>
      </w:r>
    </w:p>
    <w:p w14:paraId="4C6645FD" w14:textId="06BEFDDA" w:rsidR="00522CCF" w:rsidRPr="00522CCF" w:rsidRDefault="00522CCF" w:rsidP="00522CCF">
      <w:pPr>
        <w:pStyle w:val="BodyText"/>
        <w:ind w:left="720"/>
        <w:rPr>
          <w:sz w:val="28"/>
          <w:szCs w:val="28"/>
          <w:lang w:val="en-IN"/>
        </w:rPr>
      </w:pPr>
      <w:r w:rsidRPr="00522CCF">
        <w:rPr>
          <w:b/>
          <w:bCs/>
          <w:sz w:val="32"/>
          <w:szCs w:val="32"/>
          <w:lang w:val="en-IN"/>
        </w:rPr>
        <w:br/>
      </w:r>
      <w:r w:rsidRPr="00522CCF">
        <w:rPr>
          <w:sz w:val="28"/>
          <w:szCs w:val="28"/>
          <w:lang w:val="en-IN"/>
        </w:rPr>
        <w:t xml:space="preserve">This scatter plot groups data into four clusters based on Total Sales (x-axis, 0 to 6,000) and Activity (y-axis, 0 to 6). </w:t>
      </w:r>
    </w:p>
    <w:p w14:paraId="0A97DFFE"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Cluster 1 (Blue): High activity (4-5) but low sales (0-1,500), suggesting high engagement with minimal revenue.</w:t>
      </w:r>
    </w:p>
    <w:p w14:paraId="7F78C805"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Cluster 2 (Red): Low activity (around 1) and low sales (0-1,500), indicating underperforming segments.</w:t>
      </w:r>
    </w:p>
    <w:p w14:paraId="579E6339"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Cluster 3 (Orange): Shows a strong positive correlation between activity and sales, ranging from (1, 0) to (5, 5,500), indicating that higher activity drives higher sales.</w:t>
      </w:r>
    </w:p>
    <w:p w14:paraId="725161D6" w14:textId="77777777" w:rsidR="00522CCF" w:rsidRDefault="00522CCF" w:rsidP="00522CCF">
      <w:pPr>
        <w:pStyle w:val="BodyText"/>
        <w:numPr>
          <w:ilvl w:val="1"/>
          <w:numId w:val="18"/>
        </w:numPr>
        <w:jc w:val="both"/>
        <w:rPr>
          <w:sz w:val="28"/>
          <w:szCs w:val="28"/>
          <w:lang w:val="en-IN"/>
        </w:rPr>
      </w:pPr>
      <w:r w:rsidRPr="00522CCF">
        <w:rPr>
          <w:sz w:val="28"/>
          <w:szCs w:val="28"/>
          <w:lang w:val="en-IN"/>
        </w:rPr>
        <w:t>Cluster 4 (Cyan): Moderate activity (3-5) and sales (1,500-4,000), representing a balanced segment.</w:t>
      </w:r>
      <w:r w:rsidRPr="00522CCF">
        <w:rPr>
          <w:sz w:val="28"/>
          <w:szCs w:val="28"/>
          <w:lang w:val="en-IN"/>
        </w:rPr>
        <w:br/>
        <w:t>This suggests Cluster 3 is the most efficient in converting activity to sales, while Cluster 1 may need strategies to boost revenue despite high activity.</w:t>
      </w:r>
    </w:p>
    <w:p w14:paraId="07F35043" w14:textId="77777777" w:rsidR="00522CCF" w:rsidRPr="00522CCF" w:rsidRDefault="00522CCF" w:rsidP="00522CCF">
      <w:pPr>
        <w:pStyle w:val="BodyText"/>
        <w:ind w:left="1440"/>
        <w:jc w:val="both"/>
        <w:rPr>
          <w:sz w:val="28"/>
          <w:szCs w:val="28"/>
          <w:lang w:val="en-IN"/>
        </w:rPr>
      </w:pPr>
    </w:p>
    <w:p w14:paraId="5EBB60E2" w14:textId="77777777" w:rsidR="00522CCF" w:rsidRPr="00522CCF" w:rsidRDefault="00522CCF" w:rsidP="00522CCF">
      <w:pPr>
        <w:pStyle w:val="BodyText"/>
        <w:numPr>
          <w:ilvl w:val="0"/>
          <w:numId w:val="18"/>
        </w:numPr>
        <w:rPr>
          <w:sz w:val="28"/>
          <w:szCs w:val="28"/>
          <w:lang w:val="en-IN"/>
        </w:rPr>
      </w:pPr>
      <w:r w:rsidRPr="00522CCF">
        <w:rPr>
          <w:b/>
          <w:bCs/>
          <w:sz w:val="32"/>
          <w:szCs w:val="32"/>
          <w:lang w:val="en-IN"/>
        </w:rPr>
        <w:t>Sales Over Time (Line Chart) (Top Right)</w:t>
      </w:r>
    </w:p>
    <w:p w14:paraId="372350AB" w14:textId="6FA66D48" w:rsidR="00522CCF" w:rsidRPr="00522CCF" w:rsidRDefault="00522CCF" w:rsidP="00522CCF">
      <w:pPr>
        <w:pStyle w:val="BodyText"/>
        <w:ind w:left="720"/>
        <w:rPr>
          <w:sz w:val="28"/>
          <w:szCs w:val="28"/>
          <w:lang w:val="en-IN"/>
        </w:rPr>
      </w:pPr>
      <w:r w:rsidRPr="00522CCF">
        <w:rPr>
          <w:b/>
          <w:bCs/>
          <w:sz w:val="32"/>
          <w:szCs w:val="32"/>
          <w:lang w:val="en-IN"/>
        </w:rPr>
        <w:br/>
      </w:r>
      <w:r w:rsidRPr="00522CCF">
        <w:rPr>
          <w:sz w:val="28"/>
          <w:szCs w:val="28"/>
          <w:lang w:val="en-IN"/>
        </w:rPr>
        <w:t xml:space="preserve">This line chart tracks price (y-axis, up to 350,000) over the months of 2025 (x-axis). The average price is 267,190. </w:t>
      </w:r>
    </w:p>
    <w:p w14:paraId="60DA88C2"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The price starts at around 300,000 in January, peaks slightly above this in March, then declines to a low near 250,000 around June/July.</w:t>
      </w:r>
    </w:p>
    <w:p w14:paraId="3ABD761C" w14:textId="77777777" w:rsidR="00522CCF" w:rsidRDefault="00522CCF" w:rsidP="00522CCF">
      <w:pPr>
        <w:pStyle w:val="BodyText"/>
        <w:numPr>
          <w:ilvl w:val="1"/>
          <w:numId w:val="18"/>
        </w:numPr>
        <w:jc w:val="both"/>
        <w:rPr>
          <w:sz w:val="28"/>
          <w:szCs w:val="28"/>
          <w:lang w:val="en-IN"/>
        </w:rPr>
      </w:pPr>
      <w:r w:rsidRPr="00522CCF">
        <w:rPr>
          <w:sz w:val="28"/>
          <w:szCs w:val="28"/>
          <w:lang w:val="en-IN"/>
        </w:rPr>
        <w:t>It rises again in September/October, nearing 300,000, before stabilizing around 267,190 by December.</w:t>
      </w:r>
      <w:r w:rsidRPr="00522CCF">
        <w:rPr>
          <w:sz w:val="28"/>
          <w:szCs w:val="28"/>
          <w:lang w:val="en-IN"/>
        </w:rPr>
        <w:br/>
        <w:t>This shows a general downward trend with a mid-year dip and a late-year recovery, possibly reflecting seasonal trends or market adjustments.</w:t>
      </w:r>
    </w:p>
    <w:p w14:paraId="56E357E8" w14:textId="77777777" w:rsidR="00522CCF" w:rsidRPr="00522CCF" w:rsidRDefault="00522CCF" w:rsidP="00C66836">
      <w:pPr>
        <w:pStyle w:val="BodyText"/>
        <w:ind w:left="1440"/>
        <w:jc w:val="both"/>
        <w:rPr>
          <w:sz w:val="28"/>
          <w:szCs w:val="28"/>
          <w:lang w:val="en-IN"/>
        </w:rPr>
      </w:pPr>
    </w:p>
    <w:p w14:paraId="70D4C50E" w14:textId="77777777" w:rsidR="00522CCF" w:rsidRDefault="00522CCF" w:rsidP="00522CCF">
      <w:pPr>
        <w:pStyle w:val="BodyText"/>
        <w:numPr>
          <w:ilvl w:val="0"/>
          <w:numId w:val="18"/>
        </w:numPr>
        <w:rPr>
          <w:sz w:val="28"/>
          <w:szCs w:val="28"/>
          <w:lang w:val="en-IN"/>
        </w:rPr>
      </w:pPr>
      <w:r w:rsidRPr="00522CCF">
        <w:rPr>
          <w:b/>
          <w:bCs/>
          <w:sz w:val="32"/>
          <w:szCs w:val="32"/>
          <w:lang w:val="en-IN"/>
        </w:rPr>
        <w:t>Category Sales (Bottom Left - Horizontal Bar Chart)</w:t>
      </w:r>
    </w:p>
    <w:p w14:paraId="1168DEC6" w14:textId="5BBCB0BA" w:rsidR="00522CCF" w:rsidRPr="00522CCF" w:rsidRDefault="00522CCF" w:rsidP="00522CCF">
      <w:pPr>
        <w:pStyle w:val="BodyText"/>
        <w:ind w:left="720"/>
        <w:rPr>
          <w:sz w:val="28"/>
          <w:szCs w:val="28"/>
          <w:lang w:val="en-IN"/>
        </w:rPr>
      </w:pPr>
      <w:r w:rsidRPr="00522CCF">
        <w:rPr>
          <w:sz w:val="28"/>
          <w:szCs w:val="28"/>
          <w:lang w:val="en-IN"/>
        </w:rPr>
        <w:br/>
        <w:t xml:space="preserve">This bar chart displays average prices across product categories (y-axis) against price (x-axis, up to 200,000). </w:t>
      </w:r>
    </w:p>
    <w:p w14:paraId="7F371A28"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Home Appliances have the highest average price at 184,400, followed by Electronics at 162,840, both in the "In" category (likely above a 100,000 threshold).</w:t>
      </w:r>
    </w:p>
    <w:p w14:paraId="7FF374A0" w14:textId="77777777" w:rsidR="00522CCF" w:rsidRDefault="00522CCF" w:rsidP="00522CCF">
      <w:pPr>
        <w:pStyle w:val="BodyText"/>
        <w:numPr>
          <w:ilvl w:val="1"/>
          <w:numId w:val="18"/>
        </w:numPr>
        <w:jc w:val="both"/>
        <w:rPr>
          <w:sz w:val="28"/>
          <w:szCs w:val="28"/>
          <w:lang w:val="en-IN"/>
        </w:rPr>
      </w:pPr>
      <w:r w:rsidRPr="00522CCF">
        <w:rPr>
          <w:sz w:val="28"/>
          <w:szCs w:val="28"/>
          <w:lang w:val="en-IN"/>
        </w:rPr>
        <w:t>Footwear (61,860), Clothing (59,200), and Books (15,015) are in the "Out" category, indicating lower prices.</w:t>
      </w:r>
      <w:r w:rsidRPr="00522CCF">
        <w:rPr>
          <w:sz w:val="28"/>
          <w:szCs w:val="28"/>
          <w:lang w:val="en-IN"/>
        </w:rPr>
        <w:br/>
        <w:t>This highlights a price divide, with Home Appliances and Electronics being premium categories, while Books are the least expensive.</w:t>
      </w:r>
    </w:p>
    <w:p w14:paraId="664857E7" w14:textId="77777777" w:rsidR="00C66836" w:rsidRDefault="00C66836" w:rsidP="00C66836">
      <w:pPr>
        <w:pStyle w:val="BodyText"/>
        <w:ind w:left="720"/>
        <w:rPr>
          <w:sz w:val="28"/>
          <w:szCs w:val="28"/>
          <w:lang w:val="en-IN"/>
        </w:rPr>
      </w:pPr>
    </w:p>
    <w:p w14:paraId="4BF6FE21" w14:textId="52BFBFF6" w:rsidR="00C66836" w:rsidRPr="00C66836" w:rsidRDefault="00522CCF" w:rsidP="00C66836">
      <w:pPr>
        <w:pStyle w:val="BodyText"/>
        <w:numPr>
          <w:ilvl w:val="0"/>
          <w:numId w:val="18"/>
        </w:numPr>
        <w:rPr>
          <w:sz w:val="28"/>
          <w:szCs w:val="28"/>
          <w:lang w:val="en-IN"/>
        </w:rPr>
      </w:pPr>
      <w:r w:rsidRPr="00522CCF">
        <w:rPr>
          <w:b/>
          <w:bCs/>
          <w:sz w:val="32"/>
          <w:szCs w:val="32"/>
          <w:lang w:val="en-IN"/>
        </w:rPr>
        <w:lastRenderedPageBreak/>
        <w:t>Order Details (Bottom Right - Heatmap)</w:t>
      </w:r>
    </w:p>
    <w:p w14:paraId="39CE2752" w14:textId="4940F6AA" w:rsidR="00522CCF" w:rsidRDefault="00522CCF" w:rsidP="00522CCF">
      <w:pPr>
        <w:pStyle w:val="BodyText"/>
        <w:ind w:left="720"/>
        <w:rPr>
          <w:sz w:val="28"/>
          <w:szCs w:val="28"/>
          <w:lang w:val="en-IN"/>
        </w:rPr>
      </w:pPr>
      <w:r w:rsidRPr="00522CCF">
        <w:rPr>
          <w:sz w:val="28"/>
          <w:szCs w:val="28"/>
          <w:lang w:val="en-IN"/>
        </w:rPr>
        <w:br/>
        <w:t xml:space="preserve">This heatmap shows transaction quantities (1 to 4) across payment methods (rows) and customer locations (columns). </w:t>
      </w:r>
    </w:p>
    <w:p w14:paraId="15B0B614" w14:textId="77777777" w:rsidR="00C66836" w:rsidRDefault="00C66836" w:rsidP="00522CCF">
      <w:pPr>
        <w:pStyle w:val="BodyText"/>
        <w:ind w:left="720"/>
        <w:rPr>
          <w:sz w:val="28"/>
          <w:szCs w:val="28"/>
          <w:lang w:val="en-IN"/>
        </w:rPr>
      </w:pPr>
    </w:p>
    <w:p w14:paraId="0FDB32DE" w14:textId="77777777" w:rsidR="00C66836" w:rsidRPr="00522CCF" w:rsidRDefault="00C66836" w:rsidP="00522CCF">
      <w:pPr>
        <w:pStyle w:val="BodyText"/>
        <w:ind w:left="720"/>
        <w:rPr>
          <w:sz w:val="28"/>
          <w:szCs w:val="28"/>
          <w:lang w:val="en-IN"/>
        </w:rPr>
      </w:pPr>
    </w:p>
    <w:p w14:paraId="34C73EBF"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Credit Card: Dominant in Boston (quantity 4) and San Francisco (quantity 3), with moderate use in Miami, Los Angeles, and Seattle (1-2). A Boston transaction (Order ID ORD0016, price 1,200) is highlighted.</w:t>
      </w:r>
    </w:p>
    <w:p w14:paraId="5ABEE393"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Amazon Pay: Used in Los Angeles and New York (quantity 1).</w:t>
      </w:r>
    </w:p>
    <w:p w14:paraId="682D7576"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PayPal: Used in Miami (quantity 2) and Houston (quantity 1).</w:t>
      </w:r>
    </w:p>
    <w:p w14:paraId="330021C2" w14:textId="77777777" w:rsidR="00522CCF" w:rsidRPr="00522CCF" w:rsidRDefault="00522CCF" w:rsidP="00522CCF">
      <w:pPr>
        <w:pStyle w:val="BodyText"/>
        <w:numPr>
          <w:ilvl w:val="1"/>
          <w:numId w:val="18"/>
        </w:numPr>
        <w:jc w:val="both"/>
        <w:rPr>
          <w:sz w:val="28"/>
          <w:szCs w:val="28"/>
          <w:lang w:val="en-IN"/>
        </w:rPr>
      </w:pPr>
      <w:r w:rsidRPr="00522CCF">
        <w:rPr>
          <w:sz w:val="28"/>
          <w:szCs w:val="28"/>
          <w:lang w:val="en-IN"/>
        </w:rPr>
        <w:t>Debit Card: Used in New York (quantity 2), Seattle, and San Francisco (quantity 1).</w:t>
      </w:r>
    </w:p>
    <w:p w14:paraId="6FBDF85F" w14:textId="77777777" w:rsidR="00522CCF" w:rsidRDefault="00522CCF" w:rsidP="00522CCF">
      <w:pPr>
        <w:pStyle w:val="BodyText"/>
        <w:numPr>
          <w:ilvl w:val="1"/>
          <w:numId w:val="18"/>
        </w:numPr>
        <w:jc w:val="both"/>
        <w:rPr>
          <w:sz w:val="28"/>
          <w:szCs w:val="28"/>
          <w:lang w:val="en-IN"/>
        </w:rPr>
      </w:pPr>
      <w:r w:rsidRPr="00522CCF">
        <w:rPr>
          <w:sz w:val="28"/>
          <w:szCs w:val="28"/>
          <w:lang w:val="en-IN"/>
        </w:rPr>
        <w:t>Gift Card: Used only in San Francisco (quantity 1).</w:t>
      </w:r>
      <w:r w:rsidRPr="00522CCF">
        <w:rPr>
          <w:sz w:val="28"/>
          <w:szCs w:val="28"/>
          <w:lang w:val="en-IN"/>
        </w:rPr>
        <w:br/>
        <w:t>Credit Card is the most popular payment method, especially in Boston, while other methods show limited regional usage.</w:t>
      </w:r>
    </w:p>
    <w:p w14:paraId="1E0AA616" w14:textId="77777777" w:rsidR="00522CCF" w:rsidRDefault="00522CCF" w:rsidP="00522CCF">
      <w:pPr>
        <w:pStyle w:val="BodyText"/>
        <w:ind w:left="1440"/>
        <w:jc w:val="both"/>
        <w:rPr>
          <w:sz w:val="28"/>
          <w:szCs w:val="28"/>
          <w:lang w:val="en-IN"/>
        </w:rPr>
      </w:pPr>
    </w:p>
    <w:p w14:paraId="20339DEB" w14:textId="77777777" w:rsidR="00522CCF" w:rsidRDefault="00522CCF" w:rsidP="00522CCF">
      <w:pPr>
        <w:pStyle w:val="BodyText"/>
        <w:ind w:left="1440"/>
        <w:jc w:val="both"/>
        <w:rPr>
          <w:sz w:val="28"/>
          <w:szCs w:val="28"/>
          <w:lang w:val="en-IN"/>
        </w:rPr>
      </w:pPr>
    </w:p>
    <w:p w14:paraId="71F10262" w14:textId="77777777" w:rsidR="00C66836" w:rsidRDefault="00C66836" w:rsidP="00522CCF">
      <w:pPr>
        <w:pStyle w:val="BodyText"/>
        <w:ind w:left="1440"/>
        <w:jc w:val="both"/>
        <w:rPr>
          <w:sz w:val="28"/>
          <w:szCs w:val="28"/>
          <w:lang w:val="en-IN"/>
        </w:rPr>
      </w:pPr>
    </w:p>
    <w:p w14:paraId="6F20213D" w14:textId="77777777" w:rsidR="00C66836" w:rsidRDefault="00C66836" w:rsidP="00522CCF">
      <w:pPr>
        <w:pStyle w:val="BodyText"/>
        <w:ind w:left="1440"/>
        <w:jc w:val="both"/>
        <w:rPr>
          <w:sz w:val="28"/>
          <w:szCs w:val="28"/>
          <w:lang w:val="en-IN"/>
        </w:rPr>
      </w:pPr>
    </w:p>
    <w:p w14:paraId="50827C39" w14:textId="77777777" w:rsidR="00C66836" w:rsidRDefault="00C66836" w:rsidP="00522CCF">
      <w:pPr>
        <w:pStyle w:val="BodyText"/>
        <w:ind w:left="1440"/>
        <w:jc w:val="both"/>
        <w:rPr>
          <w:sz w:val="28"/>
          <w:szCs w:val="28"/>
          <w:lang w:val="en-IN"/>
        </w:rPr>
      </w:pPr>
    </w:p>
    <w:p w14:paraId="2E769FC4" w14:textId="77777777" w:rsidR="00C66836" w:rsidRDefault="00C66836" w:rsidP="00522CCF">
      <w:pPr>
        <w:pStyle w:val="BodyText"/>
        <w:ind w:left="1440"/>
        <w:jc w:val="both"/>
        <w:rPr>
          <w:sz w:val="28"/>
          <w:szCs w:val="28"/>
          <w:lang w:val="en-IN"/>
        </w:rPr>
      </w:pPr>
    </w:p>
    <w:p w14:paraId="6B80F943" w14:textId="77777777" w:rsidR="00C66836" w:rsidRDefault="00C66836" w:rsidP="00522CCF">
      <w:pPr>
        <w:pStyle w:val="BodyText"/>
        <w:ind w:left="1440"/>
        <w:jc w:val="both"/>
        <w:rPr>
          <w:sz w:val="28"/>
          <w:szCs w:val="28"/>
          <w:lang w:val="en-IN"/>
        </w:rPr>
      </w:pPr>
    </w:p>
    <w:p w14:paraId="44AA6E1A" w14:textId="77777777" w:rsidR="00C66836" w:rsidRDefault="00C66836" w:rsidP="00522CCF">
      <w:pPr>
        <w:pStyle w:val="BodyText"/>
        <w:ind w:left="1440"/>
        <w:jc w:val="both"/>
        <w:rPr>
          <w:sz w:val="28"/>
          <w:szCs w:val="28"/>
          <w:lang w:val="en-IN"/>
        </w:rPr>
      </w:pPr>
    </w:p>
    <w:p w14:paraId="3D6D8D98" w14:textId="77777777" w:rsidR="00C66836" w:rsidRDefault="00C66836" w:rsidP="00522CCF">
      <w:pPr>
        <w:pStyle w:val="BodyText"/>
        <w:ind w:left="1440"/>
        <w:jc w:val="both"/>
        <w:rPr>
          <w:sz w:val="28"/>
          <w:szCs w:val="28"/>
          <w:lang w:val="en-IN"/>
        </w:rPr>
      </w:pPr>
    </w:p>
    <w:p w14:paraId="104B1FE4" w14:textId="77777777" w:rsidR="00C66836" w:rsidRDefault="00C66836" w:rsidP="00522CCF">
      <w:pPr>
        <w:pStyle w:val="BodyText"/>
        <w:ind w:left="1440"/>
        <w:jc w:val="both"/>
        <w:rPr>
          <w:sz w:val="28"/>
          <w:szCs w:val="28"/>
          <w:lang w:val="en-IN"/>
        </w:rPr>
      </w:pPr>
    </w:p>
    <w:p w14:paraId="53AF0AF6" w14:textId="77777777" w:rsidR="00C66836" w:rsidRDefault="00C66836" w:rsidP="00522CCF">
      <w:pPr>
        <w:pStyle w:val="BodyText"/>
        <w:ind w:left="1440"/>
        <w:jc w:val="both"/>
        <w:rPr>
          <w:sz w:val="28"/>
          <w:szCs w:val="28"/>
          <w:lang w:val="en-IN"/>
        </w:rPr>
      </w:pPr>
    </w:p>
    <w:p w14:paraId="0E92FE2B" w14:textId="77777777" w:rsidR="00C66836" w:rsidRDefault="00C66836" w:rsidP="0095326B">
      <w:pPr>
        <w:pStyle w:val="BodyText"/>
        <w:jc w:val="both"/>
        <w:rPr>
          <w:sz w:val="28"/>
          <w:szCs w:val="28"/>
          <w:lang w:val="en-IN"/>
        </w:rPr>
      </w:pPr>
    </w:p>
    <w:p w14:paraId="6CED1787" w14:textId="77777777" w:rsidR="00C66836" w:rsidRDefault="00C66836" w:rsidP="00522CCF">
      <w:pPr>
        <w:pStyle w:val="BodyText"/>
        <w:ind w:left="1440"/>
        <w:jc w:val="both"/>
        <w:rPr>
          <w:sz w:val="28"/>
          <w:szCs w:val="28"/>
          <w:lang w:val="en-IN"/>
        </w:rPr>
      </w:pPr>
    </w:p>
    <w:p w14:paraId="21142C56" w14:textId="77777777" w:rsidR="00AE412B" w:rsidRDefault="00AE412B" w:rsidP="00522CCF">
      <w:pPr>
        <w:pStyle w:val="BodyText"/>
        <w:ind w:left="1440"/>
        <w:jc w:val="both"/>
        <w:rPr>
          <w:sz w:val="28"/>
          <w:szCs w:val="28"/>
          <w:lang w:val="en-IN"/>
        </w:rPr>
      </w:pPr>
    </w:p>
    <w:p w14:paraId="4F2E7412" w14:textId="10A352FD" w:rsidR="00522CCF" w:rsidRDefault="00E37FEF" w:rsidP="00522CCF">
      <w:pPr>
        <w:pStyle w:val="BodyText"/>
        <w:jc w:val="both"/>
        <w:rPr>
          <w:b/>
          <w:bCs/>
          <w:sz w:val="32"/>
          <w:szCs w:val="32"/>
          <w:lang w:val="en-IN"/>
        </w:rPr>
      </w:pPr>
      <w:r>
        <w:rPr>
          <w:b/>
          <w:bCs/>
          <w:sz w:val="32"/>
          <w:szCs w:val="32"/>
          <w:lang w:val="en-IN"/>
        </w:rPr>
        <w:t>CON</w:t>
      </w:r>
      <w:r w:rsidR="003A64A5">
        <w:rPr>
          <w:b/>
          <w:bCs/>
          <w:sz w:val="32"/>
          <w:szCs w:val="32"/>
          <w:lang w:val="en-IN"/>
        </w:rPr>
        <w:t>CLUSION:</w:t>
      </w:r>
    </w:p>
    <w:p w14:paraId="5291E720" w14:textId="77777777" w:rsidR="003A64A5" w:rsidRPr="00522CCF" w:rsidRDefault="003A64A5" w:rsidP="00522CCF">
      <w:pPr>
        <w:pStyle w:val="BodyText"/>
        <w:jc w:val="both"/>
        <w:rPr>
          <w:sz w:val="28"/>
          <w:szCs w:val="28"/>
          <w:lang w:val="en-IN"/>
        </w:rPr>
      </w:pPr>
    </w:p>
    <w:p w14:paraId="755C93E3" w14:textId="040978A9" w:rsidR="00522CCF" w:rsidRPr="00522CCF" w:rsidRDefault="00522CCF" w:rsidP="00522CCF">
      <w:pPr>
        <w:pStyle w:val="BodyText"/>
        <w:rPr>
          <w:b/>
          <w:bCs/>
          <w:sz w:val="32"/>
          <w:szCs w:val="32"/>
          <w:lang w:val="en-IN"/>
        </w:rPr>
      </w:pPr>
      <w:r>
        <w:rPr>
          <w:sz w:val="28"/>
          <w:szCs w:val="28"/>
          <w:lang w:val="en-IN"/>
        </w:rPr>
        <w:t xml:space="preserve">   </w:t>
      </w:r>
      <w:r w:rsidRPr="00522CCF">
        <w:rPr>
          <w:sz w:val="28"/>
          <w:szCs w:val="28"/>
          <w:lang w:val="en-IN"/>
        </w:rPr>
        <w:t>The dashboard reveals that T-Shirts and Smartphones drive the highest sales, with Home Appliances and Electronics being the most expensive categories. Sales prices fluctuate over 2025, with a dip mid-year and recovery later. Clustering shows that higher activity often correlates with higher sales (Cluster 3), but some segments (Cluster 1) have high activity with low revenue. Credit Cards dominate payment methods, particularly in Boston and San Francisco, while other methods are less common. This data can guide inventory focus, pricing strategies, and regional marketing efforts.</w:t>
      </w:r>
    </w:p>
    <w:p w14:paraId="02D65709" w14:textId="77777777" w:rsidR="00522CCF" w:rsidRPr="00522CCF" w:rsidRDefault="00522CCF" w:rsidP="00522CCF">
      <w:pPr>
        <w:pStyle w:val="BodyText"/>
        <w:jc w:val="both"/>
        <w:rPr>
          <w:sz w:val="28"/>
          <w:szCs w:val="28"/>
          <w:lang w:val="en-IN"/>
        </w:rPr>
      </w:pPr>
    </w:p>
    <w:sectPr w:rsidR="00522CCF" w:rsidRPr="00522CCF" w:rsidSect="00DD51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DBE"/>
    <w:multiLevelType w:val="multilevel"/>
    <w:tmpl w:val="596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29F0"/>
    <w:multiLevelType w:val="hybridMultilevel"/>
    <w:tmpl w:val="416C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52FDB"/>
    <w:multiLevelType w:val="multilevel"/>
    <w:tmpl w:val="2924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16573"/>
    <w:multiLevelType w:val="multilevel"/>
    <w:tmpl w:val="867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62A1B"/>
    <w:multiLevelType w:val="multilevel"/>
    <w:tmpl w:val="1F9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4B38"/>
    <w:multiLevelType w:val="multilevel"/>
    <w:tmpl w:val="E148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47BAE"/>
    <w:multiLevelType w:val="hybridMultilevel"/>
    <w:tmpl w:val="44F83B72"/>
    <w:lvl w:ilvl="0" w:tplc="40090009">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2D5727EF"/>
    <w:multiLevelType w:val="hybridMultilevel"/>
    <w:tmpl w:val="8B48AA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5027B1"/>
    <w:multiLevelType w:val="hybridMultilevel"/>
    <w:tmpl w:val="E72AF4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4D0A15"/>
    <w:multiLevelType w:val="multilevel"/>
    <w:tmpl w:val="DDD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D27D5"/>
    <w:multiLevelType w:val="hybridMultilevel"/>
    <w:tmpl w:val="0B8081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5D25FF"/>
    <w:multiLevelType w:val="multilevel"/>
    <w:tmpl w:val="B506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F4CBA"/>
    <w:multiLevelType w:val="multilevel"/>
    <w:tmpl w:val="9FF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869B3"/>
    <w:multiLevelType w:val="hybridMultilevel"/>
    <w:tmpl w:val="9912BED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4A33CCB"/>
    <w:multiLevelType w:val="multilevel"/>
    <w:tmpl w:val="F93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850E8"/>
    <w:multiLevelType w:val="multilevel"/>
    <w:tmpl w:val="53D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21F4F"/>
    <w:multiLevelType w:val="hybridMultilevel"/>
    <w:tmpl w:val="7AEE5B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1B652D"/>
    <w:multiLevelType w:val="multilevel"/>
    <w:tmpl w:val="79A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19589">
    <w:abstractNumId w:val="1"/>
  </w:num>
  <w:num w:numId="2" w16cid:durableId="1087924799">
    <w:abstractNumId w:val="16"/>
  </w:num>
  <w:num w:numId="3" w16cid:durableId="1596088847">
    <w:abstractNumId w:val="10"/>
  </w:num>
  <w:num w:numId="4" w16cid:durableId="1362589340">
    <w:abstractNumId w:val="5"/>
  </w:num>
  <w:num w:numId="5" w16cid:durableId="1546331414">
    <w:abstractNumId w:val="15"/>
  </w:num>
  <w:num w:numId="6" w16cid:durableId="733041312">
    <w:abstractNumId w:val="9"/>
  </w:num>
  <w:num w:numId="7" w16cid:durableId="417602287">
    <w:abstractNumId w:val="2"/>
  </w:num>
  <w:num w:numId="8" w16cid:durableId="1976914069">
    <w:abstractNumId w:val="0"/>
  </w:num>
  <w:num w:numId="9" w16cid:durableId="852036115">
    <w:abstractNumId w:val="3"/>
  </w:num>
  <w:num w:numId="10" w16cid:durableId="224417563">
    <w:abstractNumId w:val="4"/>
  </w:num>
  <w:num w:numId="11" w16cid:durableId="1732197390">
    <w:abstractNumId w:val="6"/>
  </w:num>
  <w:num w:numId="12" w16cid:durableId="651370289">
    <w:abstractNumId w:val="13"/>
  </w:num>
  <w:num w:numId="13" w16cid:durableId="1019812182">
    <w:abstractNumId w:val="8"/>
  </w:num>
  <w:num w:numId="14" w16cid:durableId="1230532936">
    <w:abstractNumId w:val="7"/>
  </w:num>
  <w:num w:numId="15" w16cid:durableId="445318342">
    <w:abstractNumId w:val="12"/>
  </w:num>
  <w:num w:numId="16" w16cid:durableId="945818884">
    <w:abstractNumId w:val="14"/>
  </w:num>
  <w:num w:numId="17" w16cid:durableId="632953461">
    <w:abstractNumId w:val="17"/>
  </w:num>
  <w:num w:numId="18" w16cid:durableId="6000647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AE"/>
    <w:rsid w:val="000250A5"/>
    <w:rsid w:val="000370A2"/>
    <w:rsid w:val="00041345"/>
    <w:rsid w:val="000F42EA"/>
    <w:rsid w:val="00101051"/>
    <w:rsid w:val="00156ED3"/>
    <w:rsid w:val="001648B3"/>
    <w:rsid w:val="00194EBE"/>
    <w:rsid w:val="001B2F51"/>
    <w:rsid w:val="00202158"/>
    <w:rsid w:val="002654E7"/>
    <w:rsid w:val="002673FB"/>
    <w:rsid w:val="002E0E35"/>
    <w:rsid w:val="002F593F"/>
    <w:rsid w:val="003152E3"/>
    <w:rsid w:val="003A64A5"/>
    <w:rsid w:val="00450BC5"/>
    <w:rsid w:val="004D0F0F"/>
    <w:rsid w:val="004E040F"/>
    <w:rsid w:val="005043AE"/>
    <w:rsid w:val="00522CCF"/>
    <w:rsid w:val="005D1F9E"/>
    <w:rsid w:val="005F278C"/>
    <w:rsid w:val="00672725"/>
    <w:rsid w:val="006A3FF0"/>
    <w:rsid w:val="006D42E6"/>
    <w:rsid w:val="00852F84"/>
    <w:rsid w:val="008675D9"/>
    <w:rsid w:val="0095326B"/>
    <w:rsid w:val="009D360C"/>
    <w:rsid w:val="00AE412B"/>
    <w:rsid w:val="00B55281"/>
    <w:rsid w:val="00B658EE"/>
    <w:rsid w:val="00B86A60"/>
    <w:rsid w:val="00BC7783"/>
    <w:rsid w:val="00C52E2E"/>
    <w:rsid w:val="00C626F9"/>
    <w:rsid w:val="00C66836"/>
    <w:rsid w:val="00CC5AB5"/>
    <w:rsid w:val="00CD1BF6"/>
    <w:rsid w:val="00D4081D"/>
    <w:rsid w:val="00D526E8"/>
    <w:rsid w:val="00DD25F4"/>
    <w:rsid w:val="00DD51F2"/>
    <w:rsid w:val="00DD7A66"/>
    <w:rsid w:val="00E37FEF"/>
    <w:rsid w:val="00E66E1A"/>
    <w:rsid w:val="00EB29A4"/>
    <w:rsid w:val="00FA0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0B2A"/>
  <w15:chartTrackingRefBased/>
  <w15:docId w15:val="{3A115207-FA35-4D51-B392-AEDC869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1648B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8694">
      <w:bodyDiv w:val="1"/>
      <w:marLeft w:val="0"/>
      <w:marRight w:val="0"/>
      <w:marTop w:val="0"/>
      <w:marBottom w:val="0"/>
      <w:divBdr>
        <w:top w:val="none" w:sz="0" w:space="0" w:color="auto"/>
        <w:left w:val="none" w:sz="0" w:space="0" w:color="auto"/>
        <w:bottom w:val="none" w:sz="0" w:space="0" w:color="auto"/>
        <w:right w:val="none" w:sz="0" w:space="0" w:color="auto"/>
      </w:divBdr>
    </w:div>
    <w:div w:id="110561697">
      <w:bodyDiv w:val="1"/>
      <w:marLeft w:val="0"/>
      <w:marRight w:val="0"/>
      <w:marTop w:val="0"/>
      <w:marBottom w:val="0"/>
      <w:divBdr>
        <w:top w:val="none" w:sz="0" w:space="0" w:color="auto"/>
        <w:left w:val="none" w:sz="0" w:space="0" w:color="auto"/>
        <w:bottom w:val="none" w:sz="0" w:space="0" w:color="auto"/>
        <w:right w:val="none" w:sz="0" w:space="0" w:color="auto"/>
      </w:divBdr>
    </w:div>
    <w:div w:id="122384064">
      <w:bodyDiv w:val="1"/>
      <w:marLeft w:val="0"/>
      <w:marRight w:val="0"/>
      <w:marTop w:val="0"/>
      <w:marBottom w:val="0"/>
      <w:divBdr>
        <w:top w:val="none" w:sz="0" w:space="0" w:color="auto"/>
        <w:left w:val="none" w:sz="0" w:space="0" w:color="auto"/>
        <w:bottom w:val="none" w:sz="0" w:space="0" w:color="auto"/>
        <w:right w:val="none" w:sz="0" w:space="0" w:color="auto"/>
      </w:divBdr>
      <w:divsChild>
        <w:div w:id="1314485106">
          <w:marLeft w:val="0"/>
          <w:marRight w:val="0"/>
          <w:marTop w:val="0"/>
          <w:marBottom w:val="0"/>
          <w:divBdr>
            <w:top w:val="none" w:sz="0" w:space="0" w:color="auto"/>
            <w:left w:val="none" w:sz="0" w:space="0" w:color="auto"/>
            <w:bottom w:val="none" w:sz="0" w:space="0" w:color="auto"/>
            <w:right w:val="none" w:sz="0" w:space="0" w:color="auto"/>
          </w:divBdr>
        </w:div>
      </w:divsChild>
    </w:div>
    <w:div w:id="578446137">
      <w:bodyDiv w:val="1"/>
      <w:marLeft w:val="0"/>
      <w:marRight w:val="0"/>
      <w:marTop w:val="0"/>
      <w:marBottom w:val="0"/>
      <w:divBdr>
        <w:top w:val="none" w:sz="0" w:space="0" w:color="auto"/>
        <w:left w:val="none" w:sz="0" w:space="0" w:color="auto"/>
        <w:bottom w:val="none" w:sz="0" w:space="0" w:color="auto"/>
        <w:right w:val="none" w:sz="0" w:space="0" w:color="auto"/>
      </w:divBdr>
    </w:div>
    <w:div w:id="579295323">
      <w:bodyDiv w:val="1"/>
      <w:marLeft w:val="0"/>
      <w:marRight w:val="0"/>
      <w:marTop w:val="0"/>
      <w:marBottom w:val="0"/>
      <w:divBdr>
        <w:top w:val="none" w:sz="0" w:space="0" w:color="auto"/>
        <w:left w:val="none" w:sz="0" w:space="0" w:color="auto"/>
        <w:bottom w:val="none" w:sz="0" w:space="0" w:color="auto"/>
        <w:right w:val="none" w:sz="0" w:space="0" w:color="auto"/>
      </w:divBdr>
      <w:divsChild>
        <w:div w:id="839586371">
          <w:marLeft w:val="0"/>
          <w:marRight w:val="0"/>
          <w:marTop w:val="0"/>
          <w:marBottom w:val="0"/>
          <w:divBdr>
            <w:top w:val="none" w:sz="0" w:space="0" w:color="auto"/>
            <w:left w:val="none" w:sz="0" w:space="0" w:color="auto"/>
            <w:bottom w:val="none" w:sz="0" w:space="0" w:color="auto"/>
            <w:right w:val="none" w:sz="0" w:space="0" w:color="auto"/>
          </w:divBdr>
        </w:div>
      </w:divsChild>
    </w:div>
    <w:div w:id="586698545">
      <w:bodyDiv w:val="1"/>
      <w:marLeft w:val="0"/>
      <w:marRight w:val="0"/>
      <w:marTop w:val="0"/>
      <w:marBottom w:val="0"/>
      <w:divBdr>
        <w:top w:val="none" w:sz="0" w:space="0" w:color="auto"/>
        <w:left w:val="none" w:sz="0" w:space="0" w:color="auto"/>
        <w:bottom w:val="none" w:sz="0" w:space="0" w:color="auto"/>
        <w:right w:val="none" w:sz="0" w:space="0" w:color="auto"/>
      </w:divBdr>
      <w:divsChild>
        <w:div w:id="165097306">
          <w:marLeft w:val="0"/>
          <w:marRight w:val="0"/>
          <w:marTop w:val="0"/>
          <w:marBottom w:val="0"/>
          <w:divBdr>
            <w:top w:val="none" w:sz="0" w:space="0" w:color="auto"/>
            <w:left w:val="none" w:sz="0" w:space="0" w:color="auto"/>
            <w:bottom w:val="none" w:sz="0" w:space="0" w:color="auto"/>
            <w:right w:val="none" w:sz="0" w:space="0" w:color="auto"/>
          </w:divBdr>
        </w:div>
      </w:divsChild>
    </w:div>
    <w:div w:id="599677295">
      <w:bodyDiv w:val="1"/>
      <w:marLeft w:val="0"/>
      <w:marRight w:val="0"/>
      <w:marTop w:val="0"/>
      <w:marBottom w:val="0"/>
      <w:divBdr>
        <w:top w:val="none" w:sz="0" w:space="0" w:color="auto"/>
        <w:left w:val="none" w:sz="0" w:space="0" w:color="auto"/>
        <w:bottom w:val="none" w:sz="0" w:space="0" w:color="auto"/>
        <w:right w:val="none" w:sz="0" w:space="0" w:color="auto"/>
      </w:divBdr>
    </w:div>
    <w:div w:id="641424660">
      <w:bodyDiv w:val="1"/>
      <w:marLeft w:val="0"/>
      <w:marRight w:val="0"/>
      <w:marTop w:val="0"/>
      <w:marBottom w:val="0"/>
      <w:divBdr>
        <w:top w:val="none" w:sz="0" w:space="0" w:color="auto"/>
        <w:left w:val="none" w:sz="0" w:space="0" w:color="auto"/>
        <w:bottom w:val="none" w:sz="0" w:space="0" w:color="auto"/>
        <w:right w:val="none" w:sz="0" w:space="0" w:color="auto"/>
      </w:divBdr>
      <w:divsChild>
        <w:div w:id="1280794828">
          <w:marLeft w:val="0"/>
          <w:marRight w:val="0"/>
          <w:marTop w:val="0"/>
          <w:marBottom w:val="0"/>
          <w:divBdr>
            <w:top w:val="none" w:sz="0" w:space="0" w:color="auto"/>
            <w:left w:val="none" w:sz="0" w:space="0" w:color="auto"/>
            <w:bottom w:val="none" w:sz="0" w:space="0" w:color="auto"/>
            <w:right w:val="none" w:sz="0" w:space="0" w:color="auto"/>
          </w:divBdr>
        </w:div>
      </w:divsChild>
    </w:div>
    <w:div w:id="656684904">
      <w:bodyDiv w:val="1"/>
      <w:marLeft w:val="0"/>
      <w:marRight w:val="0"/>
      <w:marTop w:val="0"/>
      <w:marBottom w:val="0"/>
      <w:divBdr>
        <w:top w:val="none" w:sz="0" w:space="0" w:color="auto"/>
        <w:left w:val="none" w:sz="0" w:space="0" w:color="auto"/>
        <w:bottom w:val="none" w:sz="0" w:space="0" w:color="auto"/>
        <w:right w:val="none" w:sz="0" w:space="0" w:color="auto"/>
      </w:divBdr>
      <w:divsChild>
        <w:div w:id="1783911467">
          <w:marLeft w:val="0"/>
          <w:marRight w:val="0"/>
          <w:marTop w:val="0"/>
          <w:marBottom w:val="0"/>
          <w:divBdr>
            <w:top w:val="none" w:sz="0" w:space="0" w:color="auto"/>
            <w:left w:val="none" w:sz="0" w:space="0" w:color="auto"/>
            <w:bottom w:val="none" w:sz="0" w:space="0" w:color="auto"/>
            <w:right w:val="none" w:sz="0" w:space="0" w:color="auto"/>
          </w:divBdr>
        </w:div>
      </w:divsChild>
    </w:div>
    <w:div w:id="672876462">
      <w:bodyDiv w:val="1"/>
      <w:marLeft w:val="0"/>
      <w:marRight w:val="0"/>
      <w:marTop w:val="0"/>
      <w:marBottom w:val="0"/>
      <w:divBdr>
        <w:top w:val="none" w:sz="0" w:space="0" w:color="auto"/>
        <w:left w:val="none" w:sz="0" w:space="0" w:color="auto"/>
        <w:bottom w:val="none" w:sz="0" w:space="0" w:color="auto"/>
        <w:right w:val="none" w:sz="0" w:space="0" w:color="auto"/>
      </w:divBdr>
    </w:div>
    <w:div w:id="862010615">
      <w:bodyDiv w:val="1"/>
      <w:marLeft w:val="0"/>
      <w:marRight w:val="0"/>
      <w:marTop w:val="0"/>
      <w:marBottom w:val="0"/>
      <w:divBdr>
        <w:top w:val="none" w:sz="0" w:space="0" w:color="auto"/>
        <w:left w:val="none" w:sz="0" w:space="0" w:color="auto"/>
        <w:bottom w:val="none" w:sz="0" w:space="0" w:color="auto"/>
        <w:right w:val="none" w:sz="0" w:space="0" w:color="auto"/>
      </w:divBdr>
      <w:divsChild>
        <w:div w:id="1258098630">
          <w:marLeft w:val="0"/>
          <w:marRight w:val="0"/>
          <w:marTop w:val="0"/>
          <w:marBottom w:val="0"/>
          <w:divBdr>
            <w:top w:val="none" w:sz="0" w:space="0" w:color="auto"/>
            <w:left w:val="none" w:sz="0" w:space="0" w:color="auto"/>
            <w:bottom w:val="none" w:sz="0" w:space="0" w:color="auto"/>
            <w:right w:val="none" w:sz="0" w:space="0" w:color="auto"/>
          </w:divBdr>
        </w:div>
      </w:divsChild>
    </w:div>
    <w:div w:id="906457141">
      <w:bodyDiv w:val="1"/>
      <w:marLeft w:val="0"/>
      <w:marRight w:val="0"/>
      <w:marTop w:val="0"/>
      <w:marBottom w:val="0"/>
      <w:divBdr>
        <w:top w:val="none" w:sz="0" w:space="0" w:color="auto"/>
        <w:left w:val="none" w:sz="0" w:space="0" w:color="auto"/>
        <w:bottom w:val="none" w:sz="0" w:space="0" w:color="auto"/>
        <w:right w:val="none" w:sz="0" w:space="0" w:color="auto"/>
      </w:divBdr>
      <w:divsChild>
        <w:div w:id="1487477570">
          <w:marLeft w:val="0"/>
          <w:marRight w:val="0"/>
          <w:marTop w:val="0"/>
          <w:marBottom w:val="0"/>
          <w:divBdr>
            <w:top w:val="none" w:sz="0" w:space="0" w:color="auto"/>
            <w:left w:val="none" w:sz="0" w:space="0" w:color="auto"/>
            <w:bottom w:val="none" w:sz="0" w:space="0" w:color="auto"/>
            <w:right w:val="none" w:sz="0" w:space="0" w:color="auto"/>
          </w:divBdr>
        </w:div>
      </w:divsChild>
    </w:div>
    <w:div w:id="1206913129">
      <w:bodyDiv w:val="1"/>
      <w:marLeft w:val="0"/>
      <w:marRight w:val="0"/>
      <w:marTop w:val="0"/>
      <w:marBottom w:val="0"/>
      <w:divBdr>
        <w:top w:val="none" w:sz="0" w:space="0" w:color="auto"/>
        <w:left w:val="none" w:sz="0" w:space="0" w:color="auto"/>
        <w:bottom w:val="none" w:sz="0" w:space="0" w:color="auto"/>
        <w:right w:val="none" w:sz="0" w:space="0" w:color="auto"/>
      </w:divBdr>
      <w:divsChild>
        <w:div w:id="2077629020">
          <w:marLeft w:val="0"/>
          <w:marRight w:val="0"/>
          <w:marTop w:val="0"/>
          <w:marBottom w:val="0"/>
          <w:divBdr>
            <w:top w:val="none" w:sz="0" w:space="0" w:color="auto"/>
            <w:left w:val="none" w:sz="0" w:space="0" w:color="auto"/>
            <w:bottom w:val="none" w:sz="0" w:space="0" w:color="auto"/>
            <w:right w:val="none" w:sz="0" w:space="0" w:color="auto"/>
          </w:divBdr>
        </w:div>
      </w:divsChild>
    </w:div>
    <w:div w:id="1703168282">
      <w:bodyDiv w:val="1"/>
      <w:marLeft w:val="0"/>
      <w:marRight w:val="0"/>
      <w:marTop w:val="0"/>
      <w:marBottom w:val="0"/>
      <w:divBdr>
        <w:top w:val="none" w:sz="0" w:space="0" w:color="auto"/>
        <w:left w:val="none" w:sz="0" w:space="0" w:color="auto"/>
        <w:bottom w:val="none" w:sz="0" w:space="0" w:color="auto"/>
        <w:right w:val="none" w:sz="0" w:space="0" w:color="auto"/>
      </w:divBdr>
    </w:div>
    <w:div w:id="1878085061">
      <w:bodyDiv w:val="1"/>
      <w:marLeft w:val="0"/>
      <w:marRight w:val="0"/>
      <w:marTop w:val="0"/>
      <w:marBottom w:val="0"/>
      <w:divBdr>
        <w:top w:val="none" w:sz="0" w:space="0" w:color="auto"/>
        <w:left w:val="none" w:sz="0" w:space="0" w:color="auto"/>
        <w:bottom w:val="none" w:sz="0" w:space="0" w:color="auto"/>
        <w:right w:val="none" w:sz="0" w:space="0" w:color="auto"/>
      </w:divBdr>
      <w:divsChild>
        <w:div w:id="209270824">
          <w:marLeft w:val="0"/>
          <w:marRight w:val="0"/>
          <w:marTop w:val="0"/>
          <w:marBottom w:val="0"/>
          <w:divBdr>
            <w:top w:val="none" w:sz="0" w:space="0" w:color="auto"/>
            <w:left w:val="none" w:sz="0" w:space="0" w:color="auto"/>
            <w:bottom w:val="none" w:sz="0" w:space="0" w:color="auto"/>
            <w:right w:val="none" w:sz="0" w:space="0" w:color="auto"/>
          </w:divBdr>
        </w:div>
      </w:divsChild>
    </w:div>
    <w:div w:id="1917206169">
      <w:bodyDiv w:val="1"/>
      <w:marLeft w:val="0"/>
      <w:marRight w:val="0"/>
      <w:marTop w:val="0"/>
      <w:marBottom w:val="0"/>
      <w:divBdr>
        <w:top w:val="none" w:sz="0" w:space="0" w:color="auto"/>
        <w:left w:val="none" w:sz="0" w:space="0" w:color="auto"/>
        <w:bottom w:val="none" w:sz="0" w:space="0" w:color="auto"/>
        <w:right w:val="none" w:sz="0" w:space="0" w:color="auto"/>
      </w:divBdr>
      <w:divsChild>
        <w:div w:id="143906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BHAVATHARINIKA U S</dc:creator>
  <cp:keywords/>
  <dc:description/>
  <cp:lastModifiedBy>Abel shaji</cp:lastModifiedBy>
  <cp:revision>5</cp:revision>
  <dcterms:created xsi:type="dcterms:W3CDTF">2025-04-27T04:27:00Z</dcterms:created>
  <dcterms:modified xsi:type="dcterms:W3CDTF">2025-04-27T05:12:00Z</dcterms:modified>
</cp:coreProperties>
</file>