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  <w:shd w:val="clear" w:color="auto" w:fill="1F3964"/>
      </w:pPr>
      <w:r>
        <w:rPr>
          <w:rFonts w:ascii="Calibri" w:hAnsi="Calibri"/>
          <w:b/>
          <w:color w:val="FFFFFF"/>
          <w:sz w:val="32"/>
        </w:rPr>
        <w:t xml:space="preserve">  CHANGE REQUEST FORM  </w:t>
      </w:r>
    </w:p>
    <w:p>
      <w:pPr>
        <w:spacing w:before="0" w:after="200"/>
        <w:jc w:val="center"/>
        <w:shd w:val="clear" w:color="auto" w:fill="BDD7EE"/>
      </w:pPr>
      <w:r>
        <w:rPr>
          <w:rFonts w:ascii="Calibri" w:hAnsi="Calibri"/>
          <w:b/>
          <w:color w:val="1F3964"/>
          <w:sz w:val="20"/>
        </w:rPr>
        <w:t xml:space="preserve">  CBE Super App — CPS Action  |  Bug Fix Release — Staging  </w:t>
      </w:r>
    </w:p>
    <w:p>
      <w:pPr>
        <w:spacing w:before="80" w:after="40"/>
        <w:ind w:left="0"/>
      </w:pPr>
      <w:r>
        <w:rPr>
          <w:rFonts w:ascii="Calibri" w:hAnsi="Calibri"/>
          <w:color w:val="262626"/>
          <w:sz w:val="20"/>
        </w:rPr>
        <w:t>Hi DevOps / Release Management Team,</w:t>
      </w:r>
    </w:p>
    <w:p>
      <w:pPr>
        <w:spacing w:before="40" w:after="160"/>
        <w:ind w:left="0"/>
      </w:pPr>
      <w:r>
        <w:rPr>
          <w:rFonts w:ascii="Calibri" w:hAnsi="Calibri"/>
          <w:color w:val="262626"/>
          <w:sz w:val="20"/>
        </w:rPr>
        <w:t>We are requesting a change to the Staging environment for the CBE Super App — CPS Action project. Below is the summary of the proposed changes, the impact assessment, and the implementation plan for your review and approval.</w:t>
      </w:r>
    </w:p>
    <w:p>
      <w:pPr>
        <w:spacing w:before="280" w:after="80"/>
        <w:shd w:val="clear" w:color="auto" w:fill="1F3964"/>
      </w:pPr>
      <w:r>
        <w:rPr>
          <w:rFonts w:ascii="Calibri" w:hAnsi="Calibri"/>
          <w:b/>
          <w:color w:val="FFFFFF"/>
          <w:sz w:val="24"/>
        </w:rPr>
        <w:t xml:space="preserve">  📋  Overview  </w:t>
      </w:r>
    </w:p>
    <w:p>
      <w:pPr>
        <w:spacing w:before="40" w:after="40"/>
        <w:ind w:left="283"/>
      </w:pPr>
      <w:r>
        <w:rPr>
          <w:rFonts w:ascii="Calibri" w:hAnsi="Calibri"/>
          <w:color w:val="2E74B5"/>
          <w:sz w:val="20"/>
        </w:rPr>
        <w:t xml:space="preserve">•  </w:t>
      </w:r>
      <w:r>
        <w:rPr>
          <w:rFonts w:ascii="Calibri" w:hAnsi="Calibri"/>
          <w:b/>
          <w:color w:val="2E74B5"/>
          <w:sz w:val="20"/>
        </w:rPr>
        <w:t xml:space="preserve">Requested By: </w:t>
      </w:r>
      <w:r>
        <w:rPr>
          <w:rFonts w:ascii="Calibri" w:hAnsi="Calibri"/>
          <w:color w:val="262626"/>
          <w:sz w:val="20"/>
        </w:rPr>
        <w:t>DAWIT GIRMA — CPS Team Lead</w:t>
      </w:r>
    </w:p>
    <w:p>
      <w:pPr>
        <w:spacing w:before="40" w:after="40"/>
        <w:ind w:left="283"/>
      </w:pPr>
      <w:r>
        <w:rPr>
          <w:rFonts w:ascii="Calibri" w:hAnsi="Calibri"/>
          <w:color w:val="2E74B5"/>
          <w:sz w:val="20"/>
        </w:rPr>
        <w:t xml:space="preserve">•  </w:t>
      </w:r>
      <w:r>
        <w:rPr>
          <w:rFonts w:ascii="Calibri" w:hAnsi="Calibri"/>
          <w:b/>
          <w:color w:val="2E74B5"/>
          <w:sz w:val="20"/>
        </w:rPr>
        <w:t xml:space="preserve">Priority: </w:t>
      </w:r>
      <w:r>
        <w:rPr>
          <w:rFonts w:ascii="Calibri" w:hAnsi="Calibri"/>
          <w:color w:val="262626"/>
          <w:sz w:val="20"/>
        </w:rPr>
        <w:t>🔴 High</w:t>
      </w:r>
    </w:p>
    <w:p>
      <w:pPr>
        <w:spacing w:before="40" w:after="40"/>
        <w:ind w:left="283"/>
      </w:pPr>
      <w:r>
        <w:rPr>
          <w:rFonts w:ascii="Calibri" w:hAnsi="Calibri"/>
          <w:color w:val="2E74B5"/>
          <w:sz w:val="20"/>
        </w:rPr>
        <w:t xml:space="preserve">•  </w:t>
      </w:r>
      <w:r>
        <w:rPr>
          <w:rFonts w:ascii="Calibri" w:hAnsi="Calibri"/>
          <w:b/>
          <w:color w:val="2E74B5"/>
          <w:sz w:val="20"/>
        </w:rPr>
        <w:t xml:space="preserve">Target Deployment: </w:t>
      </w:r>
      <w:r>
        <w:rPr>
          <w:rFonts w:ascii="Calibri" w:hAnsi="Calibri"/>
          <w:color w:val="262626"/>
          <w:sz w:val="20"/>
        </w:rPr>
        <w:t>June 5, 2026, at 10:00 AM EAT</w:t>
      </w:r>
    </w:p>
    <w:p>
      <w:pPr>
        <w:spacing w:before="40" w:after="40"/>
        <w:ind w:left="283"/>
      </w:pPr>
      <w:r>
        <w:rPr>
          <w:rFonts w:ascii="Calibri" w:hAnsi="Calibri"/>
          <w:color w:val="2E74B5"/>
          <w:sz w:val="20"/>
        </w:rPr>
        <w:t xml:space="preserve">•  </w:t>
      </w:r>
      <w:r>
        <w:rPr>
          <w:rFonts w:ascii="Calibri" w:hAnsi="Calibri"/>
          <w:b/>
          <w:color w:val="2E74B5"/>
          <w:sz w:val="20"/>
        </w:rPr>
        <w:t xml:space="preserve">Associated Ticket(s): </w:t>
      </w:r>
    </w:p>
    <w:p>
      <w:pPr>
        <w:spacing w:before="40" w:after="40"/>
        <w:ind w:left="283"/>
      </w:pPr>
      <w:r>
        <w:rPr>
          <w:rFonts w:ascii="Calibri" w:hAnsi="Calibri"/>
          <w:color w:val="2E74B5"/>
          <w:sz w:val="20"/>
        </w:rPr>
        <w:t xml:space="preserve">•  </w:t>
      </w:r>
      <w:r>
        <w:rPr>
          <w:rFonts w:ascii="Calibri" w:hAnsi="Calibri"/>
          <w:b/>
          <w:color w:val="2E74B5"/>
          <w:sz w:val="20"/>
        </w:rPr>
        <w:t>#10005</w:t>
      </w:r>
      <w:r>
        <w:rPr>
          <w:rFonts w:ascii="Calibri" w:hAnsi="Calibri"/>
          <w:color w:val="262626"/>
          <w:sz w:val="20"/>
        </w:rPr>
        <w:t xml:space="preserve"> — Customer Segmentation Limit Not Displayed in CPS  </w:t>
      </w:r>
      <w:r>
        <w:rPr>
          <w:rFonts w:ascii="Calibri" w:hAnsi="Calibri"/>
          <w:i/>
          <w:color w:val="595959"/>
          <w:sz w:val="18"/>
        </w:rPr>
        <w:t>(Re-Opened / Critical)</w:t>
      </w:r>
    </w:p>
    <w:p>
      <w:pPr>
        <w:spacing w:before="40" w:after="40"/>
        <w:ind w:left="283"/>
      </w:pPr>
      <w:r>
        <w:rPr>
          <w:rFonts w:ascii="Calibri" w:hAnsi="Calibri"/>
          <w:color w:val="2E74B5"/>
          <w:sz w:val="20"/>
        </w:rPr>
        <w:t xml:space="preserve">•  </w:t>
      </w:r>
      <w:r>
        <w:rPr>
          <w:rFonts w:ascii="Calibri" w:hAnsi="Calibri"/>
          <w:b/>
          <w:color w:val="2E74B5"/>
          <w:sz w:val="20"/>
        </w:rPr>
        <w:t>#9975</w:t>
      </w:r>
      <w:r>
        <w:rPr>
          <w:rFonts w:ascii="Calibri" w:hAnsi="Calibri"/>
          <w:color w:val="262626"/>
          <w:sz w:val="20"/>
        </w:rPr>
        <w:t xml:space="preserve"> — Access Denied in Customer Segment Section During Bulk Service Action  </w:t>
      </w:r>
      <w:r>
        <w:rPr>
          <w:rFonts w:ascii="Calibri" w:hAnsi="Calibri"/>
          <w:i/>
          <w:color w:val="595959"/>
          <w:sz w:val="18"/>
        </w:rPr>
        <w:t>(Fixed / Critical)</w:t>
      </w:r>
    </w:p>
    <w:p>
      <w:pPr>
        <w:spacing w:before="40" w:after="40"/>
        <w:ind w:left="283"/>
      </w:pPr>
      <w:r>
        <w:rPr>
          <w:rFonts w:ascii="Calibri" w:hAnsi="Calibri"/>
          <w:color w:val="2E74B5"/>
          <w:sz w:val="20"/>
        </w:rPr>
        <w:t xml:space="preserve">•  </w:t>
      </w:r>
      <w:r>
        <w:rPr>
          <w:rFonts w:ascii="Calibri" w:hAnsi="Calibri"/>
          <w:b/>
          <w:color w:val="2E74B5"/>
          <w:sz w:val="20"/>
        </w:rPr>
        <w:t>#9947</w:t>
      </w:r>
      <w:r>
        <w:rPr>
          <w:rFonts w:ascii="Calibri" w:hAnsi="Calibri"/>
          <w:color w:val="262626"/>
          <w:sz w:val="20"/>
        </w:rPr>
        <w:t xml:space="preserve"> — Customer Section Displays SuperApp Activation Branch Instead of Holding Branch  </w:t>
      </w:r>
      <w:r>
        <w:rPr>
          <w:rFonts w:ascii="Calibri" w:hAnsi="Calibri"/>
          <w:i/>
          <w:color w:val="595959"/>
          <w:sz w:val="18"/>
        </w:rPr>
        <w:t>(Fixed / Critical)</w:t>
      </w:r>
    </w:p>
    <w:p>
      <w:pPr>
        <w:spacing w:before="40" w:after="40"/>
        <w:ind w:left="283"/>
      </w:pPr>
      <w:r>
        <w:rPr>
          <w:rFonts w:ascii="Calibri" w:hAnsi="Calibri"/>
          <w:color w:val="2E74B5"/>
          <w:sz w:val="20"/>
        </w:rPr>
        <w:t xml:space="preserve">•  </w:t>
      </w:r>
      <w:r>
        <w:rPr>
          <w:rFonts w:ascii="Calibri" w:hAnsi="Calibri"/>
          <w:b/>
          <w:color w:val="2E74B5"/>
          <w:sz w:val="20"/>
        </w:rPr>
        <w:t>#9533</w:t>
      </w:r>
      <w:r>
        <w:rPr>
          <w:rFonts w:ascii="Calibri" w:hAnsi="Calibri"/>
          <w:color w:val="262626"/>
          <w:sz w:val="20"/>
        </w:rPr>
        <w:t xml:space="preserve"> — Missing Reason Field for Disable/Enable Service in Bulk Service Action  </w:t>
      </w:r>
      <w:r>
        <w:rPr>
          <w:rFonts w:ascii="Calibri" w:hAnsi="Calibri"/>
          <w:i/>
          <w:color w:val="595959"/>
          <w:sz w:val="18"/>
        </w:rPr>
        <w:t>(Fixed / Major)</w:t>
      </w:r>
    </w:p>
    <w:p>
      <w:pPr>
        <w:spacing w:before="280" w:after="80"/>
        <w:shd w:val="clear" w:color="auto" w:fill="1F3964"/>
      </w:pPr>
      <w:r>
        <w:rPr>
          <w:rFonts w:ascii="Calibri" w:hAnsi="Calibri"/>
          <w:b/>
          <w:color w:val="FFFFFF"/>
          <w:sz w:val="24"/>
        </w:rPr>
        <w:t xml:space="preserve">  🔍  Description &amp; Justification  </w:t>
      </w:r>
    </w:p>
    <w:p>
      <w:pPr>
        <w:spacing w:before="80" w:after="120"/>
        <w:ind w:left="0"/>
      </w:pPr>
      <w:r>
        <w:rPr>
          <w:rFonts w:ascii="Calibri" w:hAnsi="Calibri"/>
          <w:color w:val="262626"/>
          <w:sz w:val="20"/>
        </w:rPr>
        <w:t>This release resolves four confirmed bug reports raised by QA (Ruth Tadesse) against the CPS portal. The fixes address an access-denied regression on the Bulk Service / Customer Segment endpoint, a wrong branch name being displayed for customers whose SuperApp was activated from a different branch, a missing is_pl_account field on bulk enable/disable service actions, and an outstanding customer segmentation limit display issue. All fixes are targeted, backward-compatible code changes with no new database schema alterations.</w:t>
      </w:r>
    </w:p>
    <w:p>
      <w:pPr>
        <w:spacing w:before="280" w:after="80"/>
        <w:shd w:val="clear" w:color="auto" w:fill="1F3964"/>
      </w:pPr>
      <w:r>
        <w:rPr>
          <w:rFonts w:ascii="Calibri" w:hAnsi="Calibri"/>
          <w:b/>
          <w:color w:val="FFFFFF"/>
          <w:sz w:val="24"/>
        </w:rPr>
        <w:t xml:space="preserve">  ⚡  Impact &amp; Components Affected  </w:t>
      </w:r>
    </w:p>
    <w:p>
      <w:pPr>
        <w:spacing w:before="40" w:after="40"/>
        <w:ind w:left="283"/>
      </w:pPr>
      <w:r>
        <w:rPr>
          <w:rFonts w:ascii="Calibri" w:hAnsi="Calibri"/>
          <w:color w:val="2E74B5"/>
          <w:sz w:val="20"/>
        </w:rPr>
        <w:t xml:space="preserve">•  </w:t>
      </w:r>
      <w:r>
        <w:rPr>
          <w:rFonts w:ascii="Calibri" w:hAnsi="Calibri"/>
          <w:b/>
          <w:color w:val="2E74B5"/>
          <w:sz w:val="20"/>
        </w:rPr>
        <w:t xml:space="preserve">Code Repository: </w:t>
      </w:r>
      <w:r>
        <w:rPr>
          <w:rFonts w:ascii="Calibri" w:hAnsi="Calibri"/>
          <w:color w:val="262626"/>
          <w:sz w:val="20"/>
        </w:rPr>
        <w:t>cbe-super-app-cps-action — bug-fix commits on dev branch</w:t>
      </w:r>
    </w:p>
    <w:p>
      <w:pPr>
        <w:spacing w:before="40" w:after="40"/>
        <w:ind w:left="283"/>
      </w:pPr>
      <w:r>
        <w:rPr>
          <w:rFonts w:ascii="Calibri" w:hAnsi="Calibri"/>
          <w:color w:val="2E74B5"/>
          <w:sz w:val="20"/>
        </w:rPr>
        <w:t xml:space="preserve">•  </w:t>
      </w:r>
      <w:r>
        <w:rPr>
          <w:rFonts w:ascii="Calibri" w:hAnsi="Calibri"/>
          <w:b/>
          <w:color w:val="2E74B5"/>
          <w:sz w:val="20"/>
        </w:rPr>
        <w:t xml:space="preserve">Database Schema: </w:t>
      </w:r>
      <w:r>
        <w:rPr>
          <w:rFonts w:ascii="Calibri" w:hAnsi="Calibri"/>
          <w:color w:val="262626"/>
          <w:sz w:val="20"/>
        </w:rPr>
        <w:t>No — no new columns, tables, or migrations required. Application-layer changes only.</w:t>
      </w:r>
    </w:p>
    <w:p>
      <w:pPr>
        <w:spacing w:before="40" w:after="40"/>
        <w:ind w:left="283"/>
      </w:pPr>
      <w:r>
        <w:rPr>
          <w:rFonts w:ascii="Calibri" w:hAnsi="Calibri"/>
          <w:color w:val="2E74B5"/>
          <w:sz w:val="20"/>
        </w:rPr>
        <w:t xml:space="preserve">•  </w:t>
      </w:r>
      <w:r>
        <w:rPr>
          <w:rFonts w:ascii="Calibri" w:hAnsi="Calibri"/>
          <w:b/>
          <w:color w:val="2E74B5"/>
          <w:sz w:val="20"/>
        </w:rPr>
        <w:t xml:space="preserve">Environment Variables: </w:t>
      </w:r>
      <w:r>
        <w:rPr>
          <w:rFonts w:ascii="Calibri" w:hAnsi="Calibri"/>
          <w:color w:val="262626"/>
          <w:sz w:val="20"/>
        </w:rPr>
        <w:t>No changes required.</w:t>
      </w:r>
    </w:p>
    <w:p>
      <w:pPr>
        <w:spacing w:before="40" w:after="40"/>
        <w:ind w:left="283"/>
      </w:pPr>
      <w:r>
        <w:rPr>
          <w:rFonts w:ascii="Calibri" w:hAnsi="Calibri"/>
          <w:color w:val="2E74B5"/>
          <w:sz w:val="20"/>
        </w:rPr>
        <w:t xml:space="preserve">•  </w:t>
      </w:r>
      <w:r>
        <w:rPr>
          <w:rFonts w:ascii="Calibri" w:hAnsi="Calibri"/>
          <w:b/>
          <w:color w:val="2E74B5"/>
          <w:sz w:val="20"/>
        </w:rPr>
        <w:t xml:space="preserve">Compliance Risk: </w:t>
      </w:r>
      <w:r>
        <w:rPr>
          <w:rFonts w:ascii="Calibri" w:hAnsi="Calibri"/>
          <w:color w:val="262626"/>
          <w:sz w:val="20"/>
        </w:rPr>
        <w:t>🟢 Low — changes are limited to read-path corrections, middleware routing, and field mapping. No financial calculations, approval flows, or ledger operations are modified.</w:t>
      </w:r>
    </w:p>
    <w:p>
      <w:pPr>
        <w:spacing w:before="280" w:after="80"/>
        <w:shd w:val="clear" w:color="auto" w:fill="1F3964"/>
      </w:pPr>
      <w:r>
        <w:rPr>
          <w:rFonts w:ascii="Calibri" w:hAnsi="Calibri"/>
          <w:b/>
          <w:color w:val="FFFFFF"/>
          <w:sz w:val="24"/>
        </w:rPr>
        <w:t xml:space="preserve">  🐛  Bug Fix Details  </w:t>
      </w:r>
    </w:p>
    <w:p>
      <w:pPr>
        <w:spacing w:before="200" w:after="40"/>
        <w:shd w:val="clear" w:color="auto" w:fill="BDD7EE"/>
      </w:pPr>
      <w:r>
        <w:rPr>
          <w:rFonts w:ascii="Calibri" w:hAnsi="Calibri"/>
          <w:b/>
          <w:color w:val="1F3964"/>
          <w:sz w:val="20"/>
        </w:rPr>
        <w:t xml:space="preserve">  #10005 — Customer Segmentation Limit Not Displayed in CPS  </w:t>
      </w:r>
    </w:p>
    <w:p>
      <w:pPr>
        <w:spacing w:before="20" w:after="80"/>
        <w:ind w:left="283"/>
      </w:pPr>
      <w:r>
        <w:rPr>
          <w:rFonts w:ascii="Calibri" w:hAnsi="Calibri"/>
          <w:color w:val="595959"/>
          <w:sz w:val="18"/>
        </w:rPr>
        <w:t xml:space="preserve">Status: Re-Opened   |   Priority: </w:t>
      </w:r>
      <w:r>
        <w:rPr>
          <w:rFonts w:ascii="Calibri" w:hAnsi="Calibri"/>
          <w:b/>
          <w:color w:val="C00000"/>
          <w:sz w:val="18"/>
        </w:rPr>
        <w:t>Critical</w:t>
      </w:r>
    </w:p>
    <w:p>
      <w:pPr>
        <w:spacing w:before="60" w:after="40"/>
        <w:ind w:left="283"/>
      </w:pPr>
      <w:r>
        <w:rPr>
          <w:rFonts w:ascii="Calibri" w:hAnsi="Calibri"/>
          <w:b/>
          <w:color w:val="2E74B5"/>
          <w:sz w:val="20"/>
        </w:rPr>
        <w:t xml:space="preserve">Root Cause: </w:t>
      </w:r>
      <w:r>
        <w:rPr>
          <w:rFonts w:ascii="Calibri" w:hAnsi="Calibri"/>
          <w:color w:val="262626"/>
          <w:sz w:val="20"/>
        </w:rPr>
        <w:t>The RequestDeleteCustomerSegmentation case in the Authorize switch was placed after the unmarshal block. Delete operations do not carry a CurrentAction payload, so the unmarshal returned nil and triggered an early return before the delete could execute. This left the segmentation record in a stale state that the frontend could not render, causing the limit information to appear blank.</w:t>
      </w:r>
    </w:p>
    <w:p>
      <w:pPr>
        <w:spacing w:before="60" w:after="40"/>
        <w:ind w:left="283"/>
      </w:pPr>
      <w:r>
        <w:rPr>
          <w:rFonts w:ascii="Calibri" w:hAnsi="Calibri"/>
          <w:b/>
          <w:color w:val="2E74B5"/>
          <w:sz w:val="20"/>
        </w:rPr>
        <w:t xml:space="preserve">Fix Applied: </w:t>
      </w:r>
      <w:r>
        <w:rPr>
          <w:rFonts w:ascii="Calibri" w:hAnsi="Calibri"/>
          <w:color w:val="262626"/>
          <w:sz w:val="20"/>
        </w:rPr>
        <w:t>The delete case is now handled at the top of the Authorize switch, before the unmarshal step, so it returns immediately without attempting to parse a missing payload. UpdatedAt is also now stamped on the service-layer snapshot before the CPS action is created, ensuring the audit diff captures the correct timestamp.</w:t>
      </w:r>
    </w:p>
    <w:p>
      <w:pPr>
        <w:spacing w:before="60" w:after="20"/>
        <w:ind w:left="283"/>
      </w:pPr>
      <w:r>
        <w:rPr>
          <w:rFonts w:ascii="Calibri" w:hAnsi="Calibri"/>
          <w:b/>
          <w:color w:val="2E74B5"/>
          <w:sz w:val="18"/>
        </w:rPr>
        <w:t>Files Changed:</w:t>
      </w:r>
    </w:p>
    <w:p>
      <w:pPr>
        <w:spacing w:before="20" w:after="20"/>
        <w:ind w:left="567"/>
      </w:pPr>
      <w:r>
        <w:rPr>
          <w:rFonts w:ascii="Courier New" w:hAnsi="Courier New"/>
          <w:color w:val="171717"/>
          <w:sz w:val="17"/>
        </w:rPr>
        <w:t>◦  internal/service/customer_segmentation/customer_segmentation.go</w:t>
      </w:r>
    </w:p>
    <w:p>
      <w:pPr>
        <w:spacing w:before="20" w:after="20"/>
        <w:ind w:left="567"/>
      </w:pPr>
      <w:r>
        <w:rPr>
          <w:rFonts w:ascii="Courier New" w:hAnsi="Courier New"/>
          <w:color w:val="171717"/>
          <w:sz w:val="17"/>
        </w:rPr>
        <w:t>◦  internal/storage/persistance/customer_segmentaion/repository.go</w:t>
      </w:r>
    </w:p>
    <w:p>
      <w:pPr>
        <w:spacing w:before="200" w:after="40"/>
        <w:shd w:val="clear" w:color="auto" w:fill="BDD7EE"/>
      </w:pPr>
      <w:r>
        <w:rPr>
          <w:rFonts w:ascii="Calibri" w:hAnsi="Calibri"/>
          <w:b/>
          <w:color w:val="1F3964"/>
          <w:sz w:val="20"/>
        </w:rPr>
        <w:t xml:space="preserve">  #9975 — Access Denied in Customer Segment Section During Bulk Service Action  </w:t>
      </w:r>
    </w:p>
    <w:p>
      <w:pPr>
        <w:spacing w:before="20" w:after="80"/>
        <w:ind w:left="283"/>
      </w:pPr>
      <w:r>
        <w:rPr>
          <w:rFonts w:ascii="Calibri" w:hAnsi="Calibri"/>
          <w:color w:val="595959"/>
          <w:sz w:val="18"/>
        </w:rPr>
        <w:t xml:space="preserve">Status: Fixed   |   Priority: </w:t>
      </w:r>
      <w:r>
        <w:rPr>
          <w:rFonts w:ascii="Calibri" w:hAnsi="Calibri"/>
          <w:b/>
          <w:color w:val="C00000"/>
          <w:sz w:val="18"/>
        </w:rPr>
        <w:t>Critical</w:t>
      </w:r>
    </w:p>
    <w:p>
      <w:pPr>
        <w:spacing w:before="60" w:after="40"/>
        <w:ind w:left="283"/>
      </w:pPr>
      <w:r>
        <w:rPr>
          <w:rFonts w:ascii="Calibri" w:hAnsi="Calibri"/>
          <w:b/>
          <w:color w:val="2E74B5"/>
          <w:sz w:val="20"/>
        </w:rPr>
        <w:t xml:space="preserve">Root Cause: </w:t>
      </w:r>
      <w:r>
        <w:rPr>
          <w:rFonts w:ascii="Calibri" w:hAnsi="Calibri"/>
          <w:color w:val="262626"/>
          <w:sz w:val="20"/>
        </w:rPr>
        <w:t>The CPSActionRouteGuard middleware validated POST /bulk_services against the cpsActionRegistry, which mapped "POST bulk_services" to the BULKSERVICE action type. Because BULKSERVICE was not assigned to the user's role, every request to the Customer Segment section under Bulk Service was rejected with ErrorOperationNotAllowed.</w:t>
      </w:r>
    </w:p>
    <w:p>
      <w:pPr>
        <w:spacing w:before="60" w:after="40"/>
        <w:ind w:left="283"/>
      </w:pPr>
      <w:r>
        <w:rPr>
          <w:rFonts w:ascii="Calibri" w:hAnsi="Calibri"/>
          <w:b/>
          <w:color w:val="2E74B5"/>
          <w:sz w:val="20"/>
        </w:rPr>
        <w:t xml:space="preserve">Fix Applied: </w:t>
      </w:r>
      <w:r>
        <w:rPr>
          <w:rFonts w:ascii="Calibri" w:hAnsi="Calibri"/>
          <w:color w:val="262626"/>
          <w:sz w:val="20"/>
        </w:rPr>
        <w:t>The "POST bulk_services" entry has been commented out from cpsActionRegistry in action_registry.go, removing the erroneous action gate. "cps_users" has been added to the middleware whitelist so CPS user management endpoints bypass the registry independently. The cps_users registry entries have been consolidated from six granular path patterns to four canonical ones, eliminating a duplicate registration that was causing redundant permission lookups.</w:t>
      </w:r>
    </w:p>
    <w:p>
      <w:pPr>
        <w:spacing w:before="60" w:after="20"/>
        <w:ind w:left="283"/>
      </w:pPr>
      <w:r>
        <w:rPr>
          <w:rFonts w:ascii="Calibri" w:hAnsi="Calibri"/>
          <w:b/>
          <w:color w:val="2E74B5"/>
          <w:sz w:val="18"/>
        </w:rPr>
        <w:t>Files Changed:</w:t>
      </w:r>
    </w:p>
    <w:p>
      <w:pPr>
        <w:spacing w:before="20" w:after="20"/>
        <w:ind w:left="567"/>
      </w:pPr>
      <w:r>
        <w:rPr>
          <w:rFonts w:ascii="Courier New" w:hAnsi="Courier New"/>
          <w:color w:val="171717"/>
          <w:sz w:val="17"/>
        </w:rPr>
        <w:t>◦  internal/handlers/middleware/action_registry.go</w:t>
      </w:r>
    </w:p>
    <w:p>
      <w:pPr>
        <w:spacing w:before="20" w:after="20"/>
        <w:ind w:left="567"/>
      </w:pPr>
      <w:r>
        <w:rPr>
          <w:rFonts w:ascii="Courier New" w:hAnsi="Courier New"/>
          <w:color w:val="171717"/>
          <w:sz w:val="17"/>
        </w:rPr>
        <w:t>◦  internal/handlers/middleware/middleware.go</w:t>
      </w:r>
    </w:p>
    <w:p>
      <w:pPr>
        <w:spacing w:before="200" w:after="40"/>
        <w:shd w:val="clear" w:color="auto" w:fill="BDD7EE"/>
      </w:pPr>
      <w:r>
        <w:rPr>
          <w:rFonts w:ascii="Calibri" w:hAnsi="Calibri"/>
          <w:b/>
          <w:color w:val="1F3964"/>
          <w:sz w:val="20"/>
        </w:rPr>
        <w:t xml:space="preserve">  #9947 — Customer Section Displays SuperApp Activation Branch Instead of Holding Branch  </w:t>
      </w:r>
    </w:p>
    <w:p>
      <w:pPr>
        <w:spacing w:before="20" w:after="80"/>
        <w:ind w:left="283"/>
      </w:pPr>
      <w:r>
        <w:rPr>
          <w:rFonts w:ascii="Calibri" w:hAnsi="Calibri"/>
          <w:color w:val="595959"/>
          <w:sz w:val="18"/>
        </w:rPr>
        <w:t xml:space="preserve">Status: Fixed   |   Priority: </w:t>
      </w:r>
      <w:r>
        <w:rPr>
          <w:rFonts w:ascii="Calibri" w:hAnsi="Calibri"/>
          <w:b/>
          <w:color w:val="C00000"/>
          <w:sz w:val="18"/>
        </w:rPr>
        <w:t>Critical</w:t>
      </w:r>
    </w:p>
    <w:p>
      <w:pPr>
        <w:spacing w:before="60" w:after="40"/>
        <w:ind w:left="283"/>
      </w:pPr>
      <w:r>
        <w:rPr>
          <w:rFonts w:ascii="Calibri" w:hAnsi="Calibri"/>
          <w:b/>
          <w:color w:val="2E74B5"/>
          <w:sz w:val="20"/>
        </w:rPr>
        <w:t xml:space="preserve">Root Cause: </w:t>
      </w:r>
      <w:r>
        <w:rPr>
          <w:rFonts w:ascii="Calibri" w:hAnsi="Calibri"/>
          <w:color w:val="262626"/>
          <w:sz w:val="20"/>
        </w:rPr>
        <w:t>In customer_service.go, GetCustomerDetailByID was unconditionally overwriting DateOfBirth, Email, Gender, and PhoneNumber with values from the core banking response — including empty strings. A copy-paste error also set MaritalStatus from Email. Empty-string overrides reset the correct holding-branch value to empty, causing the frontend to fall back to the SuperApp activation branch.</w:t>
      </w:r>
    </w:p>
    <w:p>
      <w:pPr>
        <w:spacing w:before="60" w:after="40"/>
        <w:ind w:left="283"/>
      </w:pPr>
      <w:r>
        <w:rPr>
          <w:rFonts w:ascii="Calibri" w:hAnsi="Calibri"/>
          <w:b/>
          <w:color w:val="2E74B5"/>
          <w:sz w:val="20"/>
        </w:rPr>
        <w:t xml:space="preserve">Fix Applied: </w:t>
      </w:r>
      <w:r>
        <w:rPr>
          <w:rFonts w:ascii="Calibri" w:hAnsi="Calibri"/>
          <w:color w:val="262626"/>
          <w:sz w:val="20"/>
        </w:rPr>
        <w:t>The core-result merge now applies each field conditionally: a value is only written if the core response is non-empty. The MaritalStatus ← Email copy-paste error has been corrected. PhoneNumber is now read from the correct PhoneNumber field instead of PhoneNo.</w:t>
      </w:r>
    </w:p>
    <w:p>
      <w:pPr>
        <w:spacing w:before="60" w:after="20"/>
        <w:ind w:left="283"/>
      </w:pPr>
      <w:r>
        <w:rPr>
          <w:rFonts w:ascii="Calibri" w:hAnsi="Calibri"/>
          <w:b/>
          <w:color w:val="2E74B5"/>
          <w:sz w:val="18"/>
        </w:rPr>
        <w:t>Files Changed:</w:t>
      </w:r>
    </w:p>
    <w:p>
      <w:pPr>
        <w:spacing w:before="20" w:after="20"/>
        <w:ind w:left="567"/>
      </w:pPr>
      <w:r>
        <w:rPr>
          <w:rFonts w:ascii="Courier New" w:hAnsi="Courier New"/>
          <w:color w:val="171717"/>
          <w:sz w:val="17"/>
        </w:rPr>
        <w:t>◦  internal/service/customer/customer_service.go</w:t>
      </w:r>
    </w:p>
    <w:p>
      <w:pPr>
        <w:spacing w:before="200" w:after="40"/>
        <w:shd w:val="clear" w:color="auto" w:fill="BDD7EE"/>
      </w:pPr>
      <w:r>
        <w:rPr>
          <w:rFonts w:ascii="Calibri" w:hAnsi="Calibri"/>
          <w:b/>
          <w:color w:val="1F3964"/>
          <w:sz w:val="20"/>
        </w:rPr>
        <w:t xml:space="preserve">  #9533 — Missing Reason Field for Disable/Enable Service in Bulk Service Action  </w:t>
      </w:r>
    </w:p>
    <w:p>
      <w:pPr>
        <w:spacing w:before="20" w:after="80"/>
        <w:ind w:left="283"/>
      </w:pPr>
      <w:r>
        <w:rPr>
          <w:rFonts w:ascii="Calibri" w:hAnsi="Calibri"/>
          <w:color w:val="595959"/>
          <w:sz w:val="18"/>
        </w:rPr>
        <w:t xml:space="preserve">Status: Fixed   |   Priority: </w:t>
      </w:r>
      <w:r>
        <w:rPr>
          <w:rFonts w:ascii="Calibri" w:hAnsi="Calibri"/>
          <w:b/>
          <w:color w:val="BF8900"/>
          <w:sz w:val="18"/>
        </w:rPr>
        <w:t>Major</w:t>
      </w:r>
    </w:p>
    <w:p>
      <w:pPr>
        <w:spacing w:before="60" w:after="40"/>
        <w:ind w:left="283"/>
      </w:pPr>
      <w:r>
        <w:rPr>
          <w:rFonts w:ascii="Calibri" w:hAnsi="Calibri"/>
          <w:b/>
          <w:color w:val="2E74B5"/>
          <w:sz w:val="20"/>
        </w:rPr>
        <w:t xml:space="preserve">Root Cause: </w:t>
      </w:r>
      <w:r>
        <w:rPr>
          <w:rFonts w:ascii="Calibri" w:hAnsi="Calibri"/>
          <w:color w:val="262626"/>
          <w:sz w:val="20"/>
        </w:rPr>
        <w:t>CreateServiceRequest and UpdateServiceRequest DTOs did not include the is_pl_account field. When the bulk enable/disable handler built its payload the field was silently dropped during JSON bind, causing P&amp;L validation to behave inconsistently and the action reason to be lost in the audit trail. Additionally, the service Create/Update paths called the external account validation API even for P&amp;L accounts (which are not in the standard account registry), producing validation failures.</w:t>
      </w:r>
    </w:p>
    <w:p>
      <w:pPr>
        <w:spacing w:before="60" w:after="40"/>
        <w:ind w:left="283"/>
      </w:pPr>
      <w:r>
        <w:rPr>
          <w:rFonts w:ascii="Calibri" w:hAnsi="Calibri"/>
          <w:b/>
          <w:color w:val="2E74B5"/>
          <w:sz w:val="20"/>
        </w:rPr>
        <w:t xml:space="preserve">Fix Applied: </w:t>
      </w:r>
      <w:r>
        <w:rPr>
          <w:rFonts w:ascii="Calibri" w:hAnsi="Calibri"/>
          <w:color w:val="262626"/>
          <w:sz w:val="20"/>
        </w:rPr>
        <w:t>is_pl_account *bool has been added to both CreateServiceRequest and UpdateServiceRequest. The Create and Update service methods now branch on IsPlAccount: if true, a synthetic AccountDetail is constructed locally (bypassing the external lookup) and inserted into the ACCOUNTS table; if false, the existing external validation path runs. The Oracle INSERT query now includes the is_pl_account column and its bind variable.</w:t>
      </w:r>
    </w:p>
    <w:p>
      <w:pPr>
        <w:spacing w:before="60" w:after="20"/>
        <w:ind w:left="283"/>
      </w:pPr>
      <w:r>
        <w:rPr>
          <w:rFonts w:ascii="Calibri" w:hAnsi="Calibri"/>
          <w:b/>
          <w:color w:val="2E74B5"/>
          <w:sz w:val="18"/>
        </w:rPr>
        <w:t>Files Changed:</w:t>
      </w:r>
    </w:p>
    <w:p>
      <w:pPr>
        <w:spacing w:before="20" w:after="20"/>
        <w:ind w:left="567"/>
      </w:pPr>
      <w:r>
        <w:rPr>
          <w:rFonts w:ascii="Courier New" w:hAnsi="Courier New"/>
          <w:color w:val="171717"/>
          <w:sz w:val="17"/>
        </w:rPr>
        <w:t>◦  internal/constants/dto/services/request.go</w:t>
      </w:r>
    </w:p>
    <w:p>
      <w:pPr>
        <w:spacing w:before="20" w:after="20"/>
        <w:ind w:left="567"/>
      </w:pPr>
      <w:r>
        <w:rPr>
          <w:rFonts w:ascii="Courier New" w:hAnsi="Courier New"/>
          <w:color w:val="171717"/>
          <w:sz w:val="17"/>
        </w:rPr>
        <w:t>◦  internal/service/services/services.go</w:t>
      </w:r>
    </w:p>
    <w:p>
      <w:pPr>
        <w:spacing w:before="20" w:after="20"/>
        <w:ind w:left="567"/>
      </w:pPr>
      <w:r>
        <w:rPr>
          <w:rFonts w:ascii="Courier New" w:hAnsi="Courier New"/>
          <w:color w:val="171717"/>
          <w:sz w:val="17"/>
        </w:rPr>
        <w:t>◦  internal/storage/persistance/services/repository_oracle.go</w:t>
      </w:r>
    </w:p>
    <w:p>
      <w:pPr>
        <w:spacing w:before="280" w:after="80"/>
        <w:shd w:val="clear" w:color="auto" w:fill="1F3964"/>
      </w:pPr>
      <w:r>
        <w:rPr>
          <w:rFonts w:ascii="Calibri" w:hAnsi="Calibri"/>
          <w:b/>
          <w:color w:val="FFFFFF"/>
          <w:sz w:val="24"/>
        </w:rPr>
        <w:t xml:space="preserve">  🛠  Deployment &amp; Rollback Plan  </w:t>
      </w:r>
    </w:p>
    <w:p>
      <w:pPr>
        <w:spacing w:before="100" w:after="60"/>
      </w:pPr>
      <w:r>
        <w:rPr>
          <w:rFonts w:ascii="Calibri" w:hAnsi="Calibri"/>
          <w:b/>
          <w:color w:val="1F3964"/>
          <w:sz w:val="20"/>
        </w:rPr>
        <w:t>Deployment Steps:</w:t>
      </w:r>
    </w:p>
    <w:p>
      <w:pPr>
        <w:spacing w:before="40" w:after="40"/>
        <w:ind w:left="283"/>
      </w:pPr>
      <w:r>
        <w:rPr>
          <w:rFonts w:ascii="Calibri" w:hAnsi="Calibri"/>
          <w:b/>
          <w:color w:val="2E74B5"/>
          <w:sz w:val="20"/>
        </w:rPr>
        <w:t xml:space="preserve">1.  </w:t>
      </w:r>
      <w:r>
        <w:rPr>
          <w:rFonts w:ascii="Calibri" w:hAnsi="Calibri"/>
          <w:color w:val="595959"/>
          <w:sz w:val="20"/>
        </w:rPr>
        <w:t>Merge the bug-fix commits from dev into staging via pull request on GitHub.</w:t>
      </w:r>
    </w:p>
    <w:p>
      <w:pPr>
        <w:spacing w:before="40" w:after="40"/>
        <w:ind w:left="283"/>
      </w:pPr>
      <w:r>
        <w:rPr>
          <w:rFonts w:ascii="Calibri" w:hAnsi="Calibri"/>
          <w:b/>
          <w:color w:val="2E74B5"/>
          <w:sz w:val="20"/>
        </w:rPr>
        <w:t xml:space="preserve">2.  </w:t>
      </w:r>
      <w:r>
        <w:rPr>
          <w:rFonts w:ascii="Calibri" w:hAnsi="Calibri"/>
          <w:color w:val="595959"/>
          <w:sz w:val="20"/>
        </w:rPr>
        <w:t>Trigger the Jenkins pipeline for the staging branch. The ArgoCD stage will automatically update the image tag and sync the deployment to the Kubernetes staging namespace.</w:t>
      </w:r>
    </w:p>
    <w:p>
      <w:pPr>
        <w:spacing w:before="40" w:after="40"/>
        <w:ind w:left="283"/>
      </w:pPr>
      <w:r>
        <w:rPr>
          <w:rFonts w:ascii="Calibri" w:hAnsi="Calibri"/>
          <w:b/>
          <w:color w:val="2E74B5"/>
          <w:sz w:val="20"/>
        </w:rPr>
        <w:t xml:space="preserve">3.  </w:t>
      </w:r>
      <w:r>
        <w:rPr>
          <w:rFonts w:ascii="Calibri" w:hAnsi="Calibri"/>
          <w:color w:val="595959"/>
          <w:sz w:val="20"/>
        </w:rPr>
        <w:t>Confirm all staging pods are healthy after ArgoCD sync completes.</w:t>
      </w:r>
    </w:p>
    <w:p>
      <w:pPr>
        <w:spacing w:before="160" w:after="60"/>
      </w:pPr>
      <w:r>
        <w:rPr>
          <w:rFonts w:ascii="Calibri" w:hAnsi="Calibri"/>
          <w:b/>
          <w:color w:val="1F3964"/>
          <w:sz w:val="20"/>
        </w:rPr>
        <w:t>Rollback Plan:</w:t>
      </w:r>
    </w:p>
    <w:p>
      <w:pPr>
        <w:spacing w:before="40" w:after="120"/>
        <w:ind w:left="0"/>
      </w:pPr>
      <w:r>
        <w:rPr>
          <w:rFonts w:ascii="Calibri" w:hAnsi="Calibri"/>
          <w:color w:val="262626"/>
          <w:sz w:val="20"/>
        </w:rPr>
        <w:t>Revert the staging branch to the previous HEAD and re-trigger the Jenkins pipeline. No database changes are involved — rollback is a pure image revert via ArgoCD. All fixes are additive or corrective code changes with no destructive side effects.</w:t>
      </w:r>
    </w:p>
    <w:p>
      <w:pPr>
        <w:spacing w:before="280" w:after="80"/>
        <w:shd w:val="clear" w:color="auto" w:fill="1F3964"/>
      </w:pPr>
      <w:r>
        <w:rPr>
          <w:rFonts w:ascii="Calibri" w:hAnsi="Calibri"/>
          <w:b/>
          <w:color w:val="FFFFFF"/>
          <w:sz w:val="24"/>
        </w:rPr>
        <w:t xml:space="preserve">  🧪  QA / Verification Steps  </w:t>
      </w:r>
    </w:p>
    <w:p>
      <w:pPr>
        <w:spacing w:before="80" w:after="60"/>
        <w:ind w:left="0"/>
      </w:pPr>
      <w:r>
        <w:rPr>
          <w:rFonts w:ascii="Calibri" w:hAnsi="Calibri"/>
          <w:color w:val="262626"/>
          <w:sz w:val="20"/>
        </w:rPr>
        <w:t>Test the following scenarios on staging after deployment:</w:t>
      </w:r>
    </w:p>
    <w:p>
      <w:pPr>
        <w:spacing w:before="100" w:after="20"/>
        <w:ind w:left="170"/>
      </w:pPr>
      <w:r>
        <w:rPr>
          <w:rFonts w:ascii="Calibri" w:hAnsi="Calibri"/>
          <w:b/>
          <w:color w:val="1F3964"/>
          <w:sz w:val="20"/>
        </w:rPr>
        <w:t>1.  Bug #10005 — Segmentation Limit Display</w:t>
      </w:r>
    </w:p>
    <w:p>
      <w:pPr>
        <w:spacing w:before="20" w:after="20"/>
        <w:ind w:left="567"/>
      </w:pPr>
      <w:r>
        <w:rPr>
          <w:rFonts w:ascii="Calibri" w:hAnsi="Calibri"/>
          <w:color w:val="595959"/>
          <w:sz w:val="20"/>
        </w:rPr>
        <w:t>–  Navigate to Customer Segmentation → access a customer under Customer Role.</w:t>
      </w:r>
    </w:p>
    <w:p>
      <w:pPr>
        <w:spacing w:before="20" w:after="20"/>
        <w:ind w:left="567"/>
      </w:pPr>
      <w:r>
        <w:rPr>
          <w:rFonts w:ascii="Calibri" w:hAnsi="Calibri"/>
          <w:color w:val="595959"/>
          <w:sz w:val="20"/>
        </w:rPr>
        <w:t>–  Verify the limit information is displayed correctly with no blank or stale values.</w:t>
      </w:r>
    </w:p>
    <w:p>
      <w:pPr>
        <w:spacing w:before="20" w:after="20"/>
        <w:ind w:left="567"/>
      </w:pPr>
      <w:r>
        <w:rPr>
          <w:rFonts w:ascii="Calibri" w:hAnsi="Calibri"/>
          <w:color w:val="595959"/>
          <w:sz w:val="20"/>
        </w:rPr>
        <w:t>–  Delete a segmentation record through the approval flow and confirm it is permanently removed.</w:t>
      </w:r>
    </w:p>
    <w:p>
      <w:pPr>
        <w:spacing w:before="100" w:after="20"/>
        <w:ind w:left="170"/>
      </w:pPr>
      <w:r>
        <w:rPr>
          <w:rFonts w:ascii="Calibri" w:hAnsi="Calibri"/>
          <w:b/>
          <w:color w:val="1F3964"/>
          <w:sz w:val="20"/>
        </w:rPr>
        <w:t>2.  Bug #9975 — Bulk Service / Customer Segment Access</w:t>
      </w:r>
    </w:p>
    <w:p>
      <w:pPr>
        <w:spacing w:before="20" w:after="20"/>
        <w:ind w:left="567"/>
      </w:pPr>
      <w:r>
        <w:rPr>
          <w:rFonts w:ascii="Calibri" w:hAnsi="Calibri"/>
          <w:color w:val="595959"/>
          <w:sz w:val="20"/>
        </w:rPr>
        <w:t>–  Log in to CPS → navigate to Bulk Service Action → open the Customer Segment section.</w:t>
      </w:r>
    </w:p>
    <w:p>
      <w:pPr>
        <w:spacing w:before="20" w:after="20"/>
        <w:ind w:left="567"/>
      </w:pPr>
      <w:r>
        <w:rPr>
          <w:rFonts w:ascii="Calibri" w:hAnsi="Calibri"/>
          <w:color w:val="595959"/>
          <w:sz w:val="20"/>
        </w:rPr>
        <w:t>–  Verify no 403 / ErrorOperationNotAllowed error is returned.</w:t>
      </w:r>
    </w:p>
    <w:p>
      <w:pPr>
        <w:spacing w:before="20" w:after="20"/>
        <w:ind w:left="567"/>
      </w:pPr>
      <w:r>
        <w:rPr>
          <w:rFonts w:ascii="Calibri" w:hAnsi="Calibri"/>
          <w:color w:val="595959"/>
          <w:sz w:val="20"/>
        </w:rPr>
        <w:t>–  Confirm the customer segment list loads successfully.</w:t>
      </w:r>
    </w:p>
    <w:p>
      <w:pPr>
        <w:spacing w:before="100" w:after="20"/>
        <w:ind w:left="170"/>
      </w:pPr>
      <w:r>
        <w:rPr>
          <w:rFonts w:ascii="Calibri" w:hAnsi="Calibri"/>
          <w:b/>
          <w:color w:val="1F3964"/>
          <w:sz w:val="20"/>
        </w:rPr>
        <w:t>3.  Bug #9947 — Customer Holding Branch</w:t>
      </w:r>
    </w:p>
    <w:p>
      <w:pPr>
        <w:spacing w:before="20" w:after="20"/>
        <w:ind w:left="567"/>
      </w:pPr>
      <w:r>
        <w:rPr>
          <w:rFonts w:ascii="Calibri" w:hAnsi="Calibri"/>
          <w:color w:val="595959"/>
          <w:sz w:val="20"/>
        </w:rPr>
        <w:t>–  Log in to CPS → navigate to the Customer Section.</w:t>
      </w:r>
    </w:p>
    <w:p>
      <w:pPr>
        <w:spacing w:before="20" w:after="20"/>
        <w:ind w:left="567"/>
      </w:pPr>
      <w:r>
        <w:rPr>
          <w:rFonts w:ascii="Calibri" w:hAnsi="Calibri"/>
          <w:color w:val="595959"/>
          <w:sz w:val="20"/>
        </w:rPr>
        <w:t>–  Search for a customer whose account was opened in Branch A but SuperApp activated from Branch B.</w:t>
      </w:r>
    </w:p>
    <w:p>
      <w:pPr>
        <w:spacing w:before="20" w:after="20"/>
        <w:ind w:left="567"/>
      </w:pPr>
      <w:r>
        <w:rPr>
          <w:rFonts w:ascii="Calibri" w:hAnsi="Calibri"/>
          <w:color w:val="595959"/>
          <w:sz w:val="20"/>
        </w:rPr>
        <w:t>–  Verify the displayed branch is the holding branch (Branch A), not the activation branch (Branch B).</w:t>
      </w:r>
    </w:p>
    <w:p>
      <w:pPr>
        <w:spacing w:before="20" w:after="20"/>
        <w:ind w:left="567"/>
      </w:pPr>
      <w:r>
        <w:rPr>
          <w:rFonts w:ascii="Calibri" w:hAnsi="Calibri"/>
          <w:color w:val="595959"/>
          <w:sz w:val="20"/>
        </w:rPr>
        <w:t>–  Verify date_of_birth, email, gender, and phone_number are populated correctly and not blank.</w:t>
      </w:r>
    </w:p>
    <w:p>
      <w:pPr>
        <w:spacing w:before="100" w:after="20"/>
        <w:ind w:left="170"/>
      </w:pPr>
      <w:r>
        <w:rPr>
          <w:rFonts w:ascii="Calibri" w:hAnsi="Calibri"/>
          <w:b/>
          <w:color w:val="1F3964"/>
          <w:sz w:val="20"/>
        </w:rPr>
        <w:t>4.  Bug #9533 — Reason Field / P&amp;L Service</w:t>
      </w:r>
    </w:p>
    <w:p>
      <w:pPr>
        <w:spacing w:before="20" w:after="20"/>
        <w:ind w:left="567"/>
      </w:pPr>
      <w:r>
        <w:rPr>
          <w:rFonts w:ascii="Calibri" w:hAnsi="Calibri"/>
          <w:color w:val="595959"/>
          <w:sz w:val="20"/>
        </w:rPr>
        <w:t>–  Log in to CPS → Bulk Enable/Disable → Single Enable → enter Branch/Code.</w:t>
      </w:r>
    </w:p>
    <w:p>
      <w:pPr>
        <w:spacing w:before="20" w:after="20"/>
        <w:ind w:left="567"/>
      </w:pPr>
      <w:r>
        <w:rPr>
          <w:rFonts w:ascii="Calibri" w:hAnsi="Calibri"/>
          <w:color w:val="595959"/>
          <w:sz w:val="20"/>
        </w:rPr>
        <w:t>–  Verify the reason field is present and recorded in the audit trail.</w:t>
      </w:r>
    </w:p>
    <w:p>
      <w:pPr>
        <w:spacing w:before="20" w:after="20"/>
        <w:ind w:left="567"/>
      </w:pPr>
      <w:r>
        <w:rPr>
          <w:rFonts w:ascii="Calibri" w:hAnsi="Calibri"/>
          <w:color w:val="595959"/>
          <w:sz w:val="20"/>
        </w:rPr>
        <w:t>–  Create a service with is_pl_account = true and a P&amp;L GL account — should succeed.</w:t>
      </w:r>
    </w:p>
    <w:p>
      <w:pPr>
        <w:spacing w:before="20" w:after="20"/>
        <w:ind w:left="567"/>
      </w:pPr>
      <w:r>
        <w:rPr>
          <w:rFonts w:ascii="Calibri" w:hAnsi="Calibri"/>
          <w:color w:val="595959"/>
          <w:sz w:val="20"/>
        </w:rPr>
        <w:t>–  Create a service with is_pl_account = false and a non-P&amp;L GL account — external validation should run.</w:t>
      </w:r>
    </w:p>
    <w:p>
      <w:pPr>
        <w:spacing w:before="240" w:after="80"/>
      </w:pPr>
      <w:r>
        <w:rPr>
          <w:rFonts w:ascii="Calibri" w:hAnsi="Calibri"/>
          <w:color w:val="262626"/>
          <w:sz w:val="20"/>
        </w:rPr>
        <w:t xml:space="preserve">Please review the attached/linked details and reply with your approval or feedback by </w:t>
      </w:r>
      <w:r>
        <w:rPr>
          <w:rFonts w:ascii="Calibri" w:hAnsi="Calibri"/>
          <w:b/>
          <w:color w:val="C00000"/>
          <w:sz w:val="20"/>
        </w:rPr>
        <w:t>June 5, 2026 at 17:00 EAT.</w:t>
      </w:r>
    </w:p>
    <w:p>
      <w:pPr>
        <w:spacing w:before="120" w:after="240"/>
        <w:ind w:left="0"/>
      </w:pPr>
      <w:r>
        <w:rPr>
          <w:rFonts w:ascii="Calibri" w:hAnsi="Calibri"/>
          <w:color w:val="262626"/>
          <w:sz w:val="20"/>
        </w:rPr>
        <w:t>Best regards,</w:t>
      </w:r>
    </w:p>
    <w:p>
      <w:pPr>
        <w:spacing w:before="80" w:after="80"/>
        <w:shd w:val="clear" w:color="auto" w:fill="1F3964"/>
      </w:pPr>
      <w:r>
        <w:rPr>
          <w:rFonts w:ascii="Calibri" w:hAnsi="Calibri"/>
          <w:b/>
          <w:color w:val="FFFFFF"/>
          <w:sz w:val="24"/>
        </w:rPr>
        <w:t xml:space="preserve">  Sign-Off  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984"/>
            <w:shd w:val="clear" w:color="auto" w:fill="1F3964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Role</w:t>
            </w:r>
          </w:p>
        </w:tc>
        <w:tc>
          <w:tcPr>
            <w:tcW w:type="dxa" w:w="2268"/>
            <w:shd w:val="clear" w:color="auto" w:fill="1F3964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Name</w:t>
            </w:r>
          </w:p>
        </w:tc>
        <w:tc>
          <w:tcPr>
            <w:tcW w:type="dxa" w:w="2551"/>
            <w:shd w:val="clear" w:color="auto" w:fill="1F3964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Title</w:t>
            </w:r>
          </w:p>
        </w:tc>
        <w:tc>
          <w:tcPr>
            <w:tcW w:type="dxa" w:w="3118"/>
            <w:shd w:val="clear" w:color="auto" w:fill="1F3964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Contact / Signature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2E74B5"/>
                <w:sz w:val="20"/>
              </w:rPr>
              <w:t>Requested By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20"/>
              </w:rPr>
              <w:t>DAWIT GIRMA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20"/>
              </w:rPr>
              <w:t>CPS Team Lead</w:t>
            </w:r>
          </w:p>
        </w:tc>
        <w:tc>
          <w:tcPr>
            <w:tcW w:type="dxa" w:w="311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20"/>
              </w:rPr>
              <w:t>future-world3000@proton.me</w:t>
            </w:r>
          </w:p>
        </w:tc>
      </w:tr>
      <w:tr>
        <w:tc>
          <w:tcPr>
            <w:tcW w:type="dxa" w:w="1984"/>
            <w:shd w:val="clear" w:color="auto" w:fill="DDEBF7"/>
          </w:tcPr>
          <w:p>
            <w:pPr>
              <w:jc w:val="left"/>
            </w:pPr>
            <w:r>
              <w:rPr>
                <w:rFonts w:ascii="Calibri" w:hAnsi="Calibri"/>
                <w:b/>
                <w:color w:val="2E74B5"/>
                <w:sz w:val="20"/>
              </w:rPr>
              <w:t>Checked By</w:t>
            </w:r>
          </w:p>
        </w:tc>
        <w:tc>
          <w:tcPr>
            <w:tcW w:type="dxa" w:w="2268"/>
            <w:shd w:val="clear" w:color="auto" w:fill="DDEBF7"/>
          </w:tcPr>
          <w:p>
            <w:pPr>
              <w:jc w:val="left"/>
            </w:pPr>
            <w:r>
              <w:rPr>
                <w:rFonts w:ascii="Calibri" w:hAnsi="Calibri"/>
                <w:color w:val="595959"/>
                <w:sz w:val="20"/>
              </w:rPr>
            </w:r>
          </w:p>
        </w:tc>
        <w:tc>
          <w:tcPr>
            <w:tcW w:type="dxa" w:w="2551"/>
            <w:shd w:val="clear" w:color="auto" w:fill="DDEBF7"/>
          </w:tcPr>
          <w:p>
            <w:pPr>
              <w:jc w:val="left"/>
            </w:pPr>
            <w:r>
              <w:rPr>
                <w:rFonts w:ascii="Calibri" w:hAnsi="Calibri"/>
                <w:color w:val="595959"/>
                <w:sz w:val="20"/>
              </w:rPr>
            </w:r>
          </w:p>
        </w:tc>
        <w:tc>
          <w:tcPr>
            <w:tcW w:type="dxa" w:w="3118"/>
            <w:shd w:val="clear" w:color="auto" w:fill="DDEBF7"/>
          </w:tcPr>
          <w:p>
            <w:pPr>
              <w:jc w:val="left"/>
            </w:pPr>
            <w:r>
              <w:rPr>
                <w:rFonts w:ascii="Calibri" w:hAnsi="Calibri"/>
                <w:color w:val="595959"/>
                <w:sz w:val="20"/>
              </w:rPr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2E74B5"/>
                <w:sz w:val="20"/>
              </w:rPr>
              <w:t>Reviewed By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595959"/>
                <w:sz w:val="20"/>
              </w:rPr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595959"/>
                <w:sz w:val="20"/>
              </w:rPr>
            </w:r>
          </w:p>
        </w:tc>
        <w:tc>
          <w:tcPr>
            <w:tcW w:type="dxa" w:w="311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595959"/>
                <w:sz w:val="20"/>
              </w:rPr>
            </w:r>
          </w:p>
        </w:tc>
      </w:tr>
      <w:tr>
        <w:tc>
          <w:tcPr>
            <w:tcW w:type="dxa" w:w="1984"/>
            <w:shd w:val="clear" w:color="auto" w:fill="DDEBF7"/>
          </w:tcPr>
          <w:p>
            <w:pPr>
              <w:jc w:val="left"/>
            </w:pPr>
            <w:r>
              <w:rPr>
                <w:rFonts w:ascii="Calibri" w:hAnsi="Calibri"/>
                <w:b/>
                <w:color w:val="2E74B5"/>
                <w:sz w:val="20"/>
              </w:rPr>
              <w:t>Approved By</w:t>
            </w:r>
          </w:p>
        </w:tc>
        <w:tc>
          <w:tcPr>
            <w:tcW w:type="dxa" w:w="2268"/>
            <w:shd w:val="clear" w:color="auto" w:fill="DDEBF7"/>
          </w:tcPr>
          <w:p>
            <w:pPr>
              <w:jc w:val="left"/>
            </w:pPr>
            <w:r>
              <w:rPr>
                <w:rFonts w:ascii="Calibri" w:hAnsi="Calibri"/>
                <w:color w:val="595959"/>
                <w:sz w:val="20"/>
              </w:rPr>
            </w:r>
          </w:p>
        </w:tc>
        <w:tc>
          <w:tcPr>
            <w:tcW w:type="dxa" w:w="2551"/>
            <w:shd w:val="clear" w:color="auto" w:fill="DDEBF7"/>
          </w:tcPr>
          <w:p>
            <w:pPr>
              <w:jc w:val="left"/>
            </w:pPr>
            <w:r>
              <w:rPr>
                <w:rFonts w:ascii="Calibri" w:hAnsi="Calibri"/>
                <w:color w:val="595959"/>
                <w:sz w:val="20"/>
              </w:rPr>
            </w:r>
          </w:p>
        </w:tc>
        <w:tc>
          <w:tcPr>
            <w:tcW w:type="dxa" w:w="3118"/>
            <w:shd w:val="clear" w:color="auto" w:fill="DDEBF7"/>
          </w:tcPr>
          <w:p>
            <w:pPr>
              <w:jc w:val="left"/>
            </w:pPr>
            <w:r>
              <w:rPr>
                <w:rFonts w:ascii="Calibri" w:hAnsi="Calibri"/>
                <w:color w:val="595959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